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C3A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114535C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方正黑体_GBK" w:cs="方正黑体_GBK"/>
          <w:snapToGrid/>
          <w:spacing w:val="0"/>
          <w:kern w:val="0"/>
          <w:sz w:val="32"/>
          <w:szCs w:val="32"/>
          <w:lang w:val="en-US" w:eastAsia="zh-CN" w:bidi="ar"/>
        </w:rPr>
      </w:pPr>
    </w:p>
    <w:p w14:paraId="50AD744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spacing w:val="0"/>
          <w:kern w:val="2"/>
          <w:sz w:val="44"/>
          <w:szCs w:val="44"/>
          <w:lang w:val="en-US" w:eastAsia="zh-CN" w:bidi="ar"/>
        </w:rPr>
        <w:t>XX企业质量分析报告</w:t>
      </w:r>
    </w:p>
    <w:p w14:paraId="6110F4B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楷体_GB2312" w:cs="楷体_GB2312"/>
          <w:b/>
          <w:bCs w:val="0"/>
          <w:snapToGrid/>
          <w:spacing w:val="0"/>
          <w:kern w:val="2"/>
          <w:sz w:val="32"/>
          <w:szCs w:val="32"/>
          <w:lang w:val="en-US" w:eastAsia="zh" w:bidi="ar"/>
          <w:woUserID w:val="1"/>
        </w:rPr>
      </w:pPr>
      <w:r>
        <w:rPr>
          <w:rFonts w:hint="eastAsia" w:ascii="仿宋_GB2312" w:hAnsi="仿宋_GB2312" w:eastAsia="楷体_GB2312" w:cs="楷体_GB2312"/>
          <w:b/>
          <w:bCs w:val="0"/>
          <w:snapToGrid/>
          <w:spacing w:val="0"/>
          <w:kern w:val="2"/>
          <w:sz w:val="32"/>
          <w:szCs w:val="32"/>
          <w:lang w:val="en-US" w:eastAsia="zh" w:bidi="ar"/>
          <w:woUserID w:val="1"/>
        </w:rPr>
        <w:t>（参考模板）</w:t>
      </w:r>
    </w:p>
    <w:p w14:paraId="47E71FE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微软雅黑" w:cs="微软雅黑"/>
          <w:bCs/>
          <w:spacing w:val="0"/>
          <w:sz w:val="44"/>
          <w:szCs w:val="44"/>
          <w:lang w:val="en-US"/>
        </w:rPr>
      </w:pPr>
    </w:p>
    <w:p w14:paraId="563BB8A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Times New Roman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标题</w:t>
      </w:r>
      <w:r>
        <w:rPr>
          <w:rFonts w:hint="eastAsia" w:ascii="仿宋_GB2312" w:hAnsi="仿宋_GB2312" w:eastAsia="仿宋_GB2312" w:cs="仿宋_GB2312"/>
          <w:bCs/>
          <w:snapToGrid/>
          <w:spacing w:val="0"/>
          <w:kern w:val="2"/>
          <w:sz w:val="32"/>
          <w:szCs w:val="32"/>
          <w:lang w:val="en-US" w:eastAsia="zh-CN" w:bidi="ar"/>
        </w:rPr>
        <w:t>：公司名称</w:t>
      </w:r>
      <w:r>
        <w:rPr>
          <w:rFonts w:hint="default" w:ascii="仿宋_GB2312" w:hAnsi="仿宋_GB2312" w:eastAsia="仿宋_GB2312" w:cs="Times New Roman"/>
          <w:bCs/>
          <w:snapToGrid/>
          <w:spacing w:val="0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仿宋_GB2312" w:hAnsi="仿宋_GB2312" w:eastAsia="仿宋_GB2312" w:cs="仿宋_GB2312"/>
          <w:bCs/>
          <w:snapToGrid/>
          <w:spacing w:val="0"/>
          <w:kern w:val="2"/>
          <w:sz w:val="32"/>
          <w:szCs w:val="32"/>
          <w:lang w:val="en-US" w:eastAsia="zh-CN" w:bidi="ar"/>
        </w:rPr>
        <w:t>质量分析报告。质量分析报告中各部分应包括首席质量官在其中发挥作用情况。</w:t>
      </w:r>
    </w:p>
    <w:p w14:paraId="5C1853D8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tabs>
          <w:tab w:val="left" w:pos="336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32" w:firstLineChars="0"/>
        <w:jc w:val="both"/>
        <w:textAlignment w:val="auto"/>
        <w:rPr>
          <w:rFonts w:hint="default" w:ascii="仿宋_GB2312" w:hAnsi="仿宋_GB2312" w:eastAsia="黑体" w:cs="Times New Roman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企业简介、质量战略与组织</w:t>
      </w:r>
    </w:p>
    <w:p w14:paraId="448A532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既包括企业外宣基本情况，还应包括质量战略定位、质量方针、治理架构、资源投入等质量管理内容。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（建议600字以内）</w:t>
      </w:r>
    </w:p>
    <w:p w14:paraId="67A7A09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1.企业简介</w:t>
      </w:r>
    </w:p>
    <w:p w14:paraId="1D7116A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（建议150字以内）</w:t>
      </w:r>
    </w:p>
    <w:p w14:paraId="49C9ADE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2.质量战略和方针</w:t>
      </w:r>
    </w:p>
    <w:p w14:paraId="21E40C4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体现质量提升和战略目标之间的关系。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（建议200字以内）</w:t>
      </w:r>
    </w:p>
    <w:p w14:paraId="29E9F99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3.质量治理</w:t>
      </w:r>
    </w:p>
    <w:p w14:paraId="79B7402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企业质量治理体系，包括首席质量官职权和工作机制等，要能通过质量组织架构反映企业全面质量管理的推进水平（包括质量业务板块的组织架构图及简单说明）。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（建议150字以内）</w:t>
      </w:r>
    </w:p>
    <w:p w14:paraId="7F490B9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4.质量投入</w:t>
      </w:r>
    </w:p>
    <w:p w14:paraId="6CA2395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企业近三年用于质量提升方面的费用预算、质量领域的主要设备设施等。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（建议100字以内）</w:t>
      </w:r>
    </w:p>
    <w:p w14:paraId="1721041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32" w:firstLineChars="0"/>
        <w:jc w:val="both"/>
        <w:textAlignment w:val="auto"/>
        <w:rPr>
          <w:rFonts w:hint="default" w:ascii="仿宋_GB2312" w:hAnsi="仿宋_GB2312" w:eastAsia="黑体" w:cs="Times New Roman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质量管理体系</w:t>
      </w:r>
    </w:p>
    <w:p w14:paraId="5ADDAB7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本企业质量体系建设以及与业务融合度情况，过程管控、标准化程度、认证与对标情况等。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（建议500字以内）</w:t>
      </w:r>
    </w:p>
    <w:p w14:paraId="07E3040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32" w:firstLineChars="0"/>
        <w:jc w:val="both"/>
        <w:textAlignment w:val="auto"/>
        <w:rPr>
          <w:rFonts w:hint="default" w:ascii="仿宋_GB2312" w:hAnsi="仿宋_GB2312" w:eastAsia="黑体" w:cs="Times New Roman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质量绩效成果与分析</w:t>
      </w:r>
    </w:p>
    <w:p w14:paraId="1331575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年度关键质量指标达成情况（附数据）以及质量指标数据简要分析，尽可能通过质量成本、质量效益等方面指标反映出质量提升给企业经营带来的直接效益。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（建议500字以内，可以图表方式展示）</w:t>
      </w:r>
    </w:p>
    <w:p w14:paraId="2B4D2C0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Times New Roman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、质量改进与变革项目</w:t>
      </w:r>
    </w:p>
    <w:p w14:paraId="47A78DF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介绍企业年度最重点的质量改进与变革项目，要反映质量改进工具在企业的应用情况，尽可能用具体案例说明企业在质量工具应用的深度。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（建议1000字以内）</w:t>
      </w:r>
    </w:p>
    <w:p w14:paraId="2C6EFB2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黑体" w:cs="Times New Roman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、质量风险管控体系建设</w:t>
      </w:r>
    </w:p>
    <w:p w14:paraId="6CCA1A8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结合企业生态特点，从以下4项中选两个方面进行详细阐述，分析企业在质量风险防控方面的工作及成效，注重说明工作做法的先进性、独特性、可复制推广性等。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（建议1000字以内）</w:t>
      </w:r>
    </w:p>
    <w:p w14:paraId="3431396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1.供应链质量生态建设</w:t>
      </w:r>
    </w:p>
    <w:p w14:paraId="72275AE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说明企业在供应链方面的质量管理措施，强化和供应商之间的战略联盟机制。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（建议500字以内）</w:t>
      </w:r>
    </w:p>
    <w:p w14:paraId="0921134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2.质量风险预防与合规</w:t>
      </w:r>
    </w:p>
    <w:p w14:paraId="67B712B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说明企业质量风险管理体系。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（建议500字以内）</w:t>
      </w:r>
    </w:p>
    <w:p w14:paraId="1BA37F1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3.质量文化与人才梯队</w:t>
      </w:r>
    </w:p>
    <w:p w14:paraId="463F740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梳理企业对质量的认识和定位，以及质量人才梯队建设。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（建议500字以内）</w:t>
      </w:r>
    </w:p>
    <w:p w14:paraId="1EA8C56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napToGrid/>
          <w:spacing w:val="0"/>
          <w:kern w:val="2"/>
          <w:sz w:val="32"/>
          <w:szCs w:val="32"/>
          <w:lang w:val="en-US" w:eastAsia="zh-CN" w:bidi="ar"/>
        </w:rPr>
        <w:t>4.质量数字化与智能化</w:t>
      </w:r>
    </w:p>
    <w:p w14:paraId="7A28746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阐述企业在运营系统为强化质量提升的数字化、智能化设计方案。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（建议500字以内）</w:t>
      </w:r>
    </w:p>
    <w:p w14:paraId="1C25A63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黑体" w:cs="Times New Roman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六、存在问题与改进规划</w:t>
      </w:r>
    </w:p>
    <w:p w14:paraId="1A54C82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分析企业当前质量瓶颈及下一步改进措施。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（建议500</w:t>
      </w:r>
      <w:r>
        <w:rPr>
          <w:rFonts w:hint="eastAsia" w:ascii="楷体_GB2312" w:hAnsi="楷体_GB2312" w:eastAsia="楷体_GB2312" w:cs="楷体_GB2312"/>
          <w:snapToGrid/>
          <w:spacing w:val="0"/>
          <w:kern w:val="2"/>
          <w:sz w:val="32"/>
          <w:szCs w:val="32"/>
          <w:lang w:val="en-US" w:eastAsia="zh-CN" w:bidi="ar"/>
        </w:rPr>
        <w:t>字以内）</w:t>
      </w:r>
    </w:p>
    <w:p w14:paraId="45FAF37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黑体" w:cs="Times New Roman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黑体" w:cs="黑体"/>
          <w:bCs/>
          <w:snapToGrid/>
          <w:spacing w:val="0"/>
          <w:kern w:val="2"/>
          <w:sz w:val="32"/>
          <w:szCs w:val="32"/>
          <w:lang w:val="en-US" w:eastAsia="zh-CN" w:bidi="ar"/>
        </w:rPr>
        <w:t>七、见证材料</w:t>
      </w:r>
    </w:p>
    <w:p w14:paraId="274E8C4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提供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幅含企业名称的宣传图片，可以为厂门图片、鸟瞰图、主楼图等；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幅以上质量工作场景相关图片。</w:t>
      </w:r>
    </w:p>
    <w:p w14:paraId="17D3B34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鼓励制作介绍微视频，时长宜在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分钟以内，最长不超过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分钟。重点介绍企业质量工作的主要做法、解决的问题和取得的成效，要求配工作场景、字幕，可以配图标、音乐、相关视频资料、PPT、动漫等，首席质量官可以出镜。视频要求具有较强观赏性、启发性、感染力。视频开头注明企业名称、制作年月，画面清晰（横屏），文件格式为MP4或MOV，视频分辨率为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K（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3840×2160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）或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1080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p（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1920×1080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 w:bidi="ar"/>
        </w:rPr>
        <w:t>），版权无争议。</w:t>
      </w:r>
    </w:p>
    <w:p w14:paraId="20F08F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244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-13970</wp:posOffset>
              </wp:positionV>
              <wp:extent cx="9550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0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DBC53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1pt;height:144pt;width:75.2pt;mso-position-horizontal:outside;mso-position-horizontal-relative:margin;z-index:251659264;mso-width-relative:page;mso-height-relative:page;" filled="f" stroked="f" coordsize="21600,21600" o:gfxdata="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kNzJnNkAAAAKAQAADwAAAAAAAAABACAAAAAiAAAAZHJzL2Rvd25y&#10;ZXYueG1sUEsBAhQAFAAAAAgAh07iQN7S6tvhAgAAJQ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DBC53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944EA"/>
    <w:multiLevelType w:val="multilevel"/>
    <w:tmpl w:val="123944EA"/>
    <w:lvl w:ilvl="0" w:tentative="0">
      <w:start w:val="1"/>
      <w:numFmt w:val="chineseCounting"/>
      <w:suff w:val="nothing"/>
      <w:lvlText w:val="%1、"/>
      <w:lvlJc w:val="left"/>
      <w:pPr>
        <w:ind w:left="-2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8787"/>
    <w:rsid w:val="57F9AD88"/>
    <w:rsid w:val="6FFD8787"/>
    <w:rsid w:val="7C9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1067</Words>
  <Characters>1129</Characters>
  <Lines>0</Lines>
  <Paragraphs>0</Paragraphs>
  <TotalTime>4</TotalTime>
  <ScaleCrop>false</ScaleCrop>
  <LinksUpToDate>false</LinksUpToDate>
  <CharactersWithSpaces>1129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2026-03-28T19:23:00Z</dcterms:created>
  <dc:creator>汪清才</dc:creator>
  <cp:lastModifiedBy>BLUE</cp:lastModifiedBy>
  <dcterms:modified xsi:type="dcterms:W3CDTF">2026-03-28T16:50:45Z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F47394E4B8D1AFD9D24AC76968CFF750_43</vt:lpwstr>
  </property>
  <property fmtid="{D5CDD505-2E9C-101B-9397-08002B2CF9AE}" pid="4" name="KSOTemplateDocerSaveRecord">
    <vt:lpwstr>eyJoZGlkIjoiYzkxNGVhNTEyM2YzZmJlNTkzNDIzMjU5ZjM0NzM4NWUiLCJ1c2VySWQiOiI3NjIyNDUzNTkifQ==</vt:lpwstr>
  </property>
</Properties>
</file>