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20" w:lineRule="exact"/>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rPr>
        <w:t>附件1</w:t>
      </w:r>
    </w:p>
    <w:p>
      <w:pPr>
        <w:keepNext w:val="0"/>
        <w:keepLines w:val="0"/>
        <w:pageBreakBefore w:val="0"/>
        <w:widowControl w:val="0"/>
        <w:kinsoku/>
        <w:wordWrap/>
        <w:overflowPunct w:val="0"/>
        <w:topLinePunct w:val="0"/>
        <w:autoSpaceDE/>
        <w:autoSpaceDN/>
        <w:bidi w:val="0"/>
        <w:adjustRightInd w:val="0"/>
        <w:snapToGrid w:val="0"/>
        <w:spacing w:line="520" w:lineRule="exact"/>
        <w:textAlignment w:val="auto"/>
        <w:rPr>
          <w:rFonts w:ascii="Times New Roman" w:hAnsi="Times New Roman" w:eastAsia="仿宋_GB2312" w:cs="Times New Roman"/>
          <w:snapToGrid w:val="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20" w:lineRule="exact"/>
        <w:jc w:val="center"/>
        <w:textAlignment w:val="auto"/>
        <w:rPr>
          <w:rFonts w:ascii="Times New Roman" w:hAnsi="Times New Roman" w:eastAsia="方正小标宋简体" w:cs="Times New Roman"/>
          <w:spacing w:val="4"/>
          <w:position w:val="3"/>
          <w:sz w:val="44"/>
          <w:szCs w:val="44"/>
        </w:rPr>
      </w:pPr>
      <w:r>
        <w:rPr>
          <w:rFonts w:ascii="Times New Roman" w:hAnsi="Times New Roman" w:eastAsia="方正小标宋简体" w:cs="Times New Roman"/>
          <w:spacing w:val="4"/>
          <w:position w:val="3"/>
          <w:sz w:val="44"/>
          <w:szCs w:val="44"/>
        </w:rPr>
        <w:t>重点制修订和实施国家标准清单</w:t>
      </w:r>
    </w:p>
    <w:p>
      <w:pPr>
        <w:keepNext w:val="0"/>
        <w:keepLines w:val="0"/>
        <w:pageBreakBefore w:val="0"/>
        <w:widowControl w:val="0"/>
        <w:kinsoku/>
        <w:wordWrap/>
        <w:overflowPunct w:val="0"/>
        <w:topLinePunct w:val="0"/>
        <w:autoSpaceDE/>
        <w:autoSpaceDN/>
        <w:bidi w:val="0"/>
        <w:adjustRightInd w:val="0"/>
        <w:snapToGrid w:val="0"/>
        <w:spacing w:line="520" w:lineRule="exact"/>
        <w:jc w:val="center"/>
        <w:textAlignment w:val="auto"/>
        <w:rPr>
          <w:rFonts w:ascii="Times New Roman" w:hAnsi="Times New Roman" w:eastAsia="方正小标宋简体" w:cs="Times New Roman"/>
          <w:spacing w:val="4"/>
          <w:position w:val="3"/>
          <w:sz w:val="44"/>
          <w:szCs w:val="44"/>
        </w:rPr>
      </w:pPr>
    </w:p>
    <w:tbl>
      <w:tblPr>
        <w:tblStyle w:val="2"/>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4969"/>
        <w:gridCol w:w="866"/>
        <w:gridCol w:w="1083"/>
        <w:gridCol w:w="3062"/>
        <w:gridCol w:w="1201"/>
        <w:gridCol w:w="12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1</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节能技术评价导则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火力发电企业能源计量器具配备和管理要求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建筑材料行业能源计量器具配备和管理要求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电力变压器能效限定值及能效等级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农药工业水污染物排放标准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铀矿冶放射性废物辐射环境管理技术规定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炼焦化学工业污染物排放标准(大气部分)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生活垃圾填埋场污染控制标准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低中水平放射性固体废物的岩洞处置规定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10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煤层气(煤矿瓦斯)排放标准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11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碳排放核算与报告要求铜冶炼企业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中国有色金属工业协会</w:t>
            </w:r>
          </w:p>
        </w:tc>
        <w:tc>
          <w:tcPr>
            <w:tcW w:w="1201" w:type="dxa"/>
            <w:noWrap w:val="0"/>
            <w:vAlign w:val="center"/>
          </w:tcPr>
          <w:p>
            <w:pPr>
              <w:overflowPunct w:val="0"/>
              <w:adjustRightInd w:val="0"/>
              <w:snapToGrid w:val="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15"/>
                <w:sz w:val="24"/>
              </w:rPr>
              <w:t>12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碳排放核算与报告要求水泥制品生产企业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5"/>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15"/>
                <w:sz w:val="24"/>
              </w:rPr>
              <w:t>13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碳排放核算与报告要求烧结墙体材料生产企业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5"/>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15"/>
                <w:sz w:val="24"/>
              </w:rPr>
              <w:t>14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碳排放核算与报告要求炭素材料生产企业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5"/>
              </w:rPr>
              <w:t>中国钢铁工业协会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15"/>
                <w:sz w:val="24"/>
              </w:rPr>
              <w:t>15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碳排放核算与报告要求工业硅生产企业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4"/>
                <w:lang w:eastAsia="zh-CN"/>
              </w:rPr>
              <w:t>中国有色金属工业协会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15"/>
                <w:sz w:val="24"/>
              </w:rPr>
              <w:t>16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碳排放核算与报告要求废弃电池处理处置企业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4"/>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15"/>
                <w:sz w:val="24"/>
              </w:rPr>
              <w:t>17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碳排放核算与报告要求化纤生产企业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3"/>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15"/>
                <w:sz w:val="24"/>
              </w:rPr>
              <w:t>18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碳排放核算与报告要求家具生产企业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5"/>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15"/>
                <w:sz w:val="24"/>
              </w:rPr>
              <w:t>19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碳排放核算与报告要求涂料生产企业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4"/>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3"/>
                <w:sz w:val="24"/>
              </w:rPr>
              <w:t>20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碳排放核算与报告要求磷酸及磷酸盐企业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4"/>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3"/>
                <w:sz w:val="24"/>
              </w:rPr>
              <w:t>21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碳排放核算与报告要求绝热材料生产企业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5"/>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3"/>
                <w:sz w:val="24"/>
              </w:rPr>
              <w:t>22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碳排放核算与报告要求锌冶炼企业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4"/>
                <w:lang w:eastAsia="zh-CN"/>
              </w:rPr>
              <w:t>中国有色金属工业协会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3"/>
                <w:sz w:val="24"/>
              </w:rPr>
              <w:t>23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1"/>
                <w:lang w:eastAsia="zh-CN"/>
              </w:rPr>
              <w:t>产品碳足迹量化要求和指南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5"/>
              </w:rPr>
              <w:t>生态环境部</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3"/>
                <w:sz w:val="24"/>
              </w:rPr>
              <w:t>24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2"/>
                <w:lang w:eastAsia="zh-CN"/>
              </w:rPr>
              <w:t>畜产品碳足迹核算和报告指南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农业农村部</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3"/>
                <w:sz w:val="24"/>
              </w:rPr>
              <w:t>25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3"/>
                <w:lang w:eastAsia="zh-CN"/>
              </w:rPr>
              <w:t>电解水制氢用电极性能测试与评价</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9"/>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4"/>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3"/>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napToGrid w:val="0"/>
                <w:color w:val="000000"/>
                <w:kern w:val="0"/>
                <w:sz w:val="24"/>
                <w:lang w:eastAsia="en-US"/>
              </w:rPr>
            </w:pPr>
            <w:r>
              <w:rPr>
                <w:rFonts w:hint="eastAsia" w:ascii="宋体" w:hAnsi="宋体" w:eastAsia="宋体" w:cs="宋体"/>
                <w:spacing w:val="-2"/>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spacing w:val="-3"/>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大型空分装置用透平压缩机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天然气输送装置用透平压缩机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乙烯装置用透平压缩机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29</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生物质成型燃料锅炉</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生物质锅炉质量性能评价技术准则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电动土方机械用动力电池第1部分：安全要求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电动土方机械用动力电池第2部分：电性能要求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土方机械纯电动轮胎式装载机技术规范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土方机械纯电动液压挖掘机技术规范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土方机械纯电动非公路矿用自卸车技术规范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土方机械纯电动非公路宽体自卸车技术规范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土方机械高原隧道用纯电动液压挖掘机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土方机械高原隧道用纯电动轮胎式装载机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39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燃气用具连接用橡胶复合软管</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住房和城乡建设部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燃气用具连接用金属包覆软管</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住房和城乡建设部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燃气用具连接用不锈钢波纹软管</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住房和城乡建设部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电磁式燃气紧急切断阀</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住房和城乡建设部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43</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商用燃气燃烧器具</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住房和城乡建设部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44</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电梯用钢丝绳</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45</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索道用钢丝绳</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46</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矿井提升用钢丝绳</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钢筋混凝土用钢第1部分：热轧光圆钢筋</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钢筋混凝土用钢第2部分：热轧带肋钢筋</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49</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冷轧带肋钢筋</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爆炸性环境</w:t>
            </w:r>
          </w:p>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第15部分：电气装置设计、选型、安装规范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6"/>
                <w:lang w:eastAsia="zh-CN"/>
              </w:rPr>
              <w:t>爆炸性环境第16部分：电气装置检查与维护规范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危险化学品重大危险源安全监控预警技术规范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53</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氯气安全技术规范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作业场所环境气体检测报警仪通用技术要求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超重力强化氟化反应流程再造技术规范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危险化学品企业工艺平稳性第1部分：管理导则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危险化学品企业工艺平稳性</w:t>
            </w:r>
          </w:p>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第2部分：控制回路性能评估与优化技术规范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危险化学品企业设备完整性</w:t>
            </w:r>
          </w:p>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第1部分：管理体系要求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59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危险化学品企业设备完整性</w:t>
            </w:r>
          </w:p>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第2部分：技术实施指南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60</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手动火灾报警按钮</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61</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气体灭火系统及部件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62</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火警受理系统</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63</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防火窗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64</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点型感温火灾探测器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电动汽车供电设备安全要求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国家能源局</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电动汽车传导充电系统安全要求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工业和信息化部、国家能源局</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营运纯电动汽车换电服务技术要求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交通运输部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电动汽车充换电服务信息交换第1部分：总则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中国电力企业联合会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69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动力蓄电池维修竣工出厂技术条件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交通运输部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重型商用车辆燃料消耗量限值</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工</w:t>
            </w:r>
            <w:r>
              <w:rPr>
                <w:rFonts w:hint="eastAsia" w:ascii="宋体" w:hAnsi="宋体" w:eastAsia="宋体" w:cs="宋体"/>
                <w:spacing w:val="-6"/>
                <w:lang w:eastAsia="zh-CN"/>
              </w:rPr>
              <w:t>业和信息化部、交通运输部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智能网联汽车运行安全测试技术要求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公安部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家用和类似用途电器电器安全规莎</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家用和类似用途电器的安全人员用电气运输</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家用和类似用途电器可靠性试验及评价</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第2部分：制冷器具的特殊要求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家用和类似用途电器可靠性试验及评价</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第3部分：洗衣机的特殊要求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家用和类似用途洗衣干衣机技术要求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77</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低温保存箱</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表面清洁器具第6部分：家用和类似用途湿式</w:t>
            </w:r>
          </w:p>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硬地板清洁器具性能测试方法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79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家用和类似用途电器噪声测试方法洗干一体机的特殊要求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婴幼儿及儿童家具安全技术规范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家具阻燃性能安全技术规范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82</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家具中有害物质限量</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家具结构安全技术规范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84</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木家具通用技术条件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金属家具通用技术条件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86</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餐桌餐椅</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人造板及其制品气味分级及评价方法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国家林业和草原局</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人造板及其制品挥发性有机化合物释放量分级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国家林业和草原局</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89</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消费品质量分级家具</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消费品质量分级厨卫五金</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智能消费品安全第1部分：危害(源)识别</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智能消费品安全第2部分：风险评估</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智能消费品安全第3部分：风险控制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电动平衡车安全技术规范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电动平衡车、滑板车用锂离子电池和电池组安全 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物流无人机货物吊挂控制通用要求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大型货运无人机系统通用要求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民用无人机产品标识要求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99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民用大中型固定翼无人机系统试飞风险科目</w:t>
            </w:r>
          </w:p>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实施飞行试验要求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民用大中型固定翼无人机地面控制站系统</w:t>
            </w:r>
          </w:p>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家用和类似用途电器节能环保规范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家具绿色设计评价规范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电工电子产品环境意识设计术语</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w:t>
            </w:r>
            <w:r>
              <w:rPr>
                <w:rFonts w:hint="eastAsia" w:ascii="宋体" w:hAnsi="宋体" w:eastAsia="宋体" w:cs="宋体"/>
                <w:lang w:val="en-US" w:eastAsia="zh-CN"/>
              </w:rPr>
              <w:t xml:space="preserve"> </w:t>
            </w:r>
            <w:r>
              <w:rPr>
                <w:rFonts w:hint="eastAsia" w:ascii="宋体" w:hAnsi="宋体" w:eastAsia="宋体" w:cs="宋体"/>
                <w:lang w:eastAsia="zh-CN"/>
              </w:rPr>
              <w:t>人造板和木质地板</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国家林业和草原局</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105</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绿色产品评价</w:t>
            </w:r>
            <w:r>
              <w:rPr>
                <w:rFonts w:hint="eastAsia" w:ascii="宋体" w:hAnsi="宋体" w:eastAsia="宋体" w:cs="宋体"/>
                <w:lang w:val="en-US" w:eastAsia="zh-CN"/>
              </w:rPr>
              <w:t xml:space="preserve"> </w:t>
            </w:r>
            <w:r>
              <w:rPr>
                <w:rFonts w:hint="eastAsia" w:ascii="宋体" w:hAnsi="宋体" w:eastAsia="宋体" w:cs="宋体"/>
              </w:rPr>
              <w:t>家具</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 卫生陶瓷</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 纸和纸制品</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108</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绿色产品 评价石材</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109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绿色产品评价装饰装修用预拌砂浆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110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绿色产品评价木塑制品</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111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风力发电场技改升级安全要求及评价方法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112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6"/>
                <w:lang w:eastAsia="zh-CN"/>
              </w:rPr>
              <w:t>报废机动车回用件及再制造件交易溯源技术规范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中华全国供销合作总社</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113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报废机动车回用件交易平台建设规范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中华全国供销合作总社</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114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再生资源分拣中心建设和管理规范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中华全国供销合作总社</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115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再生资源回收利用网络规范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中华全国供销合作总社</w:t>
            </w:r>
          </w:p>
        </w:tc>
        <w:tc>
          <w:tcPr>
            <w:tcW w:w="1201" w:type="dxa"/>
            <w:noWrap w:val="0"/>
            <w:vAlign w:val="center"/>
          </w:tcPr>
          <w:p>
            <w:pPr>
              <w:overflowPunct w:val="0"/>
              <w:adjustRightInd w:val="0"/>
              <w:snapToGrid w:val="0"/>
              <w:jc w:val="center"/>
              <w:rPr>
                <w:rFonts w:hint="eastAsia" w:ascii="宋体" w:hAnsi="宋体" w:eastAsia="宋体" w:cs="宋体"/>
                <w:sz w:val="24"/>
                <w:lang w:eastAsia="en-US"/>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116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再生资源交易平台建设规范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中华全国供销合作总社</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117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公共机构废旧商品回收体系管理规范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中华全国供销合作总社</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118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车用动力电池回收利用通用要求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119</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废轮胎加工处理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废弃电器电子产品回收规范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中华全国供销合作总社</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退役光伏组件梯次利用通用规范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再制造等离子喷涂技术规范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123</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再生钢铁原料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中国钢铁工业协会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再生铜及铜合金棒线材</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中国有色金属工业协会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125</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再生铂族金属原料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中国有色金属工业协会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126</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再生锂原料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中国有色金属工业协会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127</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再生钛锭</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中国有色金属工业协会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塑料再生塑料的标识和标志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129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塑料再生塑料限用物质限量要求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2024</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燃煤发电机组单位产品能源消耗限额</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炼化行业单位产品能源消耗限额</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132</w:t>
            </w:r>
          </w:p>
        </w:tc>
        <w:tc>
          <w:tcPr>
            <w:tcW w:w="4969" w:type="dxa"/>
            <w:noWrap w:val="0"/>
            <w:vAlign w:val="center"/>
          </w:tcPr>
          <w:p>
            <w:pPr>
              <w:pStyle w:val="5"/>
              <w:widowControl w:val="0"/>
              <w:kinsoku/>
              <w:overflowPunct w:val="0"/>
              <w:autoSpaceDE/>
              <w:autoSpaceDN/>
              <w:ind w:right="9" w:hanging="5"/>
              <w:jc w:val="center"/>
              <w:rPr>
                <w:rFonts w:hint="eastAsia" w:ascii="宋体" w:hAnsi="宋体" w:eastAsia="宋体" w:cs="宋体"/>
                <w:lang w:eastAsia="zh-CN"/>
              </w:rPr>
            </w:pPr>
            <w:r>
              <w:rPr>
                <w:rFonts w:hint="eastAsia" w:ascii="宋体" w:hAnsi="宋体" w:eastAsia="宋体" w:cs="宋体"/>
                <w:lang w:eastAsia="zh-CN"/>
              </w:rPr>
              <w:t>煤制烯烃、煤制天然气和煤制油单位产品能源</w:t>
            </w:r>
          </w:p>
          <w:p>
            <w:pPr>
              <w:pStyle w:val="5"/>
              <w:widowControl w:val="0"/>
              <w:kinsoku/>
              <w:overflowPunct w:val="0"/>
              <w:autoSpaceDE/>
              <w:autoSpaceDN/>
              <w:ind w:right="9" w:hanging="5"/>
              <w:jc w:val="center"/>
              <w:rPr>
                <w:rFonts w:hint="eastAsia" w:ascii="宋体" w:hAnsi="宋体" w:eastAsia="宋体" w:cs="宋体"/>
              </w:rPr>
            </w:pPr>
            <w:r>
              <w:rPr>
                <w:rFonts w:hint="eastAsia" w:ascii="宋体" w:hAnsi="宋体" w:eastAsia="宋体" w:cs="宋体"/>
              </w:rPr>
              <w:t>消耗限额</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电动汽车充电桩能效限定值及能效等级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工业锅炉综合能效评价技术规范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6"/>
                <w:lang w:eastAsia="zh-CN"/>
              </w:rPr>
              <w:t>高压三相笼型异步电动机能效限定值及能效等级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清水离心泵能效限定值及能效等级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冷水机组能效限定值及能效等级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138</w:t>
            </w:r>
          </w:p>
        </w:tc>
        <w:tc>
          <w:tcPr>
            <w:tcW w:w="4969" w:type="dxa"/>
            <w:noWrap w:val="0"/>
            <w:vAlign w:val="center"/>
          </w:tcPr>
          <w:p>
            <w:pPr>
              <w:pStyle w:val="5"/>
              <w:widowControl w:val="0"/>
              <w:kinsoku/>
              <w:overflowPunct w:val="0"/>
              <w:autoSpaceDE/>
              <w:autoSpaceDN/>
              <w:ind w:right="4" w:firstLine="21"/>
              <w:jc w:val="center"/>
              <w:rPr>
                <w:rFonts w:hint="eastAsia" w:ascii="宋体" w:hAnsi="宋体" w:eastAsia="宋体" w:cs="宋体"/>
                <w:lang w:eastAsia="zh-CN"/>
              </w:rPr>
            </w:pPr>
            <w:r>
              <w:rPr>
                <w:rFonts w:hint="eastAsia" w:ascii="宋体" w:hAnsi="宋体" w:eastAsia="宋体" w:cs="宋体"/>
                <w:lang w:eastAsia="zh-CN"/>
              </w:rPr>
              <w:t>中小型冷库(箱)和压缩冷凝机组能效限定值及能效等级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139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微型计算机能效限定值及能效等级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智能坐便器能效水效限定值及等级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洗碗机能效水效限定值及等级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6"/>
                <w:lang w:eastAsia="zh-CN"/>
              </w:rPr>
              <w:t>家用和类似用途厨房电器能效限定值及能效等级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燃气灶具能效限定值及能效等级</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position w:val="3"/>
                <w:lang w:eastAsia="zh-CN"/>
              </w:rPr>
              <w:t>铅、锌工业污染物排放标准(大气部分)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酒类工业水污染物排放标准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固体废物鉴别标准通则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建筑施工场界环境噪声排放标准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粒子加速器辐射防护规定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生态环境部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149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碳排放核算与报告要求日用陶瓷企业</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产品碳足迹产品种类规则空调器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产品碳足迹产品种类规则电解铝</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中国有色金属工业协会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照明产品碳足迹核算方法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电子电器产品碳足迹量化要求和指南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建材产品减碳量评估方法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内燃机全生命周期碳排放核算技术规范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塑料制品碳足迹核算通则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产品碳足迹量化方法 化学纤维产品</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冶金石灰窑中二氧化碳回收处置技术规范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中国钢铁工业协会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159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spacing w:val="-6"/>
                <w:lang w:eastAsia="zh-CN"/>
              </w:rPr>
              <w:t>三相干式立体卷铁芯电力变压器技术参数和要求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中国电器工业协会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高压直流开关共用技术要求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中国电器工业协会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高压直流输电用可控自恢复消能装置</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第1部分：直流可控避雷器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中国电器工业协会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162</w:t>
            </w:r>
          </w:p>
        </w:tc>
        <w:tc>
          <w:tcPr>
            <w:tcW w:w="4969" w:type="dxa"/>
            <w:noWrap w:val="0"/>
            <w:vAlign w:val="center"/>
          </w:tcPr>
          <w:p>
            <w:pPr>
              <w:pStyle w:val="5"/>
              <w:widowControl w:val="0"/>
              <w:kinsoku/>
              <w:overflowPunct w:val="0"/>
              <w:autoSpaceDE/>
              <w:autoSpaceDN/>
              <w:ind w:firstLine="1"/>
              <w:jc w:val="center"/>
              <w:rPr>
                <w:rFonts w:hint="eastAsia" w:ascii="宋体" w:hAnsi="宋体" w:eastAsia="宋体" w:cs="宋体"/>
                <w:lang w:eastAsia="zh-CN"/>
              </w:rPr>
            </w:pPr>
            <w:r>
              <w:rPr>
                <w:rFonts w:hint="eastAsia" w:ascii="宋体" w:hAnsi="宋体" w:eastAsia="宋体" w:cs="宋体"/>
                <w:lang w:eastAsia="zh-CN"/>
              </w:rPr>
              <w:t>高压直流输电用可控自恢复消能装置</w:t>
            </w:r>
          </w:p>
          <w:p>
            <w:pPr>
              <w:pStyle w:val="5"/>
              <w:widowControl w:val="0"/>
              <w:kinsoku/>
              <w:overflowPunct w:val="0"/>
              <w:autoSpaceDE/>
              <w:autoSpaceDN/>
              <w:ind w:firstLine="1"/>
              <w:jc w:val="center"/>
              <w:rPr>
                <w:rFonts w:hint="eastAsia" w:ascii="宋体" w:hAnsi="宋体" w:eastAsia="宋体" w:cs="宋体"/>
              </w:rPr>
            </w:pPr>
            <w:r>
              <w:rPr>
                <w:rFonts w:hint="eastAsia" w:ascii="宋体" w:hAnsi="宋体" w:eastAsia="宋体" w:cs="宋体"/>
              </w:rPr>
              <w:t>第2部分：交流可控避雷器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中国电器工业协会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大型全喂入联合收割机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164</w:t>
            </w:r>
          </w:p>
        </w:tc>
        <w:tc>
          <w:tcPr>
            <w:tcW w:w="4969" w:type="dxa"/>
            <w:noWrap w:val="0"/>
            <w:vAlign w:val="center"/>
          </w:tcPr>
          <w:p>
            <w:pPr>
              <w:pStyle w:val="5"/>
              <w:widowControl w:val="0"/>
              <w:kinsoku/>
              <w:overflowPunct w:val="0"/>
              <w:autoSpaceDE/>
              <w:autoSpaceDN/>
              <w:ind w:right="77"/>
              <w:jc w:val="center"/>
              <w:rPr>
                <w:rFonts w:hint="eastAsia" w:ascii="宋体" w:hAnsi="宋体" w:eastAsia="宋体" w:cs="宋体"/>
                <w:lang w:eastAsia="zh-CN"/>
              </w:rPr>
            </w:pPr>
            <w:r>
              <w:rPr>
                <w:rFonts w:hint="eastAsia" w:ascii="宋体" w:hAnsi="宋体" w:eastAsia="宋体" w:cs="宋体"/>
                <w:lang w:eastAsia="zh-CN"/>
              </w:rPr>
              <w:t>农业拖拉机通用技术条件</w:t>
            </w:r>
          </w:p>
          <w:p>
            <w:pPr>
              <w:pStyle w:val="5"/>
              <w:widowControl w:val="0"/>
              <w:kinsoku/>
              <w:overflowPunct w:val="0"/>
              <w:autoSpaceDE/>
              <w:autoSpaceDN/>
              <w:ind w:right="77"/>
              <w:jc w:val="center"/>
              <w:rPr>
                <w:rFonts w:hint="eastAsia" w:ascii="宋体" w:hAnsi="宋体" w:eastAsia="宋体" w:cs="宋体"/>
              </w:rPr>
            </w:pPr>
            <w:r>
              <w:rPr>
                <w:rFonts w:hint="eastAsia" w:ascii="宋体" w:hAnsi="宋体" w:eastAsia="宋体" w:cs="宋体"/>
              </w:rPr>
              <w:t>第2部分：50kW-130kW轮式拖拉机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165</w:t>
            </w:r>
          </w:p>
        </w:tc>
        <w:tc>
          <w:tcPr>
            <w:tcW w:w="4969" w:type="dxa"/>
            <w:noWrap w:val="0"/>
            <w:vAlign w:val="center"/>
          </w:tcPr>
          <w:p>
            <w:pPr>
              <w:pStyle w:val="5"/>
              <w:widowControl w:val="0"/>
              <w:kinsoku/>
              <w:overflowPunct w:val="0"/>
              <w:autoSpaceDE/>
              <w:autoSpaceDN/>
              <w:ind w:right="6" w:hanging="3"/>
              <w:jc w:val="center"/>
              <w:rPr>
                <w:rFonts w:hint="eastAsia" w:ascii="宋体" w:hAnsi="宋体" w:eastAsia="宋体" w:cs="宋体"/>
                <w:lang w:eastAsia="zh-CN"/>
              </w:rPr>
            </w:pPr>
            <w:r>
              <w:rPr>
                <w:rFonts w:hint="eastAsia" w:ascii="宋体" w:hAnsi="宋体" w:eastAsia="宋体" w:cs="宋体"/>
                <w:lang w:eastAsia="zh-CN"/>
              </w:rPr>
              <w:t>农业拖拉机通用技术条件</w:t>
            </w:r>
          </w:p>
          <w:p>
            <w:pPr>
              <w:pStyle w:val="5"/>
              <w:widowControl w:val="0"/>
              <w:kinsoku/>
              <w:overflowPunct w:val="0"/>
              <w:autoSpaceDE/>
              <w:autoSpaceDN/>
              <w:ind w:right="6" w:hanging="3"/>
              <w:jc w:val="center"/>
              <w:rPr>
                <w:rFonts w:hint="eastAsia" w:ascii="宋体" w:hAnsi="宋体" w:eastAsia="宋体" w:cs="宋体"/>
                <w:lang w:eastAsia="zh-CN"/>
              </w:rPr>
            </w:pPr>
            <w:r>
              <w:rPr>
                <w:rFonts w:hint="eastAsia" w:ascii="宋体" w:hAnsi="宋体" w:eastAsia="宋体" w:cs="宋体"/>
                <w:lang w:eastAsia="zh-CN"/>
              </w:rPr>
              <w:t>第3部分：130kW以上轮式拖拉机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166</w:t>
            </w:r>
          </w:p>
        </w:tc>
        <w:tc>
          <w:tcPr>
            <w:tcW w:w="4969" w:type="dxa"/>
            <w:noWrap w:val="0"/>
            <w:vAlign w:val="center"/>
          </w:tcPr>
          <w:p>
            <w:pPr>
              <w:pStyle w:val="5"/>
              <w:widowControl w:val="0"/>
              <w:kinsoku/>
              <w:overflowPunct w:val="0"/>
              <w:autoSpaceDE/>
              <w:autoSpaceDN/>
              <w:ind w:right="6" w:firstLine="10"/>
              <w:jc w:val="center"/>
              <w:rPr>
                <w:rFonts w:hint="eastAsia" w:ascii="宋体" w:hAnsi="宋体" w:eastAsia="宋体" w:cs="宋体"/>
                <w:lang w:eastAsia="zh-CN"/>
              </w:rPr>
            </w:pPr>
            <w:r>
              <w:rPr>
                <w:rFonts w:hint="eastAsia" w:ascii="宋体" w:hAnsi="宋体" w:eastAsia="宋体" w:cs="宋体"/>
                <w:lang w:eastAsia="zh-CN"/>
              </w:rPr>
              <w:t>五轴联动加工中心检验条件</w:t>
            </w:r>
          </w:p>
          <w:p>
            <w:pPr>
              <w:pStyle w:val="5"/>
              <w:widowControl w:val="0"/>
              <w:kinsoku/>
              <w:overflowPunct w:val="0"/>
              <w:autoSpaceDE/>
              <w:autoSpaceDN/>
              <w:ind w:right="6" w:firstLine="10"/>
              <w:jc w:val="center"/>
              <w:rPr>
                <w:rFonts w:hint="eastAsia" w:ascii="宋体" w:hAnsi="宋体" w:eastAsia="宋体" w:cs="宋体"/>
                <w:lang w:eastAsia="zh-CN"/>
              </w:rPr>
            </w:pPr>
            <w:r>
              <w:rPr>
                <w:rFonts w:hint="eastAsia" w:ascii="宋体" w:hAnsi="宋体" w:eastAsia="宋体" w:cs="宋体"/>
                <w:lang w:eastAsia="zh-CN"/>
              </w:rPr>
              <w:t>第1部分：卧式机床精度检验</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167</w:t>
            </w:r>
          </w:p>
        </w:tc>
        <w:tc>
          <w:tcPr>
            <w:tcW w:w="4969" w:type="dxa"/>
            <w:noWrap w:val="0"/>
            <w:vAlign w:val="center"/>
          </w:tcPr>
          <w:p>
            <w:pPr>
              <w:pStyle w:val="5"/>
              <w:widowControl w:val="0"/>
              <w:kinsoku/>
              <w:overflowPunct w:val="0"/>
              <w:autoSpaceDE/>
              <w:autoSpaceDN/>
              <w:ind w:right="6" w:firstLine="10"/>
              <w:jc w:val="center"/>
              <w:rPr>
                <w:rFonts w:hint="eastAsia" w:ascii="宋体" w:hAnsi="宋体" w:eastAsia="宋体" w:cs="宋体"/>
                <w:lang w:eastAsia="zh-CN"/>
              </w:rPr>
            </w:pPr>
            <w:r>
              <w:rPr>
                <w:rFonts w:hint="eastAsia" w:ascii="宋体" w:hAnsi="宋体" w:eastAsia="宋体" w:cs="宋体"/>
                <w:lang w:eastAsia="zh-CN"/>
              </w:rPr>
              <w:t>五轴联动加工中心检验条件</w:t>
            </w:r>
          </w:p>
          <w:p>
            <w:pPr>
              <w:pStyle w:val="5"/>
              <w:widowControl w:val="0"/>
              <w:kinsoku/>
              <w:overflowPunct w:val="0"/>
              <w:autoSpaceDE/>
              <w:autoSpaceDN/>
              <w:ind w:right="6" w:firstLine="10"/>
              <w:jc w:val="center"/>
              <w:rPr>
                <w:rFonts w:hint="eastAsia" w:ascii="宋体" w:hAnsi="宋体" w:eastAsia="宋体" w:cs="宋体"/>
                <w:lang w:eastAsia="zh-CN"/>
              </w:rPr>
            </w:pPr>
            <w:r>
              <w:rPr>
                <w:rFonts w:hint="eastAsia" w:ascii="宋体" w:hAnsi="宋体" w:eastAsia="宋体" w:cs="宋体"/>
                <w:lang w:eastAsia="zh-CN"/>
              </w:rPr>
              <w:t>第2部分：立式机床精度检验</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五轴联动加工中心检验条件第3部分：技术条件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169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农业机械北斗自动驾驶系统</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170</w:t>
            </w:r>
          </w:p>
        </w:tc>
        <w:tc>
          <w:tcPr>
            <w:tcW w:w="4969" w:type="dxa"/>
            <w:noWrap w:val="0"/>
            <w:vAlign w:val="center"/>
          </w:tcPr>
          <w:p>
            <w:pPr>
              <w:pStyle w:val="5"/>
              <w:widowControl w:val="0"/>
              <w:kinsoku/>
              <w:overflowPunct w:val="0"/>
              <w:autoSpaceDE/>
              <w:autoSpaceDN/>
              <w:ind w:right="9" w:hanging="10"/>
              <w:jc w:val="center"/>
              <w:rPr>
                <w:rFonts w:hint="eastAsia" w:ascii="宋体" w:hAnsi="宋体" w:eastAsia="宋体" w:cs="宋体"/>
                <w:lang w:eastAsia="zh-CN"/>
              </w:rPr>
            </w:pPr>
            <w:r>
              <w:rPr>
                <w:rFonts w:hint="eastAsia" w:ascii="宋体" w:hAnsi="宋体" w:eastAsia="宋体" w:cs="宋体"/>
                <w:lang w:eastAsia="zh-CN"/>
              </w:rPr>
              <w:t>信息化和工业化融合管理体系生产设备运行</w:t>
            </w:r>
          </w:p>
          <w:p>
            <w:pPr>
              <w:pStyle w:val="5"/>
              <w:widowControl w:val="0"/>
              <w:kinsoku/>
              <w:overflowPunct w:val="0"/>
              <w:autoSpaceDE/>
              <w:autoSpaceDN/>
              <w:ind w:right="9" w:hanging="10"/>
              <w:jc w:val="center"/>
              <w:rPr>
                <w:rFonts w:hint="eastAsia" w:ascii="宋体" w:hAnsi="宋体" w:eastAsia="宋体" w:cs="宋体"/>
                <w:lang w:eastAsia="zh-CN"/>
              </w:rPr>
            </w:pPr>
            <w:r>
              <w:rPr>
                <w:rFonts w:hint="eastAsia" w:ascii="宋体" w:hAnsi="宋体" w:eastAsia="宋体" w:cs="宋体"/>
                <w:lang w:eastAsia="zh-CN"/>
              </w:rPr>
              <w:t>管控信息模型分类与应用指南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工业互联网平台设备健康管理要求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燃气燃烧器具用电安全通用技术要求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住房和城乡建设部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燃气输配设备安全基本技术要求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住房和城乡建设部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174</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粉尘爆炸泄压指南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烟花爆竹生产机械设备安全技术规范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176</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防火门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独立式感烟火灾探测报警器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应急管理部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178</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家用防灾应急包</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设备更新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179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电动汽车用动力蓄电池安全要求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燃料电池电动汽车碰撞后安全要求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电动汽车用驱动电机系统</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汽车风窗玻璃除霜和除雾系统技术规范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机动车和挂车防抱制动性能要求及试验方法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184</w:t>
            </w:r>
          </w:p>
        </w:tc>
        <w:tc>
          <w:tcPr>
            <w:tcW w:w="4969" w:type="dxa"/>
            <w:noWrap w:val="0"/>
            <w:vAlign w:val="center"/>
          </w:tcPr>
          <w:p>
            <w:pPr>
              <w:pStyle w:val="5"/>
              <w:widowControl w:val="0"/>
              <w:kinsoku/>
              <w:overflowPunct w:val="0"/>
              <w:autoSpaceDE/>
              <w:autoSpaceDN/>
              <w:ind w:right="4" w:hanging="7"/>
              <w:jc w:val="center"/>
              <w:rPr>
                <w:rFonts w:hint="eastAsia" w:ascii="宋体" w:hAnsi="宋体" w:eastAsia="宋体" w:cs="宋体"/>
                <w:lang w:eastAsia="zh-CN"/>
              </w:rPr>
            </w:pPr>
            <w:r>
              <w:rPr>
                <w:rFonts w:hint="eastAsia" w:ascii="宋体" w:hAnsi="宋体" w:eastAsia="宋体" w:cs="宋体"/>
                <w:lang w:eastAsia="zh-CN"/>
              </w:rPr>
              <w:t>道路车辆牵引车和挂车之间的电连接器</w:t>
            </w:r>
          </w:p>
          <w:p>
            <w:pPr>
              <w:pStyle w:val="5"/>
              <w:widowControl w:val="0"/>
              <w:kinsoku/>
              <w:overflowPunct w:val="0"/>
              <w:autoSpaceDE/>
              <w:autoSpaceDN/>
              <w:ind w:right="4" w:hanging="7"/>
              <w:jc w:val="center"/>
              <w:rPr>
                <w:rFonts w:hint="eastAsia" w:ascii="宋体" w:hAnsi="宋体" w:eastAsia="宋体" w:cs="宋体"/>
              </w:rPr>
            </w:pPr>
            <w:r>
              <w:rPr>
                <w:rFonts w:hint="eastAsia" w:ascii="宋体" w:hAnsi="宋体" w:eastAsia="宋体" w:cs="宋体"/>
              </w:rPr>
              <w:t>24V15芯型</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185</w:t>
            </w:r>
          </w:p>
        </w:tc>
        <w:tc>
          <w:tcPr>
            <w:tcW w:w="4969" w:type="dxa"/>
            <w:noWrap w:val="0"/>
            <w:vAlign w:val="center"/>
          </w:tcPr>
          <w:p>
            <w:pPr>
              <w:pStyle w:val="5"/>
              <w:widowControl w:val="0"/>
              <w:kinsoku/>
              <w:overflowPunct w:val="0"/>
              <w:autoSpaceDE/>
              <w:autoSpaceDN/>
              <w:ind w:right="6"/>
              <w:jc w:val="center"/>
              <w:rPr>
                <w:rFonts w:hint="eastAsia" w:ascii="宋体" w:hAnsi="宋体" w:eastAsia="宋体" w:cs="宋体"/>
                <w:lang w:eastAsia="zh-CN"/>
              </w:rPr>
            </w:pPr>
            <w:r>
              <w:rPr>
                <w:rFonts w:hint="eastAsia" w:ascii="宋体" w:hAnsi="宋体" w:eastAsia="宋体" w:cs="宋体"/>
                <w:lang w:eastAsia="zh-CN"/>
              </w:rPr>
              <w:t>道路车辆牵引车和挂车之间的电连接器</w:t>
            </w:r>
          </w:p>
          <w:p>
            <w:pPr>
              <w:pStyle w:val="5"/>
              <w:widowControl w:val="0"/>
              <w:kinsoku/>
              <w:overflowPunct w:val="0"/>
              <w:autoSpaceDE/>
              <w:autoSpaceDN/>
              <w:ind w:right="6"/>
              <w:jc w:val="center"/>
              <w:rPr>
                <w:rFonts w:hint="eastAsia" w:ascii="宋体" w:hAnsi="宋体" w:eastAsia="宋体" w:cs="宋体"/>
              </w:rPr>
            </w:pPr>
            <w:r>
              <w:rPr>
                <w:rFonts w:hint="eastAsia" w:ascii="宋体" w:hAnsi="宋体" w:eastAsia="宋体" w:cs="宋体"/>
              </w:rPr>
              <w:t>第2部分：12V13涉水芯型</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186</w:t>
            </w:r>
          </w:p>
        </w:tc>
        <w:tc>
          <w:tcPr>
            <w:tcW w:w="4969" w:type="dxa"/>
            <w:noWrap w:val="0"/>
            <w:vAlign w:val="center"/>
          </w:tcPr>
          <w:p>
            <w:pPr>
              <w:pStyle w:val="5"/>
              <w:widowControl w:val="0"/>
              <w:kinsoku/>
              <w:overflowPunct w:val="0"/>
              <w:autoSpaceDE/>
              <w:autoSpaceDN/>
              <w:ind w:right="4" w:hanging="7"/>
              <w:jc w:val="center"/>
              <w:rPr>
                <w:rFonts w:hint="eastAsia" w:ascii="宋体" w:hAnsi="宋体" w:eastAsia="宋体" w:cs="宋体"/>
                <w:lang w:eastAsia="zh-CN"/>
              </w:rPr>
            </w:pPr>
            <w:r>
              <w:rPr>
                <w:rFonts w:hint="eastAsia" w:ascii="宋体" w:hAnsi="宋体" w:eastAsia="宋体" w:cs="宋体"/>
                <w:spacing w:val="-6"/>
                <w:lang w:eastAsia="zh-CN"/>
              </w:rPr>
              <w:t>道路车辆汽车空调系统(MAC)用制冷系统安全要求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汽车空调用电动压缩机总成</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188</w:t>
            </w:r>
          </w:p>
        </w:tc>
        <w:tc>
          <w:tcPr>
            <w:tcW w:w="4969" w:type="dxa"/>
            <w:noWrap w:val="0"/>
            <w:vAlign w:val="center"/>
          </w:tcPr>
          <w:p>
            <w:pPr>
              <w:pStyle w:val="5"/>
              <w:widowControl w:val="0"/>
              <w:kinsoku/>
              <w:overflowPunct w:val="0"/>
              <w:autoSpaceDE/>
              <w:autoSpaceDN/>
              <w:ind w:right="6" w:firstLine="23"/>
              <w:jc w:val="center"/>
              <w:rPr>
                <w:rFonts w:hint="eastAsia" w:ascii="宋体" w:hAnsi="宋体" w:eastAsia="宋体" w:cs="宋体"/>
                <w:lang w:eastAsia="zh-CN"/>
              </w:rPr>
            </w:pPr>
            <w:r>
              <w:rPr>
                <w:rFonts w:hint="eastAsia" w:ascii="宋体" w:hAnsi="宋体" w:eastAsia="宋体" w:cs="宋体"/>
                <w:lang w:eastAsia="zh-CN"/>
              </w:rPr>
              <w:t>电动汽车充换电服务信息交换</w:t>
            </w:r>
          </w:p>
          <w:p>
            <w:pPr>
              <w:pStyle w:val="5"/>
              <w:widowControl w:val="0"/>
              <w:kinsoku/>
              <w:overflowPunct w:val="0"/>
              <w:autoSpaceDE/>
              <w:autoSpaceDN/>
              <w:ind w:right="6" w:firstLine="23"/>
              <w:jc w:val="center"/>
              <w:rPr>
                <w:rFonts w:hint="eastAsia" w:ascii="宋体" w:hAnsi="宋体" w:eastAsia="宋体" w:cs="宋体"/>
                <w:lang w:eastAsia="zh-CN"/>
              </w:rPr>
            </w:pPr>
            <w:r>
              <w:rPr>
                <w:rFonts w:hint="eastAsia" w:ascii="宋体" w:hAnsi="宋体" w:eastAsia="宋体" w:cs="宋体"/>
                <w:lang w:eastAsia="zh-CN"/>
              </w:rPr>
              <w:t>第2部分：公共服务信息交换规范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中国电力企业联合会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189</w:t>
            </w:r>
          </w:p>
        </w:tc>
        <w:tc>
          <w:tcPr>
            <w:tcW w:w="4969" w:type="dxa"/>
            <w:noWrap w:val="0"/>
            <w:vAlign w:val="center"/>
          </w:tcPr>
          <w:p>
            <w:pPr>
              <w:pStyle w:val="5"/>
              <w:widowControl w:val="0"/>
              <w:kinsoku/>
              <w:overflowPunct w:val="0"/>
              <w:autoSpaceDE/>
              <w:autoSpaceDN/>
              <w:ind w:right="6" w:firstLine="23"/>
              <w:jc w:val="center"/>
              <w:rPr>
                <w:rFonts w:hint="eastAsia" w:ascii="宋体" w:hAnsi="宋体" w:eastAsia="宋体" w:cs="宋体"/>
                <w:lang w:eastAsia="zh-CN"/>
              </w:rPr>
            </w:pPr>
            <w:r>
              <w:rPr>
                <w:rFonts w:hint="eastAsia" w:ascii="宋体" w:hAnsi="宋体" w:eastAsia="宋体" w:cs="宋体"/>
                <w:lang w:eastAsia="zh-CN"/>
              </w:rPr>
              <w:t>电动汽车充换电服务信息交换</w:t>
            </w:r>
          </w:p>
          <w:p>
            <w:pPr>
              <w:pStyle w:val="5"/>
              <w:widowControl w:val="0"/>
              <w:kinsoku/>
              <w:overflowPunct w:val="0"/>
              <w:autoSpaceDE/>
              <w:autoSpaceDN/>
              <w:ind w:right="6" w:firstLine="23"/>
              <w:jc w:val="center"/>
              <w:rPr>
                <w:rFonts w:hint="eastAsia" w:ascii="宋体" w:hAnsi="宋体" w:eastAsia="宋体" w:cs="宋体"/>
                <w:lang w:eastAsia="zh-CN"/>
              </w:rPr>
            </w:pPr>
            <w:r>
              <w:rPr>
                <w:rFonts w:hint="eastAsia" w:ascii="宋体" w:hAnsi="宋体" w:eastAsia="宋体" w:cs="宋体"/>
                <w:lang w:eastAsia="zh-CN"/>
              </w:rPr>
              <w:t>第3部分：业务服务信息交换规范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中国电力企业联合会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190</w:t>
            </w:r>
          </w:p>
        </w:tc>
        <w:tc>
          <w:tcPr>
            <w:tcW w:w="4969" w:type="dxa"/>
            <w:noWrap w:val="0"/>
            <w:vAlign w:val="center"/>
          </w:tcPr>
          <w:p>
            <w:pPr>
              <w:pStyle w:val="5"/>
              <w:widowControl w:val="0"/>
              <w:kinsoku/>
              <w:overflowPunct w:val="0"/>
              <w:autoSpaceDE/>
              <w:autoSpaceDN/>
              <w:ind w:right="6" w:firstLine="28"/>
              <w:jc w:val="center"/>
              <w:rPr>
                <w:rFonts w:hint="eastAsia" w:ascii="宋体" w:hAnsi="宋体" w:eastAsia="宋体" w:cs="宋体"/>
                <w:lang w:eastAsia="zh-CN"/>
              </w:rPr>
            </w:pPr>
            <w:r>
              <w:rPr>
                <w:rFonts w:hint="eastAsia" w:ascii="宋体" w:hAnsi="宋体" w:eastAsia="宋体" w:cs="宋体"/>
                <w:lang w:eastAsia="zh-CN"/>
              </w:rPr>
              <w:t>电动汽车充换电服务信息交换</w:t>
            </w:r>
          </w:p>
          <w:p>
            <w:pPr>
              <w:pStyle w:val="5"/>
              <w:widowControl w:val="0"/>
              <w:kinsoku/>
              <w:overflowPunct w:val="0"/>
              <w:autoSpaceDE/>
              <w:autoSpaceDN/>
              <w:ind w:right="6" w:firstLine="28"/>
              <w:jc w:val="center"/>
              <w:rPr>
                <w:rFonts w:hint="eastAsia" w:ascii="宋体" w:hAnsi="宋体" w:eastAsia="宋体" w:cs="宋体"/>
                <w:lang w:eastAsia="zh-CN"/>
              </w:rPr>
            </w:pPr>
            <w:r>
              <w:rPr>
                <w:rFonts w:hint="eastAsia" w:ascii="宋体" w:hAnsi="宋体" w:eastAsia="宋体" w:cs="宋体"/>
                <w:lang w:eastAsia="zh-CN"/>
              </w:rPr>
              <w:t>第4部分：充换电设备与服务平台信息交换规范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中国电力企业联合会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191</w:t>
            </w:r>
          </w:p>
        </w:tc>
        <w:tc>
          <w:tcPr>
            <w:tcW w:w="4969" w:type="dxa"/>
            <w:noWrap w:val="0"/>
            <w:vAlign w:val="center"/>
          </w:tcPr>
          <w:p>
            <w:pPr>
              <w:pStyle w:val="5"/>
              <w:widowControl w:val="0"/>
              <w:kinsoku/>
              <w:overflowPunct w:val="0"/>
              <w:autoSpaceDE/>
              <w:autoSpaceDN/>
              <w:ind w:right="6" w:firstLine="25"/>
              <w:jc w:val="center"/>
              <w:rPr>
                <w:rFonts w:hint="eastAsia" w:ascii="宋体" w:hAnsi="宋体" w:eastAsia="宋体" w:cs="宋体"/>
                <w:lang w:eastAsia="zh-CN"/>
              </w:rPr>
            </w:pPr>
            <w:r>
              <w:rPr>
                <w:rFonts w:hint="eastAsia" w:ascii="宋体" w:hAnsi="宋体" w:eastAsia="宋体" w:cs="宋体"/>
                <w:lang w:eastAsia="zh-CN"/>
              </w:rPr>
              <w:t>电动汽车充换电服务信息交换</w:t>
            </w:r>
          </w:p>
          <w:p>
            <w:pPr>
              <w:pStyle w:val="5"/>
              <w:widowControl w:val="0"/>
              <w:kinsoku/>
              <w:overflowPunct w:val="0"/>
              <w:autoSpaceDE/>
              <w:autoSpaceDN/>
              <w:ind w:right="6" w:firstLine="25"/>
              <w:jc w:val="center"/>
              <w:rPr>
                <w:rFonts w:hint="eastAsia" w:ascii="宋体" w:hAnsi="宋体" w:eastAsia="宋体" w:cs="宋体"/>
                <w:lang w:eastAsia="zh-CN"/>
              </w:rPr>
            </w:pPr>
            <w:r>
              <w:rPr>
                <w:rFonts w:hint="eastAsia" w:ascii="宋体" w:hAnsi="宋体" w:eastAsia="宋体" w:cs="宋体"/>
                <w:lang w:eastAsia="zh-CN"/>
              </w:rPr>
              <w:t>第5部分：数据传输及安全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中国电力企业联合会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电动汽车传导充电互操作性测试规范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中国电力企业联合会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193</w:t>
            </w:r>
          </w:p>
        </w:tc>
        <w:tc>
          <w:tcPr>
            <w:tcW w:w="4969" w:type="dxa"/>
            <w:noWrap w:val="0"/>
            <w:vAlign w:val="center"/>
          </w:tcPr>
          <w:p>
            <w:pPr>
              <w:pStyle w:val="5"/>
              <w:widowControl w:val="0"/>
              <w:kinsoku/>
              <w:overflowPunct w:val="0"/>
              <w:autoSpaceDE/>
              <w:autoSpaceDN/>
              <w:ind w:right="9" w:firstLine="2"/>
              <w:jc w:val="center"/>
              <w:rPr>
                <w:rFonts w:hint="eastAsia" w:ascii="宋体" w:hAnsi="宋体" w:eastAsia="宋体" w:cs="宋体"/>
                <w:lang w:eastAsia="zh-CN"/>
              </w:rPr>
            </w:pPr>
            <w:r>
              <w:rPr>
                <w:rFonts w:hint="eastAsia" w:ascii="宋体" w:hAnsi="宋体" w:eastAsia="宋体" w:cs="宋体"/>
                <w:lang w:eastAsia="zh-CN"/>
              </w:rPr>
              <w:t>电动汽车非车载传导式充电机与电池管理系统之间的通信协议一致性测试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中国电力企业联合会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电动汽车智能充放电设备技术规范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中国电力企业联合会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195</w:t>
            </w:r>
          </w:p>
        </w:tc>
        <w:tc>
          <w:tcPr>
            <w:tcW w:w="4969" w:type="dxa"/>
            <w:noWrap w:val="0"/>
            <w:vAlign w:val="center"/>
          </w:tcPr>
          <w:p>
            <w:pPr>
              <w:pStyle w:val="5"/>
              <w:widowControl w:val="0"/>
              <w:kinsoku/>
              <w:overflowPunct w:val="0"/>
              <w:autoSpaceDE/>
              <w:autoSpaceDN/>
              <w:ind w:right="9" w:hanging="3"/>
              <w:jc w:val="center"/>
              <w:rPr>
                <w:rFonts w:hint="eastAsia" w:ascii="宋体" w:hAnsi="宋体" w:eastAsia="宋体" w:cs="宋体"/>
                <w:lang w:eastAsia="zh-CN"/>
              </w:rPr>
            </w:pPr>
            <w:r>
              <w:rPr>
                <w:rFonts w:hint="eastAsia" w:ascii="宋体" w:hAnsi="宋体" w:eastAsia="宋体" w:cs="宋体"/>
                <w:lang w:eastAsia="zh-CN"/>
              </w:rPr>
              <w:t>智能网联汽车组合驾驶辅助系统技术要求及</w:t>
            </w:r>
          </w:p>
          <w:p>
            <w:pPr>
              <w:pStyle w:val="5"/>
              <w:widowControl w:val="0"/>
              <w:kinsoku/>
              <w:overflowPunct w:val="0"/>
              <w:autoSpaceDE/>
              <w:autoSpaceDN/>
              <w:ind w:right="9" w:hanging="3"/>
              <w:jc w:val="center"/>
              <w:rPr>
                <w:rFonts w:hint="eastAsia" w:ascii="宋体" w:hAnsi="宋体" w:eastAsia="宋体" w:cs="宋体"/>
                <w:lang w:eastAsia="zh-CN"/>
              </w:rPr>
            </w:pPr>
            <w:r>
              <w:rPr>
                <w:rFonts w:hint="eastAsia" w:ascii="宋体" w:hAnsi="宋体" w:eastAsia="宋体" w:cs="宋体"/>
                <w:lang w:eastAsia="zh-CN"/>
              </w:rPr>
              <w:t>试验方法 第1部分：单车道行驶控制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196</w:t>
            </w:r>
          </w:p>
        </w:tc>
        <w:tc>
          <w:tcPr>
            <w:tcW w:w="4969" w:type="dxa"/>
            <w:noWrap w:val="0"/>
            <w:vAlign w:val="center"/>
          </w:tcPr>
          <w:p>
            <w:pPr>
              <w:pStyle w:val="5"/>
              <w:widowControl w:val="0"/>
              <w:kinsoku/>
              <w:overflowPunct w:val="0"/>
              <w:autoSpaceDE/>
              <w:autoSpaceDN/>
              <w:ind w:right="9" w:hanging="3"/>
              <w:jc w:val="center"/>
              <w:rPr>
                <w:rFonts w:hint="eastAsia" w:ascii="宋体" w:hAnsi="宋体" w:eastAsia="宋体" w:cs="宋体"/>
                <w:lang w:eastAsia="zh-CN"/>
              </w:rPr>
            </w:pPr>
            <w:r>
              <w:rPr>
                <w:rFonts w:hint="eastAsia" w:ascii="宋体" w:hAnsi="宋体" w:eastAsia="宋体" w:cs="宋体"/>
                <w:lang w:eastAsia="zh-CN"/>
              </w:rPr>
              <w:t>智能网联汽车组合驾驶辅助系统技术要求及</w:t>
            </w:r>
          </w:p>
          <w:p>
            <w:pPr>
              <w:pStyle w:val="5"/>
              <w:widowControl w:val="0"/>
              <w:kinsoku/>
              <w:overflowPunct w:val="0"/>
              <w:autoSpaceDE/>
              <w:autoSpaceDN/>
              <w:ind w:right="9" w:hanging="3"/>
              <w:jc w:val="center"/>
              <w:rPr>
                <w:rFonts w:hint="eastAsia" w:ascii="宋体" w:hAnsi="宋体" w:eastAsia="宋体" w:cs="宋体"/>
                <w:lang w:eastAsia="zh-CN"/>
              </w:rPr>
            </w:pPr>
            <w:r>
              <w:rPr>
                <w:rFonts w:hint="eastAsia" w:ascii="宋体" w:hAnsi="宋体" w:eastAsia="宋体" w:cs="宋体"/>
                <w:lang w:eastAsia="zh-CN"/>
              </w:rPr>
              <w:t>试验方法 第2部分：多车道行驶控制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197</w:t>
            </w:r>
          </w:p>
        </w:tc>
        <w:tc>
          <w:tcPr>
            <w:tcW w:w="4969" w:type="dxa"/>
            <w:noWrap w:val="0"/>
            <w:vAlign w:val="center"/>
          </w:tcPr>
          <w:p>
            <w:pPr>
              <w:pStyle w:val="5"/>
              <w:widowControl w:val="0"/>
              <w:kinsoku/>
              <w:overflowPunct w:val="0"/>
              <w:autoSpaceDE/>
              <w:autoSpaceDN/>
              <w:ind w:right="6" w:firstLine="26"/>
              <w:jc w:val="center"/>
              <w:rPr>
                <w:rFonts w:hint="eastAsia" w:ascii="宋体" w:hAnsi="宋体" w:eastAsia="宋体" w:cs="宋体"/>
                <w:lang w:eastAsia="zh-CN"/>
              </w:rPr>
            </w:pPr>
            <w:r>
              <w:rPr>
                <w:rFonts w:hint="eastAsia" w:ascii="宋体" w:hAnsi="宋体" w:eastAsia="宋体" w:cs="宋体"/>
                <w:lang w:eastAsia="zh-CN"/>
              </w:rPr>
              <w:t>电动汽车远程服务与管理系统技术规范</w:t>
            </w:r>
          </w:p>
          <w:p>
            <w:pPr>
              <w:pStyle w:val="5"/>
              <w:widowControl w:val="0"/>
              <w:kinsoku/>
              <w:overflowPunct w:val="0"/>
              <w:autoSpaceDE/>
              <w:autoSpaceDN/>
              <w:ind w:right="6" w:firstLine="26"/>
              <w:jc w:val="center"/>
              <w:rPr>
                <w:rFonts w:hint="eastAsia" w:ascii="宋体" w:hAnsi="宋体" w:eastAsia="宋体" w:cs="宋体"/>
                <w:lang w:eastAsia="zh-CN"/>
              </w:rPr>
            </w:pPr>
            <w:r>
              <w:rPr>
                <w:rFonts w:hint="eastAsia" w:ascii="宋体" w:hAnsi="宋体" w:eastAsia="宋体" w:cs="宋体"/>
                <w:lang w:eastAsia="zh-CN"/>
              </w:rPr>
              <w:t>第3部分：通讯协议及数据格式</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198</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汽车数据通用要求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199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汽车整车信息安全技术要求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汽车软件升级通用技术要求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新能源汽车售后服务规范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电动汽车能量消耗量限值 第1部分：乘用车</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乘用车燃料消耗量限值</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机动车冷却液 第3部分：燃料电池汽车冷却液</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交通运输部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电动商用车换电安全要求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206</w:t>
            </w:r>
          </w:p>
        </w:tc>
        <w:tc>
          <w:tcPr>
            <w:tcW w:w="4969" w:type="dxa"/>
            <w:noWrap w:val="0"/>
            <w:vAlign w:val="center"/>
          </w:tcPr>
          <w:p>
            <w:pPr>
              <w:pStyle w:val="5"/>
              <w:widowControl w:val="0"/>
              <w:kinsoku/>
              <w:overflowPunct w:val="0"/>
              <w:autoSpaceDE/>
              <w:autoSpaceDN/>
              <w:ind w:right="6" w:firstLine="29"/>
              <w:jc w:val="center"/>
              <w:rPr>
                <w:rFonts w:hint="eastAsia" w:ascii="宋体" w:hAnsi="宋体" w:eastAsia="宋体" w:cs="宋体"/>
                <w:lang w:eastAsia="zh-CN"/>
              </w:rPr>
            </w:pPr>
            <w:r>
              <w:rPr>
                <w:rFonts w:hint="eastAsia" w:ascii="宋体" w:hAnsi="宋体" w:eastAsia="宋体" w:cs="宋体"/>
                <w:lang w:eastAsia="zh-CN"/>
              </w:rPr>
              <w:t>电动汽车传导充电系统</w:t>
            </w:r>
          </w:p>
          <w:p>
            <w:pPr>
              <w:pStyle w:val="5"/>
              <w:widowControl w:val="0"/>
              <w:kinsoku/>
              <w:overflowPunct w:val="0"/>
              <w:autoSpaceDE/>
              <w:autoSpaceDN/>
              <w:ind w:right="6" w:firstLine="29"/>
              <w:jc w:val="center"/>
              <w:rPr>
                <w:rFonts w:hint="eastAsia" w:ascii="宋体" w:hAnsi="宋体" w:eastAsia="宋体" w:cs="宋体"/>
                <w:lang w:eastAsia="zh-CN"/>
              </w:rPr>
            </w:pPr>
            <w:r>
              <w:rPr>
                <w:rFonts w:hint="eastAsia" w:ascii="宋体" w:hAnsi="宋体" w:eastAsia="宋体" w:cs="宋体"/>
                <w:lang w:eastAsia="zh-CN"/>
              </w:rPr>
              <w:t>第X部分：用于GB/T20234.3的直流充电系统</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207</w:t>
            </w:r>
          </w:p>
        </w:tc>
        <w:tc>
          <w:tcPr>
            <w:tcW w:w="4969" w:type="dxa"/>
            <w:noWrap w:val="0"/>
            <w:vAlign w:val="center"/>
          </w:tcPr>
          <w:p>
            <w:pPr>
              <w:pStyle w:val="5"/>
              <w:widowControl w:val="0"/>
              <w:kinsoku/>
              <w:overflowPunct w:val="0"/>
              <w:autoSpaceDE/>
              <w:autoSpaceDN/>
              <w:spacing w:line="300" w:lineRule="exact"/>
              <w:ind w:right="9" w:firstLine="10"/>
              <w:jc w:val="center"/>
              <w:rPr>
                <w:rFonts w:hint="eastAsia" w:ascii="宋体" w:hAnsi="宋体" w:eastAsia="宋体" w:cs="宋体"/>
                <w:lang w:eastAsia="zh-CN"/>
              </w:rPr>
            </w:pPr>
            <w:r>
              <w:rPr>
                <w:rFonts w:hint="eastAsia" w:ascii="宋体" w:hAnsi="宋体" w:eastAsia="宋体" w:cs="宋体"/>
                <w:lang w:eastAsia="zh-CN"/>
              </w:rPr>
              <w:t>非车载传导式充电机与电动汽车之间的数字</w:t>
            </w:r>
          </w:p>
          <w:p>
            <w:pPr>
              <w:pStyle w:val="5"/>
              <w:widowControl w:val="0"/>
              <w:kinsoku/>
              <w:overflowPunct w:val="0"/>
              <w:autoSpaceDE/>
              <w:autoSpaceDN/>
              <w:spacing w:line="300" w:lineRule="exact"/>
              <w:ind w:right="9" w:firstLine="10"/>
              <w:jc w:val="center"/>
              <w:rPr>
                <w:rFonts w:hint="eastAsia" w:ascii="宋体" w:hAnsi="宋体" w:eastAsia="宋体" w:cs="宋体"/>
                <w:lang w:eastAsia="zh-CN"/>
              </w:rPr>
            </w:pPr>
            <w:r>
              <w:rPr>
                <w:rFonts w:hint="eastAsia" w:ascii="宋体" w:hAnsi="宋体" w:eastAsia="宋体" w:cs="宋体"/>
                <w:lang w:eastAsia="zh-CN"/>
              </w:rPr>
              <w:t>通信协议 第X部分；用于GB/T20234.3</w:t>
            </w:r>
          </w:p>
          <w:p>
            <w:pPr>
              <w:pStyle w:val="5"/>
              <w:widowControl w:val="0"/>
              <w:kinsoku/>
              <w:overflowPunct w:val="0"/>
              <w:autoSpaceDE/>
              <w:autoSpaceDN/>
              <w:spacing w:line="300" w:lineRule="exact"/>
              <w:ind w:right="9" w:firstLine="10"/>
              <w:jc w:val="center"/>
              <w:rPr>
                <w:rFonts w:hint="eastAsia" w:ascii="宋体" w:hAnsi="宋体" w:eastAsia="宋体" w:cs="宋体"/>
              </w:rPr>
            </w:pPr>
            <w:r>
              <w:rPr>
                <w:rFonts w:hint="eastAsia" w:ascii="宋体" w:hAnsi="宋体" w:eastAsia="宋体" w:cs="宋体"/>
              </w:rPr>
              <w:t>的通信协议</w:t>
            </w:r>
          </w:p>
        </w:tc>
        <w:tc>
          <w:tcPr>
            <w:tcW w:w="866" w:type="dxa"/>
            <w:noWrap w:val="0"/>
            <w:vAlign w:val="center"/>
          </w:tcPr>
          <w:p>
            <w:pPr>
              <w:pStyle w:val="5"/>
              <w:widowControl w:val="0"/>
              <w:kinsoku/>
              <w:overflowPunct w:val="0"/>
              <w:autoSpaceDE/>
              <w:autoSpaceDN/>
              <w:spacing w:line="300" w:lineRule="exact"/>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spacing w:line="300" w:lineRule="exact"/>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spacing w:line="300" w:lineRule="exact"/>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spacing w:line="300" w:lineRule="exact"/>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spacing w:line="300" w:lineRule="exact"/>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spacing w:line="300" w:lineRule="exact"/>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新能源汽车运行安全检验规程</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公安部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209</w:t>
            </w:r>
          </w:p>
        </w:tc>
        <w:tc>
          <w:tcPr>
            <w:tcW w:w="4969" w:type="dxa"/>
            <w:noWrap w:val="0"/>
            <w:vAlign w:val="center"/>
          </w:tcPr>
          <w:p>
            <w:pPr>
              <w:pStyle w:val="5"/>
              <w:widowControl w:val="0"/>
              <w:kinsoku/>
              <w:overflowPunct w:val="0"/>
              <w:autoSpaceDE/>
              <w:autoSpaceDN/>
              <w:ind w:right="6" w:firstLine="1"/>
              <w:jc w:val="center"/>
              <w:rPr>
                <w:rFonts w:hint="eastAsia" w:ascii="宋体" w:hAnsi="宋体" w:eastAsia="宋体" w:cs="宋体"/>
                <w:lang w:eastAsia="zh-CN"/>
              </w:rPr>
            </w:pPr>
            <w:r>
              <w:rPr>
                <w:rFonts w:hint="eastAsia" w:ascii="宋体" w:hAnsi="宋体" w:eastAsia="宋体" w:cs="宋体"/>
                <w:lang w:eastAsia="zh-CN"/>
              </w:rPr>
              <w:t>乘用车循环外技术/装置节能效果评价方法</w:t>
            </w:r>
          </w:p>
          <w:p>
            <w:pPr>
              <w:pStyle w:val="5"/>
              <w:widowControl w:val="0"/>
              <w:kinsoku/>
              <w:overflowPunct w:val="0"/>
              <w:autoSpaceDE/>
              <w:autoSpaceDN/>
              <w:ind w:right="6" w:firstLine="1"/>
              <w:jc w:val="center"/>
              <w:rPr>
                <w:rFonts w:hint="eastAsia" w:ascii="宋体" w:hAnsi="宋体" w:eastAsia="宋体" w:cs="宋体"/>
              </w:rPr>
            </w:pPr>
            <w:r>
              <w:rPr>
                <w:rFonts w:hint="eastAsia" w:ascii="宋体" w:hAnsi="宋体" w:eastAsia="宋体" w:cs="宋体"/>
              </w:rPr>
              <w:t>第5部分；发电机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210</w:t>
            </w:r>
          </w:p>
        </w:tc>
        <w:tc>
          <w:tcPr>
            <w:tcW w:w="4969" w:type="dxa"/>
            <w:noWrap w:val="0"/>
            <w:vAlign w:val="center"/>
          </w:tcPr>
          <w:p>
            <w:pPr>
              <w:pStyle w:val="5"/>
              <w:widowControl w:val="0"/>
              <w:kinsoku/>
              <w:overflowPunct w:val="0"/>
              <w:autoSpaceDE/>
              <w:autoSpaceDN/>
              <w:ind w:right="6" w:hanging="2"/>
              <w:jc w:val="center"/>
              <w:rPr>
                <w:rFonts w:hint="eastAsia" w:ascii="宋体" w:hAnsi="宋体" w:eastAsia="宋体" w:cs="宋体"/>
                <w:lang w:eastAsia="zh-CN"/>
              </w:rPr>
            </w:pPr>
            <w:r>
              <w:rPr>
                <w:rFonts w:hint="eastAsia" w:ascii="宋体" w:hAnsi="宋体" w:eastAsia="宋体" w:cs="宋体"/>
                <w:lang w:eastAsia="zh-CN"/>
              </w:rPr>
              <w:t>道路车辆温室气体管理通用要求</w:t>
            </w:r>
          </w:p>
          <w:p>
            <w:pPr>
              <w:pStyle w:val="5"/>
              <w:widowControl w:val="0"/>
              <w:kinsoku/>
              <w:overflowPunct w:val="0"/>
              <w:autoSpaceDE/>
              <w:autoSpaceDN/>
              <w:ind w:right="6" w:hanging="2"/>
              <w:jc w:val="center"/>
              <w:rPr>
                <w:rFonts w:hint="eastAsia" w:ascii="宋体" w:hAnsi="宋体" w:eastAsia="宋体" w:cs="宋体"/>
              </w:rPr>
            </w:pPr>
            <w:r>
              <w:rPr>
                <w:rFonts w:hint="eastAsia" w:ascii="宋体" w:hAnsi="宋体" w:eastAsia="宋体" w:cs="宋体"/>
              </w:rPr>
              <w:t>第1部分：术语和定义</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211</w:t>
            </w:r>
          </w:p>
        </w:tc>
        <w:tc>
          <w:tcPr>
            <w:tcW w:w="4969" w:type="dxa"/>
            <w:noWrap w:val="0"/>
            <w:vAlign w:val="center"/>
          </w:tcPr>
          <w:p>
            <w:pPr>
              <w:pStyle w:val="5"/>
              <w:widowControl w:val="0"/>
              <w:kinsoku/>
              <w:overflowPunct w:val="0"/>
              <w:autoSpaceDE/>
              <w:autoSpaceDN/>
              <w:ind w:right="6" w:firstLine="7"/>
              <w:jc w:val="center"/>
              <w:rPr>
                <w:rFonts w:hint="eastAsia" w:ascii="宋体" w:hAnsi="宋体" w:eastAsia="宋体" w:cs="宋体"/>
                <w:lang w:eastAsia="zh-CN"/>
              </w:rPr>
            </w:pPr>
            <w:r>
              <w:rPr>
                <w:rFonts w:hint="eastAsia" w:ascii="宋体" w:hAnsi="宋体" w:eastAsia="宋体" w:cs="宋体"/>
                <w:lang w:eastAsia="zh-CN"/>
              </w:rPr>
              <w:t>道路车辆温室气体管理通用要求</w:t>
            </w:r>
          </w:p>
          <w:p>
            <w:pPr>
              <w:pStyle w:val="5"/>
              <w:widowControl w:val="0"/>
              <w:kinsoku/>
              <w:overflowPunct w:val="0"/>
              <w:autoSpaceDE/>
              <w:autoSpaceDN/>
              <w:ind w:right="6" w:firstLine="7"/>
              <w:jc w:val="center"/>
              <w:rPr>
                <w:rFonts w:hint="eastAsia" w:ascii="宋体" w:hAnsi="宋体" w:eastAsia="宋体" w:cs="宋体"/>
                <w:lang w:eastAsia="zh-CN"/>
              </w:rPr>
            </w:pPr>
            <w:r>
              <w:rPr>
                <w:rFonts w:hint="eastAsia" w:ascii="宋体" w:hAnsi="宋体" w:eastAsia="宋体" w:cs="宋体"/>
                <w:lang w:eastAsia="zh-CN"/>
              </w:rPr>
              <w:t>第2部分：产品碳足迹标识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212</w:t>
            </w:r>
          </w:p>
        </w:tc>
        <w:tc>
          <w:tcPr>
            <w:tcW w:w="4969" w:type="dxa"/>
            <w:noWrap w:val="0"/>
            <w:vAlign w:val="center"/>
          </w:tcPr>
          <w:p>
            <w:pPr>
              <w:pStyle w:val="5"/>
              <w:widowControl w:val="0"/>
              <w:kinsoku/>
              <w:overflowPunct w:val="0"/>
              <w:autoSpaceDE/>
              <w:autoSpaceDN/>
              <w:ind w:right="6" w:firstLine="5"/>
              <w:jc w:val="center"/>
              <w:rPr>
                <w:rFonts w:hint="eastAsia" w:ascii="宋体" w:hAnsi="宋体" w:eastAsia="宋体" w:cs="宋体"/>
                <w:lang w:eastAsia="zh-CN"/>
              </w:rPr>
            </w:pPr>
            <w:r>
              <w:rPr>
                <w:rFonts w:hint="eastAsia" w:ascii="宋体" w:hAnsi="宋体" w:eastAsia="宋体" w:cs="宋体"/>
                <w:lang w:eastAsia="zh-CN"/>
              </w:rPr>
              <w:t>家用和类似用途电器的安全</w:t>
            </w:r>
          </w:p>
          <w:p>
            <w:pPr>
              <w:pStyle w:val="5"/>
              <w:widowControl w:val="0"/>
              <w:kinsoku/>
              <w:overflowPunct w:val="0"/>
              <w:autoSpaceDE/>
              <w:autoSpaceDN/>
              <w:ind w:right="6" w:firstLine="5"/>
              <w:jc w:val="center"/>
              <w:rPr>
                <w:rFonts w:hint="eastAsia" w:ascii="宋体" w:hAnsi="宋体" w:eastAsia="宋体" w:cs="宋体"/>
                <w:lang w:eastAsia="zh-CN"/>
              </w:rPr>
            </w:pPr>
            <w:r>
              <w:rPr>
                <w:rFonts w:hint="eastAsia" w:ascii="宋体" w:hAnsi="宋体" w:eastAsia="宋体" w:cs="宋体"/>
                <w:lang w:eastAsia="zh-CN"/>
              </w:rPr>
              <w:t>第X部分：直流家用电器的特殊要求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213</w:t>
            </w:r>
          </w:p>
        </w:tc>
        <w:tc>
          <w:tcPr>
            <w:tcW w:w="4969" w:type="dxa"/>
            <w:noWrap w:val="0"/>
            <w:vAlign w:val="center"/>
          </w:tcPr>
          <w:p>
            <w:pPr>
              <w:pStyle w:val="5"/>
              <w:widowControl w:val="0"/>
              <w:kinsoku/>
              <w:overflowPunct w:val="0"/>
              <w:autoSpaceDE/>
              <w:autoSpaceDN/>
              <w:ind w:right="6" w:hanging="2"/>
              <w:jc w:val="center"/>
              <w:rPr>
                <w:rFonts w:hint="eastAsia" w:ascii="宋体" w:hAnsi="宋体" w:eastAsia="宋体" w:cs="宋体"/>
                <w:lang w:eastAsia="zh-CN"/>
              </w:rPr>
            </w:pPr>
            <w:r>
              <w:rPr>
                <w:rFonts w:hint="eastAsia" w:ascii="宋体" w:hAnsi="宋体" w:eastAsia="宋体" w:cs="宋体"/>
                <w:lang w:eastAsia="zh-CN"/>
              </w:rPr>
              <w:t>家用和类似用途电器的安全</w:t>
            </w:r>
          </w:p>
          <w:p>
            <w:pPr>
              <w:pStyle w:val="5"/>
              <w:widowControl w:val="0"/>
              <w:kinsoku/>
              <w:overflowPunct w:val="0"/>
              <w:autoSpaceDE/>
              <w:autoSpaceDN/>
              <w:ind w:right="6" w:hanging="2"/>
              <w:jc w:val="center"/>
              <w:rPr>
                <w:rFonts w:hint="eastAsia" w:ascii="宋体" w:hAnsi="宋体" w:eastAsia="宋体" w:cs="宋体"/>
                <w:lang w:eastAsia="zh-CN"/>
              </w:rPr>
            </w:pPr>
            <w:r>
              <w:rPr>
                <w:rFonts w:hint="eastAsia" w:ascii="宋体" w:hAnsi="宋体" w:eastAsia="宋体" w:cs="宋体"/>
                <w:lang w:eastAsia="zh-CN"/>
              </w:rPr>
              <w:t>第X部分：新风净化机的特殊要求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214</w:t>
            </w:r>
          </w:p>
        </w:tc>
        <w:tc>
          <w:tcPr>
            <w:tcW w:w="4969" w:type="dxa"/>
            <w:noWrap w:val="0"/>
            <w:vAlign w:val="center"/>
          </w:tcPr>
          <w:p>
            <w:pPr>
              <w:pStyle w:val="5"/>
              <w:widowControl w:val="0"/>
              <w:kinsoku/>
              <w:overflowPunct w:val="0"/>
              <w:autoSpaceDE/>
              <w:autoSpaceDN/>
              <w:ind w:right="9"/>
              <w:jc w:val="center"/>
              <w:rPr>
                <w:rFonts w:hint="eastAsia" w:ascii="宋体" w:hAnsi="宋体" w:eastAsia="宋体" w:cs="宋体"/>
                <w:lang w:eastAsia="zh-CN"/>
              </w:rPr>
            </w:pPr>
            <w:r>
              <w:rPr>
                <w:rFonts w:hint="eastAsia" w:ascii="宋体" w:hAnsi="宋体" w:eastAsia="宋体" w:cs="宋体"/>
                <w:lang w:eastAsia="zh-CN"/>
              </w:rPr>
              <w:t>家用和类似用途电器的安全使用年限和</w:t>
            </w:r>
          </w:p>
          <w:p>
            <w:pPr>
              <w:pStyle w:val="5"/>
              <w:widowControl w:val="0"/>
              <w:kinsoku/>
              <w:overflowPunct w:val="0"/>
              <w:autoSpaceDE/>
              <w:autoSpaceDN/>
              <w:ind w:right="9"/>
              <w:jc w:val="center"/>
              <w:rPr>
                <w:rFonts w:hint="eastAsia" w:ascii="宋体" w:hAnsi="宋体" w:eastAsia="宋体" w:cs="宋体"/>
              </w:rPr>
            </w:pPr>
            <w:r>
              <w:rPr>
                <w:rFonts w:hint="eastAsia" w:ascii="宋体" w:hAnsi="宋体" w:eastAsia="宋体" w:cs="宋体"/>
              </w:rPr>
              <w:t>再生利用通则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215</w:t>
            </w:r>
          </w:p>
        </w:tc>
        <w:tc>
          <w:tcPr>
            <w:tcW w:w="4969" w:type="dxa"/>
            <w:noWrap w:val="0"/>
            <w:vAlign w:val="center"/>
          </w:tcPr>
          <w:p>
            <w:pPr>
              <w:pStyle w:val="5"/>
              <w:widowControl w:val="0"/>
              <w:kinsoku/>
              <w:overflowPunct w:val="0"/>
              <w:autoSpaceDE/>
              <w:autoSpaceDN/>
              <w:ind w:right="9" w:hanging="1"/>
              <w:jc w:val="center"/>
              <w:rPr>
                <w:rFonts w:hint="eastAsia" w:ascii="宋体" w:hAnsi="宋体" w:eastAsia="宋体" w:cs="宋体"/>
                <w:lang w:eastAsia="zh-CN"/>
              </w:rPr>
            </w:pPr>
            <w:r>
              <w:rPr>
                <w:rFonts w:hint="eastAsia" w:ascii="宋体" w:hAnsi="宋体" w:eastAsia="宋体" w:cs="宋体"/>
                <w:lang w:eastAsia="zh-CN"/>
              </w:rPr>
              <w:t>家用和类似用途电器的安全使用年限房间空气调节器的特殊要求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家用和类似用途制冷器具</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家用和类似用途电动洗衣机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218</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商用清洁机器人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219</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婴幼儿辅食机</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220</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光伏电热水器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221</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集成电灶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宠物用电动清洁养护器具</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家用电器的人机交互 第1部分；通用要求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无线供电厨房系统接口协议</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家用和类似用途电器包装集成灶的特殊要求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226</w:t>
            </w:r>
          </w:p>
        </w:tc>
        <w:tc>
          <w:tcPr>
            <w:tcW w:w="4969" w:type="dxa"/>
            <w:noWrap w:val="0"/>
            <w:vAlign w:val="center"/>
          </w:tcPr>
          <w:p>
            <w:pPr>
              <w:pStyle w:val="5"/>
              <w:widowControl w:val="0"/>
              <w:kinsoku/>
              <w:overflowPunct w:val="0"/>
              <w:autoSpaceDE/>
              <w:autoSpaceDN/>
              <w:ind w:right="9" w:firstLine="6"/>
              <w:jc w:val="center"/>
              <w:rPr>
                <w:rFonts w:hint="eastAsia" w:ascii="宋体" w:hAnsi="宋体" w:eastAsia="宋体" w:cs="宋体"/>
                <w:lang w:eastAsia="zh-CN"/>
              </w:rPr>
            </w:pPr>
            <w:r>
              <w:rPr>
                <w:rFonts w:hint="eastAsia" w:ascii="宋体" w:hAnsi="宋体" w:eastAsia="宋体" w:cs="宋体"/>
                <w:lang w:eastAsia="zh-CN"/>
              </w:rPr>
              <w:t>家用和类似用途电器的抗菌、除菌、净化功能</w:t>
            </w:r>
          </w:p>
          <w:p>
            <w:pPr>
              <w:pStyle w:val="5"/>
              <w:widowControl w:val="0"/>
              <w:kinsoku/>
              <w:overflowPunct w:val="0"/>
              <w:autoSpaceDE/>
              <w:autoSpaceDN/>
              <w:ind w:right="9" w:firstLine="6"/>
              <w:jc w:val="center"/>
              <w:rPr>
                <w:rFonts w:hint="eastAsia" w:ascii="宋体" w:hAnsi="宋体" w:eastAsia="宋体" w:cs="宋体"/>
                <w:lang w:eastAsia="zh-CN"/>
              </w:rPr>
            </w:pPr>
            <w:r>
              <w:rPr>
                <w:rFonts w:hint="eastAsia" w:ascii="宋体" w:hAnsi="宋体" w:eastAsia="宋体" w:cs="宋体"/>
                <w:lang w:eastAsia="zh-CN"/>
              </w:rPr>
              <w:t>储水式电热水器的特殊要求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227</w:t>
            </w:r>
          </w:p>
        </w:tc>
        <w:tc>
          <w:tcPr>
            <w:tcW w:w="4969" w:type="dxa"/>
            <w:noWrap w:val="0"/>
            <w:vAlign w:val="center"/>
          </w:tcPr>
          <w:p>
            <w:pPr>
              <w:pStyle w:val="5"/>
              <w:widowControl w:val="0"/>
              <w:kinsoku/>
              <w:overflowPunct w:val="0"/>
              <w:autoSpaceDE/>
              <w:autoSpaceDN/>
              <w:ind w:right="9" w:hanging="5"/>
              <w:jc w:val="center"/>
              <w:rPr>
                <w:rFonts w:hint="eastAsia" w:ascii="宋体" w:hAnsi="宋体" w:eastAsia="宋体" w:cs="宋体"/>
                <w:lang w:eastAsia="zh-CN"/>
              </w:rPr>
            </w:pPr>
            <w:r>
              <w:rPr>
                <w:rFonts w:hint="eastAsia" w:ascii="宋体" w:hAnsi="宋体" w:eastAsia="宋体" w:cs="宋体"/>
                <w:lang w:eastAsia="zh-CN"/>
              </w:rPr>
              <w:t>家用和类似用途电器的抗菌、除菌、净化功能</w:t>
            </w:r>
          </w:p>
          <w:p>
            <w:pPr>
              <w:pStyle w:val="5"/>
              <w:widowControl w:val="0"/>
              <w:kinsoku/>
              <w:overflowPunct w:val="0"/>
              <w:autoSpaceDE/>
              <w:autoSpaceDN/>
              <w:ind w:right="9" w:hanging="5"/>
              <w:jc w:val="center"/>
              <w:rPr>
                <w:rFonts w:hint="eastAsia" w:ascii="宋体" w:hAnsi="宋体" w:eastAsia="宋体" w:cs="宋体"/>
                <w:lang w:eastAsia="zh-CN"/>
              </w:rPr>
            </w:pPr>
            <w:r>
              <w:rPr>
                <w:rFonts w:hint="eastAsia" w:ascii="宋体" w:hAnsi="宋体" w:eastAsia="宋体" w:cs="宋体"/>
                <w:lang w:eastAsia="zh-CN"/>
              </w:rPr>
              <w:t>电坐便器便座的特殊要求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家用电器的适老化技术规范第1部分；通用要求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229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消费品质量分级家用电器空气净化器具</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家用空调器用户体验评价规范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医院家具通用技术要求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家具用实木复合板通用技术条件</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家具智能等级评定及标识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智慧睡眠床垫功效学技术要求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中小学生午休课桌椅通用技术要求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236</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适老家具设计指南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237</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家用轮椅床</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238</w:t>
            </w:r>
          </w:p>
        </w:tc>
        <w:tc>
          <w:tcPr>
            <w:tcW w:w="4969" w:type="dxa"/>
            <w:noWrap w:val="0"/>
            <w:vAlign w:val="center"/>
          </w:tcPr>
          <w:p>
            <w:pPr>
              <w:pStyle w:val="5"/>
              <w:widowControl w:val="0"/>
              <w:kinsoku/>
              <w:overflowPunct w:val="0"/>
              <w:autoSpaceDE/>
              <w:autoSpaceDN/>
              <w:ind w:right="9" w:firstLine="9"/>
              <w:jc w:val="center"/>
              <w:rPr>
                <w:rFonts w:hint="eastAsia" w:ascii="宋体" w:hAnsi="宋体" w:eastAsia="宋体" w:cs="宋体"/>
                <w:lang w:eastAsia="zh-CN"/>
              </w:rPr>
            </w:pPr>
            <w:r>
              <w:rPr>
                <w:rFonts w:hint="eastAsia" w:ascii="宋体" w:hAnsi="宋体" w:eastAsia="宋体" w:cs="宋体"/>
                <w:lang w:eastAsia="zh-CN"/>
              </w:rPr>
              <w:t>室内装饰装修材料人造板及其制品中甲醛</w:t>
            </w:r>
          </w:p>
          <w:p>
            <w:pPr>
              <w:pStyle w:val="5"/>
              <w:widowControl w:val="0"/>
              <w:kinsoku/>
              <w:overflowPunct w:val="0"/>
              <w:autoSpaceDE/>
              <w:autoSpaceDN/>
              <w:ind w:right="9" w:firstLine="9"/>
              <w:jc w:val="center"/>
              <w:rPr>
                <w:rFonts w:hint="eastAsia" w:ascii="宋体" w:hAnsi="宋体" w:eastAsia="宋体" w:cs="宋体"/>
              </w:rPr>
            </w:pPr>
            <w:r>
              <w:rPr>
                <w:rFonts w:hint="eastAsia" w:ascii="宋体" w:hAnsi="宋体" w:eastAsia="宋体" w:cs="宋体"/>
              </w:rPr>
              <w:t>释放限量</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国家林业和草原局</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239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浸渍胶膜纸饰面胶合板和细木工板</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国家林业和草原局</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涂料中有害物质限量 第1部分：建筑涂料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消费品质量分级卫生洁具</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消费品质量分级陶瓷砖</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243</w:t>
            </w:r>
          </w:p>
        </w:tc>
        <w:tc>
          <w:tcPr>
            <w:tcW w:w="4969" w:type="dxa"/>
            <w:noWrap w:val="0"/>
            <w:vAlign w:val="center"/>
          </w:tcPr>
          <w:p>
            <w:pPr>
              <w:pStyle w:val="5"/>
              <w:widowControl w:val="0"/>
              <w:kinsoku/>
              <w:overflowPunct w:val="0"/>
              <w:autoSpaceDE/>
              <w:autoSpaceDN/>
              <w:ind w:hanging="12"/>
              <w:jc w:val="center"/>
              <w:rPr>
                <w:rFonts w:hint="eastAsia" w:ascii="宋体" w:hAnsi="宋体" w:eastAsia="宋体" w:cs="宋体"/>
                <w:lang w:eastAsia="zh-CN"/>
              </w:rPr>
            </w:pPr>
            <w:r>
              <w:rPr>
                <w:rFonts w:hint="eastAsia" w:ascii="宋体" w:hAnsi="宋体" w:eastAsia="宋体" w:cs="宋体"/>
                <w:lang w:eastAsia="zh-CN"/>
              </w:rPr>
              <w:t>信息技术设备互连智能家居互联互通</w:t>
            </w:r>
          </w:p>
          <w:p>
            <w:pPr>
              <w:pStyle w:val="5"/>
              <w:widowControl w:val="0"/>
              <w:kinsoku/>
              <w:overflowPunct w:val="0"/>
              <w:autoSpaceDE/>
              <w:autoSpaceDN/>
              <w:ind w:hanging="12"/>
              <w:jc w:val="center"/>
              <w:rPr>
                <w:rFonts w:hint="eastAsia" w:ascii="宋体" w:hAnsi="宋体" w:eastAsia="宋体" w:cs="宋体"/>
              </w:rPr>
            </w:pPr>
            <w:r>
              <w:rPr>
                <w:rFonts w:hint="eastAsia" w:ascii="宋体" w:hAnsi="宋体" w:eastAsia="宋体" w:cs="宋体"/>
              </w:rPr>
              <w:t>第1部分：架构与通用要求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信息技术设备互连智能家居互联互通测试规范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245</w:t>
            </w:r>
          </w:p>
        </w:tc>
        <w:tc>
          <w:tcPr>
            <w:tcW w:w="4969" w:type="dxa"/>
            <w:noWrap w:val="0"/>
            <w:vAlign w:val="center"/>
          </w:tcPr>
          <w:p>
            <w:pPr>
              <w:pStyle w:val="5"/>
              <w:widowControl w:val="0"/>
              <w:kinsoku/>
              <w:overflowPunct w:val="0"/>
              <w:autoSpaceDE/>
              <w:autoSpaceDN/>
              <w:ind w:right="9" w:hanging="18"/>
              <w:jc w:val="center"/>
              <w:rPr>
                <w:rFonts w:hint="eastAsia" w:ascii="宋体" w:hAnsi="宋体" w:eastAsia="宋体" w:cs="宋体"/>
                <w:lang w:eastAsia="zh-CN"/>
              </w:rPr>
            </w:pPr>
            <w:r>
              <w:rPr>
                <w:rFonts w:hint="eastAsia" w:ascii="宋体" w:hAnsi="宋体" w:eastAsia="宋体" w:cs="宋体"/>
                <w:lang w:eastAsia="zh-CN"/>
              </w:rPr>
              <w:t>信息技术信息设备互连智能家居系统评价</w:t>
            </w:r>
          </w:p>
          <w:p>
            <w:pPr>
              <w:pStyle w:val="5"/>
              <w:widowControl w:val="0"/>
              <w:kinsoku/>
              <w:overflowPunct w:val="0"/>
              <w:autoSpaceDE/>
              <w:autoSpaceDN/>
              <w:ind w:right="9" w:hanging="18"/>
              <w:jc w:val="center"/>
              <w:rPr>
                <w:rFonts w:hint="eastAsia" w:ascii="宋体" w:hAnsi="宋体" w:eastAsia="宋体" w:cs="宋体"/>
              </w:rPr>
            </w:pPr>
            <w:r>
              <w:rPr>
                <w:rFonts w:hint="eastAsia" w:ascii="宋体" w:hAnsi="宋体" w:eastAsia="宋体" w:cs="宋体"/>
              </w:rPr>
              <w:t>指标体系和评价方法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246</w:t>
            </w:r>
          </w:p>
        </w:tc>
        <w:tc>
          <w:tcPr>
            <w:tcW w:w="4969" w:type="dxa"/>
            <w:noWrap w:val="0"/>
            <w:vAlign w:val="center"/>
          </w:tcPr>
          <w:p>
            <w:pPr>
              <w:pStyle w:val="5"/>
              <w:widowControl w:val="0"/>
              <w:kinsoku/>
              <w:overflowPunct w:val="0"/>
              <w:autoSpaceDE/>
              <w:autoSpaceDN/>
              <w:ind w:right="9" w:hanging="7"/>
              <w:jc w:val="center"/>
              <w:rPr>
                <w:rFonts w:hint="eastAsia" w:ascii="宋体" w:hAnsi="宋体" w:eastAsia="宋体" w:cs="宋体"/>
                <w:lang w:eastAsia="zh-CN"/>
              </w:rPr>
            </w:pPr>
            <w:r>
              <w:rPr>
                <w:rFonts w:hint="eastAsia" w:ascii="宋体" w:hAnsi="宋体" w:eastAsia="宋体" w:cs="宋体"/>
                <w:lang w:eastAsia="zh-CN"/>
              </w:rPr>
              <w:t>信息技术信息设备互连智能家用电子系统局域互联 第1部分；框架和通用要求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247</w:t>
            </w:r>
          </w:p>
        </w:tc>
        <w:tc>
          <w:tcPr>
            <w:tcW w:w="4969" w:type="dxa"/>
            <w:noWrap w:val="0"/>
            <w:vAlign w:val="center"/>
          </w:tcPr>
          <w:p>
            <w:pPr>
              <w:pStyle w:val="5"/>
              <w:widowControl w:val="0"/>
              <w:kinsoku/>
              <w:overflowPunct w:val="0"/>
              <w:autoSpaceDE/>
              <w:autoSpaceDN/>
              <w:ind w:right="6"/>
              <w:jc w:val="center"/>
              <w:rPr>
                <w:rFonts w:hint="eastAsia" w:ascii="宋体" w:hAnsi="宋体" w:eastAsia="宋体" w:cs="宋体"/>
                <w:lang w:eastAsia="zh-CN"/>
              </w:rPr>
            </w:pPr>
            <w:r>
              <w:rPr>
                <w:rFonts w:hint="eastAsia" w:ascii="宋体" w:hAnsi="宋体" w:eastAsia="宋体" w:cs="宋体"/>
                <w:lang w:eastAsia="zh-CN"/>
              </w:rPr>
              <w:t>高动态范围(HDR)视频技术</w:t>
            </w:r>
          </w:p>
          <w:p>
            <w:pPr>
              <w:pStyle w:val="5"/>
              <w:widowControl w:val="0"/>
              <w:kinsoku/>
              <w:overflowPunct w:val="0"/>
              <w:autoSpaceDE/>
              <w:autoSpaceDN/>
              <w:ind w:right="6"/>
              <w:jc w:val="center"/>
              <w:rPr>
                <w:rFonts w:hint="eastAsia" w:ascii="宋体" w:hAnsi="宋体" w:eastAsia="宋体" w:cs="宋体"/>
              </w:rPr>
            </w:pPr>
            <w:r>
              <w:rPr>
                <w:rFonts w:hint="eastAsia" w:ascii="宋体" w:hAnsi="宋体" w:eastAsia="宋体" w:cs="宋体"/>
              </w:rPr>
              <w:t>第1部分元数据及适配</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position w:val="3"/>
                <w:lang w:eastAsia="zh-CN"/>
              </w:rPr>
              <w:t>高动态范围(HDR)视频技术 第2部分：应用指南</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249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三维声技术规范 第1部分：编码分发与呈现</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音频、视频及多媒体系统与设备适老化设计要求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251</w:t>
            </w:r>
          </w:p>
        </w:tc>
        <w:tc>
          <w:tcPr>
            <w:tcW w:w="4969" w:type="dxa"/>
            <w:noWrap w:val="0"/>
            <w:vAlign w:val="center"/>
          </w:tcPr>
          <w:p>
            <w:pPr>
              <w:pStyle w:val="5"/>
              <w:widowControl w:val="0"/>
              <w:kinsoku/>
              <w:overflowPunct w:val="0"/>
              <w:autoSpaceDE/>
              <w:autoSpaceDN/>
              <w:ind w:right="9" w:firstLine="3"/>
              <w:jc w:val="center"/>
              <w:rPr>
                <w:rFonts w:hint="eastAsia" w:ascii="宋体" w:hAnsi="宋体" w:eastAsia="宋体" w:cs="宋体"/>
                <w:lang w:eastAsia="zh-CN"/>
              </w:rPr>
            </w:pPr>
            <w:r>
              <w:rPr>
                <w:rFonts w:hint="eastAsia" w:ascii="宋体" w:hAnsi="宋体" w:eastAsia="宋体" w:cs="宋体"/>
                <w:lang w:eastAsia="zh-CN"/>
              </w:rPr>
              <w:t>音频、视频及多媒体系统与设备适老化水平</w:t>
            </w:r>
          </w:p>
          <w:p>
            <w:pPr>
              <w:pStyle w:val="5"/>
              <w:widowControl w:val="0"/>
              <w:kinsoku/>
              <w:overflowPunct w:val="0"/>
              <w:autoSpaceDE/>
              <w:autoSpaceDN/>
              <w:ind w:right="9" w:firstLine="3"/>
              <w:jc w:val="center"/>
              <w:rPr>
                <w:rFonts w:hint="eastAsia" w:ascii="宋体" w:hAnsi="宋体" w:eastAsia="宋体" w:cs="宋体"/>
              </w:rPr>
            </w:pPr>
            <w:r>
              <w:rPr>
                <w:rFonts w:hint="eastAsia" w:ascii="宋体" w:hAnsi="宋体" w:eastAsia="宋体" w:cs="宋体"/>
              </w:rPr>
              <w:t>评价方法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消费品售后服务方法与要求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253</w:t>
            </w:r>
          </w:p>
        </w:tc>
        <w:tc>
          <w:tcPr>
            <w:tcW w:w="4969" w:type="dxa"/>
            <w:noWrap w:val="0"/>
            <w:vAlign w:val="center"/>
          </w:tcPr>
          <w:p>
            <w:pPr>
              <w:pStyle w:val="5"/>
              <w:widowControl w:val="0"/>
              <w:kinsoku/>
              <w:overflowPunct w:val="0"/>
              <w:autoSpaceDE/>
              <w:autoSpaceDN/>
              <w:ind w:right="9" w:firstLine="25"/>
              <w:jc w:val="center"/>
              <w:rPr>
                <w:rFonts w:hint="eastAsia" w:ascii="宋体" w:hAnsi="宋体" w:eastAsia="宋体" w:cs="宋体"/>
                <w:lang w:eastAsia="zh-CN"/>
              </w:rPr>
            </w:pPr>
            <w:r>
              <w:rPr>
                <w:rFonts w:hint="eastAsia" w:ascii="宋体" w:hAnsi="宋体" w:eastAsia="宋体" w:cs="宋体"/>
                <w:lang w:eastAsia="zh-CN"/>
              </w:rPr>
              <w:t>民用大中型固定翼无人机系统自主能力飞行</w:t>
            </w:r>
          </w:p>
          <w:p>
            <w:pPr>
              <w:pStyle w:val="5"/>
              <w:widowControl w:val="0"/>
              <w:kinsoku/>
              <w:overflowPunct w:val="0"/>
              <w:autoSpaceDE/>
              <w:autoSpaceDN/>
              <w:ind w:right="9" w:firstLine="25"/>
              <w:jc w:val="center"/>
              <w:rPr>
                <w:rFonts w:hint="eastAsia" w:ascii="宋体" w:hAnsi="宋体" w:eastAsia="宋体" w:cs="宋体"/>
              </w:rPr>
            </w:pPr>
            <w:r>
              <w:rPr>
                <w:rFonts w:hint="eastAsia" w:ascii="宋体" w:hAnsi="宋体" w:eastAsia="宋体" w:cs="宋体"/>
              </w:rPr>
              <w:t>试验要求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民用轻小型无人机碰撞安全性要求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民用无人机可靠性飞行试验要求与方法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民用无人驾驶航空器实名登记激活</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中国民用航空局</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position w:val="3"/>
                <w:lang w:eastAsia="zh-CN"/>
              </w:rPr>
              <w:t>无人驾驶航空器运行识别(远程识别)</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中国民用航空局</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消费品</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以旧换新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家具环境意识设计导则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259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position w:val="3"/>
                <w:lang w:eastAsia="zh-CN"/>
              </w:rPr>
              <w:t>绿色产品评价陶瓷砖(板)</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260</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绿色产品评价绝热材料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绿色产品评价防水与密封材料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绿色产品评价墙体材料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绿色产品评价建筑玻璃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中国建筑材料联合会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264</w:t>
            </w:r>
          </w:p>
        </w:tc>
        <w:tc>
          <w:tcPr>
            <w:tcW w:w="4969" w:type="dxa"/>
            <w:noWrap w:val="0"/>
            <w:vAlign w:val="center"/>
          </w:tcPr>
          <w:p>
            <w:pPr>
              <w:pStyle w:val="5"/>
              <w:widowControl w:val="0"/>
              <w:kinsoku/>
              <w:overflowPunct w:val="0"/>
              <w:autoSpaceDE/>
              <w:autoSpaceDN/>
              <w:ind w:right="6" w:firstLine="5"/>
              <w:jc w:val="center"/>
              <w:rPr>
                <w:rFonts w:hint="eastAsia" w:ascii="宋体" w:hAnsi="宋体" w:eastAsia="宋体" w:cs="宋体"/>
                <w:lang w:eastAsia="zh-CN"/>
              </w:rPr>
            </w:pPr>
            <w:r>
              <w:rPr>
                <w:rFonts w:hint="eastAsia" w:ascii="宋体" w:hAnsi="宋体" w:eastAsia="宋体" w:cs="宋体"/>
                <w:lang w:eastAsia="zh-CN"/>
              </w:rPr>
              <w:t xml:space="preserve">塑料可回收再生设计指南 </w:t>
            </w:r>
          </w:p>
          <w:p>
            <w:pPr>
              <w:pStyle w:val="5"/>
              <w:widowControl w:val="0"/>
              <w:kinsoku/>
              <w:overflowPunct w:val="0"/>
              <w:autoSpaceDE/>
              <w:autoSpaceDN/>
              <w:ind w:right="6" w:firstLine="5"/>
              <w:jc w:val="center"/>
              <w:rPr>
                <w:rFonts w:hint="eastAsia" w:ascii="宋体" w:hAnsi="宋体" w:eastAsia="宋体" w:cs="宋体"/>
              </w:rPr>
            </w:pPr>
            <w:r>
              <w:rPr>
                <w:rFonts w:hint="eastAsia" w:ascii="宋体" w:hAnsi="宋体" w:eastAsia="宋体" w:cs="宋体"/>
              </w:rPr>
              <w:t>第1部分；聚对苯二甲 酸乙二醇酯(PET)材料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265</w:t>
            </w:r>
          </w:p>
        </w:tc>
        <w:tc>
          <w:tcPr>
            <w:tcW w:w="4969" w:type="dxa"/>
            <w:noWrap w:val="0"/>
            <w:vAlign w:val="center"/>
          </w:tcPr>
          <w:p>
            <w:pPr>
              <w:pStyle w:val="5"/>
              <w:widowControl w:val="0"/>
              <w:kinsoku/>
              <w:overflowPunct w:val="0"/>
              <w:autoSpaceDE/>
              <w:autoSpaceDN/>
              <w:ind w:right="6" w:firstLine="9"/>
              <w:jc w:val="center"/>
              <w:rPr>
                <w:rFonts w:hint="eastAsia" w:ascii="宋体" w:hAnsi="宋体" w:eastAsia="宋体" w:cs="宋体"/>
                <w:lang w:eastAsia="zh-CN"/>
              </w:rPr>
            </w:pPr>
            <w:r>
              <w:rPr>
                <w:rFonts w:hint="eastAsia" w:ascii="宋体" w:hAnsi="宋体" w:eastAsia="宋体" w:cs="宋体"/>
                <w:lang w:eastAsia="zh-CN"/>
              </w:rPr>
              <w:t xml:space="preserve">塑料可回收再生设计指南 </w:t>
            </w:r>
          </w:p>
          <w:p>
            <w:pPr>
              <w:pStyle w:val="5"/>
              <w:widowControl w:val="0"/>
              <w:kinsoku/>
              <w:overflowPunct w:val="0"/>
              <w:autoSpaceDE/>
              <w:autoSpaceDN/>
              <w:ind w:right="6" w:firstLine="9"/>
              <w:jc w:val="center"/>
              <w:rPr>
                <w:rFonts w:hint="eastAsia" w:ascii="宋体" w:hAnsi="宋体" w:eastAsia="宋体" w:cs="宋体"/>
              </w:rPr>
            </w:pPr>
            <w:r>
              <w:rPr>
                <w:rFonts w:hint="eastAsia" w:ascii="宋体" w:hAnsi="宋体" w:eastAsia="宋体" w:cs="宋体"/>
                <w:lang w:eastAsia="zh-CN"/>
              </w:rPr>
              <w:t>第2部分：高密度</w:t>
            </w:r>
            <w:r>
              <w:rPr>
                <w:rFonts w:hint="eastAsia" w:ascii="宋体" w:hAnsi="宋体" w:eastAsia="宋体" w:cs="宋体"/>
              </w:rPr>
              <w:t>聚乙烯(HDPE)材料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绿色产品评价光伏组件及逆变器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267</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二手货品质鉴定通则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商务部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268</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二手货交易市场经营管理</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商务部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269</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老旧汽车估值评价规范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商务部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270</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传统经典车通用要求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商务部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报废机动车回用件通用技术规范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工业和信息化部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二手电子产品信息清除技术要求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273</w:t>
            </w:r>
          </w:p>
        </w:tc>
        <w:tc>
          <w:tcPr>
            <w:tcW w:w="4969" w:type="dxa"/>
            <w:noWrap w:val="0"/>
            <w:vAlign w:val="center"/>
          </w:tcPr>
          <w:p>
            <w:pPr>
              <w:pStyle w:val="5"/>
              <w:widowControl w:val="0"/>
              <w:kinsoku/>
              <w:overflowPunct w:val="0"/>
              <w:autoSpaceDE/>
              <w:autoSpaceDN/>
              <w:ind w:right="6" w:firstLine="13"/>
              <w:jc w:val="center"/>
              <w:rPr>
                <w:rFonts w:hint="eastAsia" w:ascii="宋体" w:hAnsi="宋体" w:eastAsia="宋体" w:cs="宋体"/>
                <w:lang w:eastAsia="zh-CN"/>
              </w:rPr>
            </w:pPr>
            <w:r>
              <w:rPr>
                <w:rFonts w:hint="eastAsia" w:ascii="宋体" w:hAnsi="宋体" w:eastAsia="宋体" w:cs="宋体"/>
                <w:lang w:eastAsia="zh-CN"/>
              </w:rPr>
              <w:t>二手家用电器产品品质鉴定规范</w:t>
            </w:r>
          </w:p>
          <w:p>
            <w:pPr>
              <w:pStyle w:val="5"/>
              <w:widowControl w:val="0"/>
              <w:kinsoku/>
              <w:overflowPunct w:val="0"/>
              <w:autoSpaceDE/>
              <w:autoSpaceDN/>
              <w:ind w:right="6" w:firstLine="13"/>
              <w:jc w:val="center"/>
              <w:rPr>
                <w:rFonts w:hint="eastAsia" w:ascii="宋体" w:hAnsi="宋体" w:eastAsia="宋体" w:cs="宋体"/>
                <w:lang w:eastAsia="zh-CN"/>
              </w:rPr>
            </w:pPr>
            <w:r>
              <w:rPr>
                <w:rFonts w:hint="eastAsia" w:ascii="宋体" w:hAnsi="宋体" w:eastAsia="宋体" w:cs="宋体"/>
                <w:lang w:eastAsia="zh-CN"/>
              </w:rPr>
              <w:t>第1部分；电冰箱、洗衣机、房间空调器</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二手电子产品可用程度分级规范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废旧家用电器回收服务评价规范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家用电器用废旧锂电池拆解及回收规范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277</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轮胎翻新生产技术规范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278</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轿车翻新轮胎</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279</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载重汽车翻新轮胎</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280</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工程机械翻新轮胎</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281</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家具回收利用技术规范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中华全国供销合作总社、</w:t>
            </w:r>
          </w:p>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282</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絮用纤维制品通用技术要求</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修订</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强制性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283</w:t>
            </w:r>
          </w:p>
        </w:tc>
        <w:tc>
          <w:tcPr>
            <w:tcW w:w="4969" w:type="dxa"/>
            <w:noWrap w:val="0"/>
            <w:vAlign w:val="center"/>
          </w:tcPr>
          <w:p>
            <w:pPr>
              <w:pStyle w:val="5"/>
              <w:widowControl w:val="0"/>
              <w:kinsoku/>
              <w:overflowPunct w:val="0"/>
              <w:autoSpaceDE/>
              <w:autoSpaceDN/>
              <w:ind w:right="9" w:hanging="16"/>
              <w:jc w:val="center"/>
              <w:rPr>
                <w:rFonts w:hint="eastAsia" w:ascii="宋体" w:hAnsi="宋体" w:eastAsia="宋体" w:cs="宋体"/>
                <w:lang w:eastAsia="zh-CN"/>
              </w:rPr>
            </w:pPr>
            <w:r>
              <w:rPr>
                <w:rFonts w:hint="eastAsia" w:ascii="宋体" w:hAnsi="宋体" w:eastAsia="宋体" w:cs="宋体"/>
                <w:lang w:eastAsia="zh-CN"/>
              </w:rPr>
              <w:t>风能发电系统风力发电机组废弃纤维复合材料回收方法</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序号</w:t>
            </w:r>
          </w:p>
        </w:tc>
        <w:tc>
          <w:tcPr>
            <w:tcW w:w="4969"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标准项目名称</w:t>
            </w:r>
          </w:p>
        </w:tc>
        <w:tc>
          <w:tcPr>
            <w:tcW w:w="866"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制定/</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修订</w:t>
            </w:r>
          </w:p>
        </w:tc>
        <w:tc>
          <w:tcPr>
            <w:tcW w:w="108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标准性质</w:t>
            </w:r>
          </w:p>
        </w:tc>
        <w:tc>
          <w:tcPr>
            <w:tcW w:w="3062"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主管部门</w:t>
            </w:r>
          </w:p>
        </w:tc>
        <w:tc>
          <w:tcPr>
            <w:tcW w:w="1201"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拟制修订</w:t>
            </w:r>
          </w:p>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年份</w:t>
            </w:r>
          </w:p>
        </w:tc>
        <w:tc>
          <w:tcPr>
            <w:tcW w:w="1243" w:type="dxa"/>
            <w:noWrap w:val="0"/>
            <w:vAlign w:val="center"/>
          </w:tcPr>
          <w:p>
            <w:pPr>
              <w:overflowPunct w:val="0"/>
              <w:adjustRightInd w:val="0"/>
              <w:snapToGrid w:val="0"/>
              <w:jc w:val="center"/>
              <w:textAlignment w:val="baseline"/>
              <w:rPr>
                <w:rFonts w:ascii="Times New Roman" w:hAnsi="Times New Roman" w:eastAsia="黑体" w:cs="Times New Roman"/>
                <w:snapToGrid w:val="0"/>
                <w:color w:val="000000"/>
                <w:kern w:val="0"/>
                <w:sz w:val="24"/>
                <w:lang w:eastAsia="en-US"/>
              </w:rPr>
            </w:pPr>
            <w:r>
              <w:rPr>
                <w:rFonts w:ascii="Times New Roman" w:hAnsi="Times New Roman" w:eastAsia="黑体" w:cs="Times New Roman"/>
                <w:snapToGrid w:val="0"/>
                <w:color w:val="000000"/>
                <w:kern w:val="0"/>
                <w:sz w:val="24"/>
                <w:lang w:eastAsia="en-US"/>
              </w:rPr>
              <w:t>所属领域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废旧农业机械回收体系建设规范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中国机械工业联合会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285</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重型机械再制造设计规范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国家标准化管理委员会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286</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塑料再生塑料 第4部分：聚烯烃混合物材料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287</w:t>
            </w:r>
          </w:p>
        </w:tc>
        <w:tc>
          <w:tcPr>
            <w:tcW w:w="4969" w:type="dxa"/>
            <w:noWrap w:val="0"/>
            <w:vAlign w:val="center"/>
          </w:tcPr>
          <w:p>
            <w:pPr>
              <w:pStyle w:val="5"/>
              <w:widowControl w:val="0"/>
              <w:kinsoku/>
              <w:overflowPunct w:val="0"/>
              <w:autoSpaceDE/>
              <w:autoSpaceDN/>
              <w:ind w:right="9" w:firstLine="12"/>
              <w:jc w:val="center"/>
              <w:rPr>
                <w:rFonts w:hint="eastAsia" w:ascii="宋体" w:hAnsi="宋体" w:eastAsia="宋体" w:cs="宋体"/>
              </w:rPr>
            </w:pPr>
            <w:r>
              <w:rPr>
                <w:rFonts w:hint="eastAsia" w:ascii="宋体" w:hAnsi="宋体" w:eastAsia="宋体" w:cs="宋体"/>
              </w:rPr>
              <w:t>塑料再生塑料</w:t>
            </w:r>
          </w:p>
          <w:p>
            <w:pPr>
              <w:pStyle w:val="5"/>
              <w:widowControl w:val="0"/>
              <w:kinsoku/>
              <w:overflowPunct w:val="0"/>
              <w:autoSpaceDE/>
              <w:autoSpaceDN/>
              <w:ind w:right="9" w:firstLine="12"/>
              <w:jc w:val="center"/>
              <w:rPr>
                <w:rFonts w:hint="eastAsia" w:ascii="宋体" w:hAnsi="宋体" w:eastAsia="宋体" w:cs="宋体"/>
              </w:rPr>
            </w:pPr>
            <w:r>
              <w:rPr>
                <w:rFonts w:hint="eastAsia" w:ascii="宋体" w:hAnsi="宋体" w:eastAsia="宋体" w:cs="宋体"/>
              </w:rPr>
              <w:t>第12部分：聚甲基丙烯酸甲酯(PMMA)材料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288</w:t>
            </w:r>
          </w:p>
        </w:tc>
        <w:tc>
          <w:tcPr>
            <w:tcW w:w="4969"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position w:val="3"/>
              </w:rPr>
              <w:t>塑料再生塑料 第13部分：聚苯醚(PPE)材料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289</w:t>
            </w:r>
          </w:p>
        </w:tc>
        <w:tc>
          <w:tcPr>
            <w:tcW w:w="4969" w:type="dxa"/>
            <w:noWrap w:val="0"/>
            <w:vAlign w:val="center"/>
          </w:tcPr>
          <w:p>
            <w:pPr>
              <w:pStyle w:val="5"/>
              <w:widowControl w:val="0"/>
              <w:kinsoku/>
              <w:overflowPunct w:val="0"/>
              <w:autoSpaceDE/>
              <w:autoSpaceDN/>
              <w:ind w:right="6" w:firstLine="15"/>
              <w:jc w:val="center"/>
              <w:rPr>
                <w:rFonts w:hint="eastAsia" w:ascii="宋体" w:hAnsi="宋体" w:eastAsia="宋体" w:cs="宋体"/>
                <w:lang w:eastAsia="zh-CN"/>
              </w:rPr>
            </w:pPr>
            <w:r>
              <w:rPr>
                <w:rFonts w:hint="eastAsia" w:ascii="宋体" w:hAnsi="宋体" w:eastAsia="宋体" w:cs="宋体"/>
                <w:lang w:eastAsia="zh-CN"/>
              </w:rPr>
              <w:t>塑料再生塑料产品评价技术规范</w:t>
            </w:r>
          </w:p>
          <w:p>
            <w:pPr>
              <w:pStyle w:val="5"/>
              <w:widowControl w:val="0"/>
              <w:kinsoku/>
              <w:overflowPunct w:val="0"/>
              <w:autoSpaceDE/>
              <w:autoSpaceDN/>
              <w:ind w:right="6" w:firstLine="15"/>
              <w:jc w:val="center"/>
              <w:rPr>
                <w:rFonts w:hint="eastAsia" w:ascii="宋体" w:hAnsi="宋体" w:eastAsia="宋体" w:cs="宋体"/>
              </w:rPr>
            </w:pPr>
            <w:r>
              <w:rPr>
                <w:rFonts w:hint="eastAsia" w:ascii="宋体" w:hAnsi="宋体" w:eastAsia="宋体" w:cs="宋体"/>
              </w:rPr>
              <w:t>第1部分；聚对苯二甲酸乙二醇酯(PET)材料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290</w:t>
            </w:r>
          </w:p>
        </w:tc>
        <w:tc>
          <w:tcPr>
            <w:tcW w:w="4969" w:type="dxa"/>
            <w:noWrap w:val="0"/>
            <w:vAlign w:val="center"/>
          </w:tcPr>
          <w:p>
            <w:pPr>
              <w:pStyle w:val="5"/>
              <w:widowControl w:val="0"/>
              <w:kinsoku/>
              <w:overflowPunct w:val="0"/>
              <w:autoSpaceDE/>
              <w:autoSpaceDN/>
              <w:ind w:right="6" w:hanging="19"/>
              <w:jc w:val="center"/>
              <w:rPr>
                <w:rFonts w:hint="eastAsia" w:ascii="宋体" w:hAnsi="宋体" w:eastAsia="宋体" w:cs="宋体"/>
                <w:lang w:eastAsia="zh-CN"/>
              </w:rPr>
            </w:pPr>
            <w:r>
              <w:rPr>
                <w:rFonts w:hint="eastAsia" w:ascii="宋体" w:hAnsi="宋体" w:eastAsia="宋体" w:cs="宋体"/>
                <w:lang w:eastAsia="zh-CN"/>
              </w:rPr>
              <w:t>塑料再生塑料产品评价技术规范</w:t>
            </w:r>
          </w:p>
          <w:p>
            <w:pPr>
              <w:pStyle w:val="5"/>
              <w:widowControl w:val="0"/>
              <w:kinsoku/>
              <w:overflowPunct w:val="0"/>
              <w:autoSpaceDE/>
              <w:autoSpaceDN/>
              <w:ind w:right="6" w:hanging="19"/>
              <w:jc w:val="center"/>
              <w:rPr>
                <w:rFonts w:hint="eastAsia" w:ascii="宋体" w:hAnsi="宋体" w:eastAsia="宋体" w:cs="宋体"/>
              </w:rPr>
            </w:pPr>
            <w:r>
              <w:rPr>
                <w:rFonts w:hint="eastAsia" w:ascii="宋体" w:hAnsi="宋体" w:eastAsia="宋体" w:cs="宋体"/>
              </w:rPr>
              <w:t>第2部分：聚苯乙烯(PS)材料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291</w:t>
            </w:r>
          </w:p>
        </w:tc>
        <w:tc>
          <w:tcPr>
            <w:tcW w:w="4969" w:type="dxa"/>
            <w:noWrap w:val="0"/>
            <w:vAlign w:val="center"/>
          </w:tcPr>
          <w:p>
            <w:pPr>
              <w:pStyle w:val="5"/>
              <w:widowControl w:val="0"/>
              <w:kinsoku/>
              <w:overflowPunct w:val="0"/>
              <w:autoSpaceDE/>
              <w:autoSpaceDN/>
              <w:ind w:right="6" w:hanging="19"/>
              <w:jc w:val="center"/>
              <w:rPr>
                <w:rFonts w:hint="eastAsia" w:ascii="宋体" w:hAnsi="宋体" w:eastAsia="宋体" w:cs="宋体"/>
                <w:lang w:eastAsia="zh-CN"/>
              </w:rPr>
            </w:pPr>
            <w:r>
              <w:rPr>
                <w:rFonts w:hint="eastAsia" w:ascii="宋体" w:hAnsi="宋体" w:eastAsia="宋体" w:cs="宋体"/>
                <w:lang w:eastAsia="zh-CN"/>
              </w:rPr>
              <w:t>塑料再生塑料成分鉴别</w:t>
            </w:r>
          </w:p>
          <w:p>
            <w:pPr>
              <w:pStyle w:val="5"/>
              <w:widowControl w:val="0"/>
              <w:kinsoku/>
              <w:overflowPunct w:val="0"/>
              <w:autoSpaceDE/>
              <w:autoSpaceDN/>
              <w:ind w:right="6" w:hanging="19"/>
              <w:jc w:val="center"/>
              <w:rPr>
                <w:rFonts w:hint="eastAsia" w:ascii="宋体" w:hAnsi="宋体" w:eastAsia="宋体" w:cs="宋体"/>
                <w:lang w:eastAsia="zh-CN"/>
              </w:rPr>
            </w:pPr>
            <w:r>
              <w:rPr>
                <w:rFonts w:hint="eastAsia" w:ascii="宋体" w:hAnsi="宋体" w:eastAsia="宋体" w:cs="宋体"/>
                <w:lang w:eastAsia="zh-CN"/>
              </w:rPr>
              <w:t>第1部分；聚对苯二甲酸乙二醇酯(PET)材料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292</w:t>
            </w:r>
          </w:p>
        </w:tc>
        <w:tc>
          <w:tcPr>
            <w:tcW w:w="4969" w:type="dxa"/>
            <w:noWrap w:val="0"/>
            <w:vAlign w:val="center"/>
          </w:tcPr>
          <w:p>
            <w:pPr>
              <w:pStyle w:val="5"/>
              <w:widowControl w:val="0"/>
              <w:kinsoku/>
              <w:overflowPunct w:val="0"/>
              <w:autoSpaceDE/>
              <w:autoSpaceDN/>
              <w:ind w:right="3" w:firstLine="10"/>
              <w:jc w:val="center"/>
              <w:rPr>
                <w:rFonts w:hint="eastAsia" w:ascii="宋体" w:hAnsi="宋体" w:eastAsia="宋体" w:cs="宋体"/>
                <w:lang w:eastAsia="zh-CN"/>
              </w:rPr>
            </w:pPr>
            <w:r>
              <w:rPr>
                <w:rFonts w:hint="eastAsia" w:ascii="宋体" w:hAnsi="宋体" w:eastAsia="宋体" w:cs="宋体"/>
                <w:lang w:eastAsia="zh-CN"/>
              </w:rPr>
              <w:t>塑料再生塑料成分鉴别</w:t>
            </w:r>
          </w:p>
          <w:p>
            <w:pPr>
              <w:pStyle w:val="5"/>
              <w:widowControl w:val="0"/>
              <w:kinsoku/>
              <w:overflowPunct w:val="0"/>
              <w:autoSpaceDE/>
              <w:autoSpaceDN/>
              <w:ind w:right="3" w:firstLine="10"/>
              <w:jc w:val="center"/>
              <w:rPr>
                <w:rFonts w:hint="eastAsia" w:ascii="宋体" w:hAnsi="宋体" w:eastAsia="宋体" w:cs="宋体"/>
                <w:lang w:eastAsia="zh-CN"/>
              </w:rPr>
            </w:pPr>
            <w:r>
              <w:rPr>
                <w:rFonts w:hint="eastAsia" w:ascii="宋体" w:hAnsi="宋体" w:eastAsia="宋体" w:cs="宋体"/>
                <w:lang w:eastAsia="zh-CN"/>
              </w:rPr>
              <w:t>第2部分：聚丙烯(PP)材料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中国石油和化学工业联合会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293</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公路用建筑垃圾再生集料及无机混合料</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交通运输部</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5"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294</w:t>
            </w:r>
          </w:p>
        </w:tc>
        <w:tc>
          <w:tcPr>
            <w:tcW w:w="4969" w:type="dxa"/>
            <w:noWrap w:val="0"/>
            <w:vAlign w:val="center"/>
          </w:tcPr>
          <w:p>
            <w:pPr>
              <w:pStyle w:val="5"/>
              <w:widowControl w:val="0"/>
              <w:kinsoku/>
              <w:overflowPunct w:val="0"/>
              <w:autoSpaceDE/>
              <w:autoSpaceDN/>
              <w:jc w:val="center"/>
              <w:rPr>
                <w:rFonts w:hint="eastAsia" w:ascii="宋体" w:hAnsi="宋体" w:eastAsia="宋体" w:cs="宋体"/>
                <w:lang w:eastAsia="zh-CN"/>
              </w:rPr>
            </w:pPr>
            <w:r>
              <w:rPr>
                <w:rFonts w:hint="eastAsia" w:ascii="宋体" w:hAnsi="宋体" w:eastAsia="宋体" w:cs="宋体"/>
                <w:lang w:eastAsia="zh-CN"/>
              </w:rPr>
              <w:t>家用电器产品再生材料使用规范</w:t>
            </w:r>
          </w:p>
        </w:tc>
        <w:tc>
          <w:tcPr>
            <w:tcW w:w="866"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制定</w:t>
            </w:r>
          </w:p>
        </w:tc>
        <w:tc>
          <w:tcPr>
            <w:tcW w:w="108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推荐性</w:t>
            </w:r>
          </w:p>
        </w:tc>
        <w:tc>
          <w:tcPr>
            <w:tcW w:w="3062"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中国轻工业联合会</w:t>
            </w:r>
          </w:p>
        </w:tc>
        <w:tc>
          <w:tcPr>
            <w:tcW w:w="1201" w:type="dxa"/>
            <w:noWrap w:val="0"/>
            <w:vAlign w:val="center"/>
          </w:tcPr>
          <w:p>
            <w:pPr>
              <w:overflowPunct w:val="0"/>
              <w:adjustRightInd w:val="0"/>
              <w:snapToGrid w:val="0"/>
              <w:jc w:val="center"/>
              <w:rPr>
                <w:rFonts w:hint="eastAsia" w:ascii="宋体" w:hAnsi="宋体" w:eastAsia="宋体" w:cs="宋体"/>
                <w:sz w:val="24"/>
              </w:rPr>
            </w:pPr>
            <w:r>
              <w:rPr>
                <w:rFonts w:hint="eastAsia" w:ascii="宋体" w:hAnsi="宋体" w:eastAsia="宋体" w:cs="宋体"/>
                <w:sz w:val="24"/>
              </w:rPr>
              <w:t>2025</w:t>
            </w:r>
          </w:p>
        </w:tc>
        <w:tc>
          <w:tcPr>
            <w:tcW w:w="1243" w:type="dxa"/>
            <w:noWrap w:val="0"/>
            <w:vAlign w:val="center"/>
          </w:tcPr>
          <w:p>
            <w:pPr>
              <w:pStyle w:val="5"/>
              <w:widowControl w:val="0"/>
              <w:kinsoku/>
              <w:overflowPunct w:val="0"/>
              <w:autoSpaceDE/>
              <w:autoSpaceDN/>
              <w:jc w:val="center"/>
              <w:rPr>
                <w:rFonts w:hint="eastAsia" w:ascii="宋体" w:hAnsi="宋体" w:eastAsia="宋体" w:cs="宋体"/>
              </w:rPr>
            </w:pPr>
            <w:r>
              <w:rPr>
                <w:rFonts w:hint="eastAsia" w:ascii="宋体" w:hAnsi="宋体" w:eastAsia="宋体" w:cs="宋体"/>
              </w:rPr>
              <w:t>循环利用</w:t>
            </w:r>
          </w:p>
        </w:tc>
      </w:tr>
    </w:tbl>
    <w:p>
      <w:bookmarkStart w:id="0" w:name="_GoBack"/>
      <w:bookmarkEnd w:id="0"/>
    </w:p>
    <w:sectPr>
      <w:pgSz w:w="16838" w:h="11906" w:orient="landscape"/>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9138E3-D131-4B23-89C7-44F62E8900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CDA3857-81F4-4F8F-913B-B76C3FE262AE}"/>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74F01858-5F1C-4BD4-AC26-C0548EC9C9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NzU5NTllYzVkNjcwNDhhYmU2ODA5ZjVhZDA1YmEifQ=="/>
  </w:docVars>
  <w:rsids>
    <w:rsidRoot w:val="0C625E9C"/>
    <w:rsid w:val="0C625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page number"/>
    <w:basedOn w:val="3"/>
    <w:qFormat/>
    <w:uiPriority w:val="0"/>
  </w:style>
  <w:style w:type="paragraph" w:customStyle="1" w:styleId="5">
    <w:name w:val="Table Text"/>
    <w:semiHidden/>
    <w:qFormat/>
    <w:uiPriority w:val="0"/>
    <w:pPr>
      <w:kinsoku w:val="0"/>
      <w:autoSpaceDE w:val="0"/>
      <w:autoSpaceDN w:val="0"/>
      <w:adjustRightInd w:val="0"/>
      <w:snapToGrid w:val="0"/>
      <w:textAlignment w:val="baseline"/>
    </w:pPr>
    <w:rPr>
      <w:rFonts w:ascii="仿宋" w:hAnsi="仿宋" w:eastAsia="仿宋" w:cs="仿宋"/>
      <w:snapToGrid w:val="0"/>
      <w:color w:val="000000"/>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2024-07-01T01:41:00Z</dcterms:created>
  <dc:creator>陈炜振</dc:creator>
  <cp:lastModifiedBy>陈炜振</cp:lastModifiedBy>
  <dcterms:modified xsi:type="dcterms:W3CDTF">2024-07-01T01:42:10Z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C3CBD1C3B4F64D07A1E4EB58A06016AD_11</vt:lpwstr>
  </property>
</Properties>
</file>