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9D005">
      <w:pPr>
        <w:snapToGrid w:val="0"/>
        <w:rPr>
          <w:rFonts w:ascii="仿宋" w:hAnsi="仿宋" w:eastAsia="仿宋" w:cs="仿宋"/>
          <w:sz w:val="28"/>
          <w:szCs w:val="28"/>
        </w:rPr>
      </w:pPr>
    </w:p>
    <w:p w14:paraId="5083774D">
      <w:pPr>
        <w:jc w:val="center"/>
        <w:outlineLvl w:val="0"/>
        <w:rPr>
          <w:rFonts w:ascii="方正小标宋简体" w:eastAsia="方正小标宋简体"/>
          <w:spacing w:val="157"/>
          <w:kern w:val="0"/>
          <w:sz w:val="100"/>
          <w:szCs w:val="100"/>
        </w:rPr>
      </w:pPr>
    </w:p>
    <w:p w14:paraId="581F839A">
      <w:pPr>
        <w:outlineLvl w:val="0"/>
        <w:rPr>
          <w:rFonts w:ascii="方正小标宋简体" w:eastAsia="方正小标宋简体"/>
          <w:spacing w:val="157"/>
          <w:kern w:val="0"/>
          <w:sz w:val="100"/>
          <w:szCs w:val="100"/>
        </w:rPr>
      </w:pPr>
    </w:p>
    <w:p w14:paraId="76DC0AF6">
      <w:pPr>
        <w:jc w:val="center"/>
        <w:outlineLvl w:val="0"/>
        <w:rPr>
          <w:rFonts w:ascii="方正小标宋简体" w:eastAsia="方正小标宋简体"/>
          <w:spacing w:val="157"/>
          <w:kern w:val="0"/>
          <w:sz w:val="100"/>
          <w:szCs w:val="100"/>
        </w:rPr>
      </w:pPr>
      <w:r>
        <w:rPr>
          <w:rFonts w:hint="eastAsia" w:ascii="方正小标宋简体" w:eastAsia="方正小标宋简体"/>
          <w:spacing w:val="157"/>
          <w:kern w:val="0"/>
          <w:sz w:val="100"/>
          <w:szCs w:val="100"/>
        </w:rPr>
        <w:t>采</w:t>
      </w:r>
    </w:p>
    <w:p w14:paraId="04ECA47C">
      <w:pPr>
        <w:jc w:val="center"/>
        <w:outlineLvl w:val="0"/>
        <w:rPr>
          <w:rFonts w:ascii="方正小标宋简体" w:eastAsia="方正小标宋简体"/>
          <w:spacing w:val="157"/>
          <w:kern w:val="0"/>
          <w:sz w:val="100"/>
          <w:szCs w:val="100"/>
        </w:rPr>
      </w:pPr>
      <w:r>
        <w:rPr>
          <w:rFonts w:hint="eastAsia" w:ascii="方正小标宋简体" w:eastAsia="方正小标宋简体"/>
          <w:spacing w:val="157"/>
          <w:kern w:val="0"/>
          <w:sz w:val="100"/>
          <w:szCs w:val="100"/>
        </w:rPr>
        <w:t>购</w:t>
      </w:r>
    </w:p>
    <w:p w14:paraId="232B2E29">
      <w:pPr>
        <w:jc w:val="center"/>
        <w:rPr>
          <w:rFonts w:ascii="方正小标宋简体" w:eastAsia="方正小标宋简体"/>
          <w:spacing w:val="157"/>
          <w:kern w:val="0"/>
          <w:sz w:val="100"/>
          <w:szCs w:val="100"/>
        </w:rPr>
      </w:pPr>
      <w:r>
        <w:rPr>
          <w:rFonts w:hint="eastAsia" w:ascii="方正小标宋简体" w:eastAsia="方正小标宋简体"/>
          <w:spacing w:val="157"/>
          <w:kern w:val="0"/>
          <w:sz w:val="100"/>
          <w:szCs w:val="100"/>
        </w:rPr>
        <w:t>文</w:t>
      </w:r>
    </w:p>
    <w:p w14:paraId="2CC9D08C">
      <w:pPr>
        <w:jc w:val="center"/>
        <w:outlineLvl w:val="0"/>
        <w:rPr>
          <w:rFonts w:ascii="方正小标宋简体" w:eastAsia="方正小标宋简体"/>
          <w:sz w:val="84"/>
          <w:szCs w:val="84"/>
        </w:rPr>
      </w:pPr>
      <w:r>
        <w:rPr>
          <w:rFonts w:hint="eastAsia" w:ascii="方正小标宋简体" w:eastAsia="方正小标宋简体"/>
          <w:spacing w:val="157"/>
          <w:kern w:val="0"/>
          <w:sz w:val="100"/>
          <w:szCs w:val="100"/>
        </w:rPr>
        <w:t>件</w:t>
      </w:r>
    </w:p>
    <w:p w14:paraId="2CDC40A2">
      <w:pPr>
        <w:pStyle w:val="10"/>
        <w:jc w:val="center"/>
        <w:rPr>
          <w:rFonts w:hint="default" w:ascii="仿宋" w:hAnsi="仿宋" w:eastAsia="仿宋" w:cs="仿宋"/>
          <w:b/>
          <w:bCs/>
          <w:color w:val="333333"/>
          <w:sz w:val="28"/>
          <w:szCs w:val="28"/>
          <w:shd w:val="clear" w:color="auto" w:fill="FFFFFF"/>
        </w:rPr>
        <w:sectPr>
          <w:pgSz w:w="11906" w:h="16838"/>
          <w:pgMar w:top="1440" w:right="1800" w:bottom="1440" w:left="1800" w:header="851" w:footer="992" w:gutter="0"/>
          <w:cols w:space="425" w:num="1"/>
          <w:docGrid w:type="lines" w:linePitch="312" w:charSpace="0"/>
        </w:sectPr>
      </w:pPr>
    </w:p>
    <w:p w14:paraId="2F6C6927">
      <w:pPr>
        <w:overflowPunct w:val="0"/>
        <w:adjustRightInd w:val="0"/>
        <w:snapToGrid w:val="0"/>
        <w:spacing w:line="576"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一、项目说明</w:t>
      </w:r>
    </w:p>
    <w:p w14:paraId="625D35FE">
      <w:pPr>
        <w:overflowPunct w:val="0"/>
        <w:adjustRightInd w:val="0"/>
        <w:snapToGrid w:val="0"/>
        <w:spacing w:line="576" w:lineRule="exact"/>
        <w:ind w:firstLine="643" w:firstLineChars="200"/>
        <w:rPr>
          <w:rFonts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（一）项目名称</w:t>
      </w:r>
    </w:p>
    <w:p w14:paraId="7021DC44">
      <w:pPr>
        <w:adjustRightInd w:val="0"/>
        <w:snapToGrid w:val="0"/>
        <w:spacing w:line="288" w:lineRule="auto"/>
        <w:ind w:firstLine="600" w:firstLineChars="200"/>
        <w:rPr>
          <w:rFonts w:ascii="仿宋" w:hAnsi="仿宋" w:eastAsia="仿宋" w:cs="仿宋"/>
          <w:sz w:val="30"/>
          <w:szCs w:val="30"/>
        </w:rPr>
      </w:pPr>
      <w:bookmarkStart w:id="0" w:name="_Toc498001358"/>
      <w:bookmarkStart w:id="1" w:name="_Toc498001259"/>
      <w:r>
        <w:rPr>
          <w:rFonts w:hint="eastAsia" w:ascii="仿宋" w:hAnsi="仿宋" w:eastAsia="仿宋" w:cs="仿宋"/>
          <w:sz w:val="30"/>
          <w:szCs w:val="30"/>
        </w:rPr>
        <w:t>福建省市场监管局服务赋能网约配送员专场活动服务项目</w:t>
      </w:r>
    </w:p>
    <w:p w14:paraId="5BADB601">
      <w:pPr>
        <w:overflowPunct w:val="0"/>
        <w:adjustRightInd w:val="0"/>
        <w:snapToGrid w:val="0"/>
        <w:spacing w:line="576" w:lineRule="exact"/>
        <w:ind w:firstLine="643" w:firstLineChars="200"/>
        <w:rPr>
          <w:rFonts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（二）资格要求</w:t>
      </w:r>
      <w:bookmarkEnd w:id="0"/>
      <w:bookmarkEnd w:id="1"/>
    </w:p>
    <w:p w14:paraId="645E4898">
      <w:pPr>
        <w:adjustRightInd w:val="0"/>
        <w:snapToGrid w:val="0"/>
        <w:spacing w:line="288" w:lineRule="auto"/>
        <w:ind w:firstLine="600" w:firstLineChars="200"/>
        <w:rPr>
          <w:rFonts w:ascii="仿宋" w:hAnsi="仿宋" w:eastAsia="仿宋" w:cs="仿宋"/>
          <w:sz w:val="30"/>
          <w:szCs w:val="30"/>
        </w:rPr>
      </w:pPr>
      <w:bookmarkStart w:id="2" w:name="_Toc498001263"/>
      <w:bookmarkStart w:id="3" w:name="_Toc498001362"/>
      <w:r>
        <w:rPr>
          <w:rFonts w:hint="eastAsia" w:ascii="仿宋" w:hAnsi="仿宋" w:eastAsia="仿宋" w:cs="仿宋"/>
          <w:sz w:val="30"/>
          <w:szCs w:val="30"/>
        </w:rPr>
        <w:t>1.供应商应具备下列资格条件，并提供证明材料（包括但不限于）：</w:t>
      </w:r>
    </w:p>
    <w:p w14:paraId="6E418843">
      <w:pPr>
        <w:adjustRightInd w:val="0"/>
        <w:snapToGrid w:val="0"/>
        <w:spacing w:line="288" w:lineRule="auto"/>
        <w:ind w:firstLine="600" w:firstLineChars="200"/>
        <w:rPr>
          <w:rFonts w:ascii="仿宋" w:hAnsi="仿宋" w:eastAsia="仿宋" w:cs="仿宋"/>
          <w:sz w:val="30"/>
          <w:szCs w:val="30"/>
        </w:rPr>
      </w:pPr>
      <w:r>
        <w:rPr>
          <w:rFonts w:hint="eastAsia" w:ascii="仿宋" w:hAnsi="仿宋" w:eastAsia="仿宋" w:cs="仿宋"/>
          <w:sz w:val="30"/>
          <w:szCs w:val="30"/>
        </w:rPr>
        <w:t>（1）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p w14:paraId="7CF82A29">
      <w:pPr>
        <w:adjustRightInd w:val="0"/>
        <w:snapToGrid w:val="0"/>
        <w:spacing w:line="288" w:lineRule="auto"/>
        <w:ind w:firstLine="600" w:firstLineChars="200"/>
        <w:rPr>
          <w:rFonts w:ascii="仿宋" w:hAnsi="仿宋" w:eastAsia="仿宋" w:cs="仿宋"/>
          <w:sz w:val="30"/>
          <w:szCs w:val="30"/>
        </w:rPr>
      </w:pPr>
      <w:r>
        <w:rPr>
          <w:rFonts w:hint="eastAsia" w:ascii="仿宋" w:hAnsi="仿宋" w:eastAsia="仿宋" w:cs="仿宋"/>
          <w:sz w:val="30"/>
          <w:szCs w:val="30"/>
        </w:rPr>
        <w:t>（2）具有良好的商业信誉和健全的财务会计制度（提供参加本次采购活动上一年度或上一季度财务报告复印件，至少包括“包括资产负债表、利润表、现金流量表、所有者权益变动表（若有）及其附注（若有）”或提供具有符合采购文件资格要求的财务状况报告的承诺函）。</w:t>
      </w:r>
    </w:p>
    <w:p w14:paraId="6681789C">
      <w:pPr>
        <w:adjustRightInd w:val="0"/>
        <w:snapToGrid w:val="0"/>
        <w:spacing w:line="288" w:lineRule="auto"/>
        <w:ind w:firstLine="600" w:firstLineChars="200"/>
        <w:rPr>
          <w:rFonts w:ascii="仿宋" w:hAnsi="仿宋" w:eastAsia="仿宋" w:cs="仿宋"/>
          <w:sz w:val="30"/>
          <w:szCs w:val="30"/>
        </w:rPr>
      </w:pPr>
      <w:r>
        <w:rPr>
          <w:rFonts w:hint="eastAsia" w:ascii="仿宋" w:hAnsi="仿宋" w:eastAsia="仿宋" w:cs="仿宋"/>
          <w:sz w:val="30"/>
          <w:szCs w:val="30"/>
        </w:rPr>
        <w:t>（3）具有履行合同所必需的设备和专业技术能力（根据项目需求提供履行合同所必需的设备和专业技术能力的声明函）。</w:t>
      </w:r>
    </w:p>
    <w:p w14:paraId="2F04DD59">
      <w:pPr>
        <w:adjustRightInd w:val="0"/>
        <w:snapToGrid w:val="0"/>
        <w:spacing w:line="288" w:lineRule="auto"/>
        <w:ind w:firstLine="600" w:firstLineChars="200"/>
        <w:rPr>
          <w:rFonts w:ascii="仿宋" w:hAnsi="仿宋" w:eastAsia="仿宋" w:cs="仿宋"/>
          <w:sz w:val="30"/>
          <w:szCs w:val="30"/>
        </w:rPr>
      </w:pPr>
      <w:r>
        <w:rPr>
          <w:rFonts w:hint="eastAsia" w:ascii="仿宋" w:hAnsi="仿宋" w:eastAsia="仿宋" w:cs="仿宋"/>
          <w:sz w:val="30"/>
          <w:szCs w:val="30"/>
        </w:rPr>
        <w:t>（4）有依法缴纳税收和社会保障资金的良好记录（提供参加本次政府采购活动前一年内任一个月的依法缴纳税收和社会保障资金的相关材料）。</w:t>
      </w:r>
    </w:p>
    <w:p w14:paraId="4AC23982">
      <w:pPr>
        <w:adjustRightInd w:val="0"/>
        <w:snapToGrid w:val="0"/>
        <w:spacing w:line="288" w:lineRule="auto"/>
        <w:ind w:firstLine="600" w:firstLineChars="200"/>
        <w:rPr>
          <w:rFonts w:ascii="仿宋" w:hAnsi="仿宋" w:eastAsia="仿宋" w:cs="仿宋"/>
          <w:sz w:val="30"/>
          <w:szCs w:val="30"/>
        </w:rPr>
      </w:pPr>
      <w:r>
        <w:rPr>
          <w:rFonts w:hint="eastAsia" w:ascii="仿宋" w:hAnsi="仿宋" w:eastAsia="仿宋" w:cs="仿宋"/>
          <w:sz w:val="30"/>
          <w:szCs w:val="30"/>
        </w:rPr>
        <w:t>（5）参加采购活动前三年内，在经营活动中没有重大违法记录（提供参加本次采购活动前三年内在经营活动中没有违法记录的书面声明）。</w:t>
      </w:r>
    </w:p>
    <w:p w14:paraId="6C282233">
      <w:pPr>
        <w:adjustRightInd w:val="0"/>
        <w:snapToGrid w:val="0"/>
        <w:spacing w:line="288" w:lineRule="auto"/>
        <w:ind w:firstLine="600" w:firstLineChars="200"/>
        <w:rPr>
          <w:rFonts w:ascii="仿宋" w:hAnsi="仿宋" w:eastAsia="仿宋" w:cs="仿宋"/>
          <w:sz w:val="30"/>
          <w:szCs w:val="30"/>
        </w:rPr>
      </w:pPr>
      <w:r>
        <w:rPr>
          <w:rFonts w:hint="eastAsia" w:ascii="仿宋" w:hAnsi="仿宋" w:eastAsia="仿宋" w:cs="仿宋"/>
          <w:sz w:val="30"/>
          <w:szCs w:val="30"/>
        </w:rPr>
        <w:t>（6）法律、行政法规规定的其他条件（提供项目实施所必须的许可资质证明材料）。</w:t>
      </w:r>
    </w:p>
    <w:p w14:paraId="7399D791">
      <w:pPr>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2.本项目不接受下列供应商：</w:t>
      </w:r>
    </w:p>
    <w:p w14:paraId="009E822B">
      <w:pPr>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（1）联合体形式的供应商。</w:t>
      </w:r>
    </w:p>
    <w:p w14:paraId="103C9F6D">
      <w:pPr>
        <w:wordWrap w:val="0"/>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（2）</w:t>
      </w:r>
      <w:r>
        <w:rPr>
          <w:rFonts w:hint="eastAsia" w:ascii="仿宋" w:hAnsi="仿宋" w:eastAsia="仿宋" w:cs="仿宋"/>
          <w:snapToGrid w:val="0"/>
          <w:spacing w:val="-11"/>
          <w:kern w:val="0"/>
          <w:sz w:val="30"/>
          <w:szCs w:val="30"/>
        </w:rPr>
        <w:t>供应商被“信用中国”网站（www.creditchina.gov.cn）</w:t>
      </w:r>
      <w:r>
        <w:rPr>
          <w:rFonts w:hint="eastAsia" w:ascii="仿宋" w:hAnsi="仿宋" w:eastAsia="仿宋" w:cs="仿宋"/>
          <w:snapToGrid w:val="0"/>
          <w:kern w:val="0"/>
          <w:sz w:val="30"/>
          <w:szCs w:val="30"/>
        </w:rPr>
        <w:t>、“中国政府采购网”（www.ccgp.gov.cn）列入失信被执行人、重大税收违法案件当事人名单、政府采购严重违法失信行为记录名单。</w:t>
      </w:r>
    </w:p>
    <w:p w14:paraId="4EBC1ADA">
      <w:pPr>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（3）供应商存在其他失信情况的。</w:t>
      </w:r>
    </w:p>
    <w:p w14:paraId="1732D0F6">
      <w:pPr>
        <w:overflowPunct w:val="0"/>
        <w:adjustRightInd w:val="0"/>
        <w:snapToGrid w:val="0"/>
        <w:spacing w:line="576" w:lineRule="exact"/>
        <w:ind w:firstLine="643" w:firstLineChars="200"/>
        <w:rPr>
          <w:rFonts w:ascii="楷体_GB2312" w:hAnsi="楷体_GB2312" w:eastAsia="楷体_GB2312" w:cs="楷体_GB2312"/>
          <w:b/>
          <w:bCs/>
          <w:snapToGrid w:val="0"/>
          <w:kern w:val="0"/>
          <w:sz w:val="32"/>
          <w:szCs w:val="32"/>
        </w:rPr>
      </w:pPr>
      <w:bookmarkStart w:id="4" w:name="_Toc498001260"/>
      <w:bookmarkStart w:id="5" w:name="_Toc498001359"/>
      <w:r>
        <w:rPr>
          <w:rFonts w:hint="eastAsia" w:ascii="楷体_GB2312" w:hAnsi="楷体_GB2312" w:eastAsia="楷体_GB2312" w:cs="楷体_GB2312"/>
          <w:b/>
          <w:bCs/>
          <w:snapToGrid w:val="0"/>
          <w:kern w:val="0"/>
          <w:sz w:val="32"/>
          <w:szCs w:val="32"/>
        </w:rPr>
        <w:t>（三）投标须知</w:t>
      </w:r>
      <w:bookmarkEnd w:id="4"/>
      <w:bookmarkEnd w:id="5"/>
    </w:p>
    <w:p w14:paraId="6221B101">
      <w:pPr>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1.各供应商填列价格以人民币为单位，须包括完成本项目所涉及的一切费用。</w:t>
      </w:r>
    </w:p>
    <w:p w14:paraId="6E85A660">
      <w:pPr>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2.</w:t>
      </w:r>
      <w:bookmarkStart w:id="6" w:name="_Toc498001360"/>
      <w:bookmarkStart w:id="7" w:name="_Toc498001261"/>
      <w:r>
        <w:rPr>
          <w:rFonts w:hint="eastAsia" w:ascii="仿宋" w:hAnsi="仿宋" w:eastAsia="仿宋" w:cs="仿宋"/>
          <w:snapToGrid w:val="0"/>
          <w:kern w:val="0"/>
          <w:sz w:val="30"/>
          <w:szCs w:val="30"/>
        </w:rPr>
        <w:t>本项目最高限价</w:t>
      </w:r>
      <w:r>
        <w:rPr>
          <w:rFonts w:ascii="仿宋" w:hAnsi="仿宋" w:eastAsia="仿宋" w:cs="仿宋"/>
          <w:snapToGrid w:val="0"/>
          <w:kern w:val="0"/>
          <w:sz w:val="30"/>
          <w:szCs w:val="30"/>
          <w:u w:val="single"/>
        </w:rPr>
        <w:t>22</w:t>
      </w:r>
      <w:r>
        <w:rPr>
          <w:rFonts w:hint="eastAsia" w:ascii="仿宋" w:hAnsi="仿宋" w:eastAsia="仿宋" w:cs="仿宋"/>
          <w:snapToGrid w:val="0"/>
          <w:kern w:val="0"/>
          <w:sz w:val="30"/>
          <w:szCs w:val="30"/>
        </w:rPr>
        <w:t>万元。</w:t>
      </w:r>
    </w:p>
    <w:p w14:paraId="1FE842B6">
      <w:pPr>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3.采购方式：询价比选，按综合评标法评定。</w:t>
      </w:r>
    </w:p>
    <w:p w14:paraId="59BFCC82">
      <w:pPr>
        <w:overflowPunct w:val="0"/>
        <w:adjustRightInd w:val="0"/>
        <w:snapToGrid w:val="0"/>
        <w:spacing w:line="576" w:lineRule="exact"/>
        <w:ind w:firstLine="643" w:firstLineChars="200"/>
        <w:rPr>
          <w:rFonts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（四）投标</w:t>
      </w:r>
      <w:bookmarkEnd w:id="6"/>
      <w:bookmarkEnd w:id="7"/>
      <w:r>
        <w:rPr>
          <w:rFonts w:hint="eastAsia" w:ascii="楷体_GB2312" w:hAnsi="楷体_GB2312" w:eastAsia="楷体_GB2312" w:cs="楷体_GB2312"/>
          <w:b/>
          <w:bCs/>
          <w:snapToGrid w:val="0"/>
          <w:kern w:val="0"/>
          <w:sz w:val="32"/>
          <w:szCs w:val="32"/>
        </w:rPr>
        <w:t>要求</w:t>
      </w:r>
    </w:p>
    <w:p w14:paraId="0B575D5D">
      <w:pPr>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供应商应仔细阅读本项目说明及要求的所有内容，按照要求提交响应文件。响应文件应对本项目的要求作出实质性响应，并对所提供的证明或佐证材料真实性负责，提供虚假材料谋取成交的其报价无效。响应文件应当包括但不限于以下内容：</w:t>
      </w:r>
    </w:p>
    <w:p w14:paraId="38CACD12">
      <w:pPr>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1.商务文件：</w:t>
      </w:r>
    </w:p>
    <w:p w14:paraId="3BA76848">
      <w:pPr>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（1）有关承诺函；</w:t>
      </w:r>
    </w:p>
    <w:p w14:paraId="427CE6FB">
      <w:pPr>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（2）报价单；</w:t>
      </w:r>
    </w:p>
    <w:p w14:paraId="4104DE86">
      <w:pPr>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（3）营业执照（法人证书）复印件；</w:t>
      </w:r>
    </w:p>
    <w:p w14:paraId="4771A57C">
      <w:pPr>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（4）法定代表人授权委托书；</w:t>
      </w:r>
    </w:p>
    <w:p w14:paraId="20D1D61E">
      <w:pPr>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（5）法定代表人有效身份证复印件；</w:t>
      </w:r>
    </w:p>
    <w:p w14:paraId="077B5392">
      <w:pPr>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（6）委托代理人有效身份证复印件（若有）；</w:t>
      </w:r>
    </w:p>
    <w:p w14:paraId="43DEFB1D">
      <w:pPr>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2.技术文件：</w:t>
      </w:r>
    </w:p>
    <w:p w14:paraId="27032B15">
      <w:pPr>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（1）提交项目整体服务方案和项目实施计划，对本采购文件“项目技术要求”进行回应。</w:t>
      </w:r>
    </w:p>
    <w:p w14:paraId="4F908901">
      <w:pPr>
        <w:overflowPunct w:val="0"/>
        <w:adjustRightInd w:val="0"/>
        <w:snapToGrid w:val="0"/>
        <w:spacing w:line="576" w:lineRule="exact"/>
        <w:ind w:firstLine="600" w:firstLineChars="200"/>
        <w:rPr>
          <w:rFonts w:ascii="仿宋" w:hAnsi="仿宋" w:eastAsia="仿宋" w:cs="仿宋"/>
          <w:snapToGrid w:val="0"/>
          <w:kern w:val="0"/>
          <w:sz w:val="30"/>
          <w:szCs w:val="30"/>
        </w:rPr>
      </w:pPr>
      <w:r>
        <w:rPr>
          <w:rFonts w:hint="eastAsia" w:ascii="仿宋" w:hAnsi="仿宋" w:eastAsia="仿宋" w:cs="仿宋"/>
          <w:snapToGrid w:val="0"/>
          <w:kern w:val="0"/>
          <w:sz w:val="30"/>
          <w:szCs w:val="30"/>
        </w:rPr>
        <w:t>（2）供应商认为应提交的其他文件。</w:t>
      </w:r>
    </w:p>
    <w:p w14:paraId="33A1EDD5">
      <w:pPr>
        <w:overflowPunct w:val="0"/>
        <w:adjustRightInd w:val="0"/>
        <w:snapToGrid w:val="0"/>
        <w:spacing w:line="576"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二、项目内容及要求</w:t>
      </w:r>
      <w:bookmarkEnd w:id="2"/>
      <w:bookmarkEnd w:id="3"/>
      <w:bookmarkStart w:id="8" w:name="_Toc362425411"/>
      <w:bookmarkStart w:id="9" w:name="_Toc498001364"/>
      <w:bookmarkStart w:id="10" w:name="_Toc498001265"/>
      <w:bookmarkStart w:id="11" w:name="_Toc363110617"/>
      <w:bookmarkStart w:id="12" w:name="_Toc351982587"/>
    </w:p>
    <w:p w14:paraId="6CEB5BB2">
      <w:pPr>
        <w:pStyle w:val="4"/>
        <w:overflowPunct w:val="0"/>
        <w:adjustRightInd w:val="0"/>
        <w:spacing w:line="560" w:lineRule="exact"/>
        <w:ind w:firstLine="640"/>
        <w:jc w:val="both"/>
        <w:rPr>
          <w:rFonts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（一）项目概述</w:t>
      </w:r>
    </w:p>
    <w:p w14:paraId="62EA49B9">
      <w:pPr>
        <w:pStyle w:val="4"/>
        <w:overflowPunct w:val="0"/>
        <w:adjustRightInd w:val="0"/>
        <w:spacing w:line="560" w:lineRule="exact"/>
        <w:ind w:firstLine="600" w:firstLineChars="200"/>
        <w:jc w:val="both"/>
        <w:rPr>
          <w:rFonts w:eastAsia="仿宋_GB2312" w:cs="Times New Roman"/>
          <w:bCs/>
          <w:sz w:val="30"/>
          <w:szCs w:val="30"/>
        </w:rPr>
      </w:pPr>
      <w:r>
        <w:rPr>
          <w:rFonts w:hint="eastAsia" w:eastAsia="仿宋_GB2312" w:cs="Times New Roman"/>
          <w:bCs/>
          <w:sz w:val="30"/>
          <w:szCs w:val="30"/>
        </w:rPr>
        <w:t>为深入落实市场监管总局及省委关于开展新业态群体党建工作部署，深化“党建+业务监管”融合发展模式，紧扣“强化党建引领、健全组织体系、开展集中攻坚、促进高质量发展”这一主线，拟举办福建省市场监管局服务赋能网约配送员专场活动，通过启动2026年“三百行动”、发布暖“新”电子地图、建设网约配送员暖“新”驿站等举措，推动“小个专”及网约配送员群体党建工作提质增效。</w:t>
      </w:r>
    </w:p>
    <w:bookmarkEnd w:id="8"/>
    <w:bookmarkEnd w:id="9"/>
    <w:bookmarkEnd w:id="10"/>
    <w:bookmarkEnd w:id="11"/>
    <w:bookmarkEnd w:id="12"/>
    <w:p w14:paraId="6CADA472">
      <w:pPr>
        <w:overflowPunct w:val="0"/>
        <w:adjustRightInd w:val="0"/>
        <w:snapToGrid w:val="0"/>
        <w:spacing w:line="576" w:lineRule="exact"/>
        <w:ind w:firstLine="643" w:firstLineChars="200"/>
        <w:rPr>
          <w:rFonts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（二）项目技术要求</w:t>
      </w:r>
    </w:p>
    <w:p w14:paraId="65A1F80D">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（项号1）1.供应商充分利用自身已有的经验积累，科学合理地统筹分工、尽心尽责，调动所有工作人员积极、认真地完成活动。</w:t>
      </w:r>
    </w:p>
    <w:p w14:paraId="72BC30F5">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（项号2）2.供应商应当按采购人的要求及时提交活动整体策划方案，采购人有权根据具体情况对项目的整体安排、细节内容提出修改意见和建议，供应商应当据此进行相应的修改和调整。</w:t>
      </w:r>
    </w:p>
    <w:p w14:paraId="025632D1">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项号3）3.供应商应按《中华人民共和国劳动法》有关要求及国家和福建省有关规定切实保障项目组所有成员的合法权益，项目组成员在项目实施期间因事故、意外等任何原因所发生的一切人身、精神、财产或其他伤害（或损害）等赔偿责任均由中标人承担与采购人无关。</w:t>
      </w:r>
    </w:p>
    <w:p w14:paraId="1658C0D8">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（项号4）4.</w:t>
      </w:r>
      <w:r>
        <w:rPr>
          <w:rFonts w:hint="eastAsia" w:ascii="仿宋_GB2312" w:hAnsi="仿宋_GB2312" w:eastAsia="仿宋_GB2312" w:cs="仿宋_GB2312"/>
          <w:snapToGrid w:val="0"/>
          <w:kern w:val="0"/>
          <w:sz w:val="32"/>
          <w:szCs w:val="32"/>
        </w:rPr>
        <w:t xml:space="preserve"> </w:t>
      </w:r>
      <w:r>
        <w:rPr>
          <w:rFonts w:hint="eastAsia" w:ascii="仿宋_GB2312" w:hAnsi="仿宋_GB2312" w:eastAsia="仿宋_GB2312" w:cs="仿宋_GB2312"/>
          <w:snapToGrid w:val="0"/>
          <w:kern w:val="0"/>
          <w:sz w:val="30"/>
          <w:szCs w:val="30"/>
        </w:rPr>
        <w:t>宣传内容设计：通过专业的设计制作，对拟展示的文字、图片等内容进行设计，在物料或屏幕上展示，形成直观、便捷的展示效果。</w:t>
      </w:r>
    </w:p>
    <w:p w14:paraId="37AA60A3">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（项号5）5.</w:t>
      </w:r>
      <w:r>
        <w:rPr>
          <w:rFonts w:hint="eastAsia" w:ascii="仿宋_GB2312" w:hAnsi="仿宋_GB2312" w:eastAsia="仿宋_GB2312" w:cs="仿宋_GB2312"/>
          <w:snapToGrid w:val="0"/>
          <w:spacing w:val="-6"/>
          <w:kern w:val="0"/>
          <w:sz w:val="32"/>
          <w:szCs w:val="32"/>
        </w:rPr>
        <w:t xml:space="preserve"> </w:t>
      </w:r>
      <w:r>
        <w:rPr>
          <w:rFonts w:hint="eastAsia" w:ascii="仿宋_GB2312" w:hAnsi="仿宋_GB2312" w:eastAsia="仿宋_GB2312" w:cs="仿宋_GB2312"/>
          <w:snapToGrid w:val="0"/>
          <w:kern w:val="0"/>
          <w:sz w:val="30"/>
          <w:szCs w:val="30"/>
        </w:rPr>
        <w:t>视频制作：数量1个，视频格式：MP4格式；分辨率：1920*1080。</w:t>
      </w:r>
    </w:p>
    <w:p w14:paraId="3BC79B26">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r>
        <w:rPr>
          <w:rFonts w:ascii="仿宋_GB2312" w:hAnsi="仿宋_GB2312" w:eastAsia="仿宋_GB2312" w:cs="仿宋_GB2312"/>
          <w:snapToGrid w:val="0"/>
          <w:kern w:val="0"/>
          <w:sz w:val="30"/>
          <w:szCs w:val="30"/>
        </w:rPr>
        <w:t>（项号</w:t>
      </w:r>
      <w:r>
        <w:rPr>
          <w:rFonts w:hint="eastAsia" w:ascii="仿宋_GB2312" w:hAnsi="仿宋_GB2312" w:eastAsia="仿宋_GB2312" w:cs="仿宋_GB2312"/>
          <w:snapToGrid w:val="0"/>
          <w:kern w:val="0"/>
          <w:sz w:val="30"/>
          <w:szCs w:val="30"/>
        </w:rPr>
        <w:t>6</w:t>
      </w:r>
      <w:r>
        <w:rPr>
          <w:rFonts w:ascii="仿宋_GB2312" w:hAnsi="仿宋_GB2312" w:eastAsia="仿宋_GB2312" w:cs="仿宋_GB2312"/>
          <w:snapToGrid w:val="0"/>
          <w:kern w:val="0"/>
          <w:sz w:val="30"/>
          <w:szCs w:val="30"/>
        </w:rPr>
        <w:t>）</w:t>
      </w:r>
      <w:r>
        <w:rPr>
          <w:rFonts w:hint="eastAsia" w:ascii="仿宋_GB2312" w:hAnsi="仿宋_GB2312" w:eastAsia="仿宋_GB2312" w:cs="仿宋_GB2312"/>
          <w:snapToGrid w:val="0"/>
          <w:kern w:val="0"/>
          <w:sz w:val="30"/>
          <w:szCs w:val="30"/>
        </w:rPr>
        <w:t>6</w:t>
      </w:r>
      <w:r>
        <w:rPr>
          <w:rFonts w:ascii="仿宋_GB2312" w:hAnsi="仿宋_GB2312" w:eastAsia="仿宋_GB2312" w:cs="仿宋_GB2312"/>
          <w:snapToGrid w:val="0"/>
          <w:kern w:val="0"/>
          <w:sz w:val="30"/>
          <w:szCs w:val="30"/>
        </w:rPr>
        <w:t>.活动须配备至少</w:t>
      </w:r>
      <w:r>
        <w:rPr>
          <w:rFonts w:hint="eastAsia" w:ascii="仿宋_GB2312" w:hAnsi="仿宋_GB2312" w:eastAsia="仿宋_GB2312" w:cs="仿宋_GB2312"/>
          <w:snapToGrid w:val="0"/>
          <w:kern w:val="0"/>
          <w:sz w:val="30"/>
          <w:szCs w:val="30"/>
        </w:rPr>
        <w:t>1名项目负责人现场统筹，</w:t>
      </w:r>
      <w:r>
        <w:rPr>
          <w:rFonts w:ascii="仿宋_GB2312" w:hAnsi="仿宋_GB2312" w:eastAsia="仿宋_GB2312" w:cs="仿宋_GB2312"/>
          <w:snapToGrid w:val="0"/>
          <w:kern w:val="0"/>
          <w:sz w:val="30"/>
          <w:szCs w:val="30"/>
        </w:rPr>
        <w:t>3</w:t>
      </w:r>
      <w:r>
        <w:rPr>
          <w:rFonts w:hint="eastAsia" w:ascii="仿宋_GB2312" w:hAnsi="仿宋_GB2312" w:eastAsia="仿宋_GB2312" w:cs="仿宋_GB2312"/>
          <w:snapToGrid w:val="0"/>
          <w:kern w:val="0"/>
          <w:sz w:val="30"/>
          <w:szCs w:val="30"/>
        </w:rPr>
        <w:t>名工作人员协助执行，并设置专人负责应急处理。</w:t>
      </w:r>
    </w:p>
    <w:p w14:paraId="2A459F5A">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（项号7）7.</w:t>
      </w:r>
      <w:r>
        <w:rPr>
          <w:rFonts w:hint="eastAsia" w:ascii="仿宋_GB2312" w:hAnsi="仿宋_GB2312" w:eastAsia="仿宋_GB2312" w:cs="仿宋_GB2312"/>
          <w:snapToGrid w:val="0"/>
          <w:spacing w:val="-6"/>
          <w:kern w:val="0"/>
          <w:sz w:val="32"/>
          <w:szCs w:val="32"/>
        </w:rPr>
        <w:t xml:space="preserve"> </w:t>
      </w:r>
      <w:r>
        <w:rPr>
          <w:rFonts w:hint="eastAsia" w:ascii="仿宋_GB2312" w:hAnsi="仿宋_GB2312" w:eastAsia="仿宋_GB2312" w:cs="仿宋_GB2312"/>
          <w:snapToGrid w:val="0"/>
          <w:kern w:val="0"/>
          <w:sz w:val="30"/>
          <w:szCs w:val="30"/>
        </w:rPr>
        <w:t>PPT制作：根据专场活动需要，制作讲演用PPT。</w:t>
      </w:r>
    </w:p>
    <w:p w14:paraId="4DD7AF36">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p>
    <w:p w14:paraId="78966A0E">
      <w:pPr>
        <w:overflowPunct w:val="0"/>
        <w:adjustRightInd w:val="0"/>
        <w:snapToGrid w:val="0"/>
        <w:spacing w:line="576" w:lineRule="exact"/>
        <w:ind w:firstLine="643" w:firstLineChars="200"/>
        <w:rPr>
          <w:rFonts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（三）项目服务要求</w:t>
      </w:r>
    </w:p>
    <w:p w14:paraId="6679C568">
      <w:pPr>
        <w:spacing w:line="560" w:lineRule="exact"/>
        <w:ind w:firstLine="600" w:firstLineChars="200"/>
        <w:rPr>
          <w:rFonts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w:t>
      </w:r>
      <w:r>
        <w:rPr>
          <w:rFonts w:ascii="仿宋_GB2312" w:hAnsi="仿宋_GB2312" w:eastAsia="仿宋_GB2312" w:cs="仿宋_GB2312"/>
          <w:snapToGrid w:val="0"/>
          <w:kern w:val="0"/>
          <w:sz w:val="30"/>
          <w:szCs w:val="30"/>
        </w:rPr>
        <w:t>1</w:t>
      </w:r>
      <w:r>
        <w:rPr>
          <w:rFonts w:hint="eastAsia" w:ascii="仿宋_GB2312" w:hAnsi="仿宋_GB2312" w:eastAsia="仿宋_GB2312" w:cs="仿宋_GB2312"/>
          <w:snapToGrid w:val="0"/>
          <w:kern w:val="0"/>
          <w:sz w:val="30"/>
          <w:szCs w:val="30"/>
        </w:rPr>
        <w:t>.内容、视频制作服务。根据项目要求，设计制作相应视频脚本及配套幻灯片、视频等。</w:t>
      </w:r>
    </w:p>
    <w:p w14:paraId="2584A499">
      <w:pPr>
        <w:pStyle w:val="10"/>
        <w:widowControl w:val="0"/>
        <w:overflowPunct w:val="0"/>
        <w:adjustRightInd w:val="0"/>
        <w:snapToGrid w:val="0"/>
        <w:spacing w:line="576" w:lineRule="exact"/>
        <w:ind w:firstLine="600" w:firstLineChars="200"/>
        <w:jc w:val="both"/>
        <w:rPr>
          <w:rFonts w:hint="default" w:ascii="仿宋_GB2312" w:hAnsi="仿宋_GB2312" w:eastAsia="仿宋_GB2312" w:cs="仿宋_GB2312"/>
          <w:snapToGrid w:val="0"/>
          <w:sz w:val="30"/>
          <w:szCs w:val="30"/>
          <w:lang w:eastAsia="zh-CN"/>
        </w:rPr>
      </w:pPr>
      <w:r>
        <w:rPr>
          <w:rFonts w:ascii="仿宋_GB2312" w:hAnsi="仿宋_GB2312" w:eastAsia="仿宋_GB2312" w:cs="仿宋_GB2312"/>
          <w:snapToGrid w:val="0"/>
          <w:sz w:val="30"/>
          <w:szCs w:val="30"/>
          <w:lang w:eastAsia="zh-CN"/>
        </w:rPr>
        <w:t>★</w:t>
      </w:r>
      <w:r>
        <w:rPr>
          <w:rFonts w:hint="default" w:ascii="仿宋_GB2312" w:hAnsi="仿宋_GB2312" w:eastAsia="仿宋_GB2312" w:cs="仿宋_GB2312"/>
          <w:snapToGrid w:val="0"/>
          <w:sz w:val="30"/>
          <w:szCs w:val="30"/>
          <w:lang w:eastAsia="zh-CN"/>
        </w:rPr>
        <w:t>2</w:t>
      </w:r>
      <w:r>
        <w:rPr>
          <w:rFonts w:ascii="仿宋_GB2312" w:hAnsi="仿宋_GB2312" w:eastAsia="仿宋_GB2312" w:cs="仿宋_GB2312"/>
          <w:snapToGrid w:val="0"/>
          <w:sz w:val="30"/>
          <w:szCs w:val="30"/>
          <w:lang w:eastAsia="zh-CN"/>
        </w:rPr>
        <w:t>.活动各环节以图片、视频、文字等为载体，充分运用高新技术手段强化展示效果，根据专场活动需要，制作相关PPT及视频；</w:t>
      </w:r>
    </w:p>
    <w:p w14:paraId="4E7EFFD5">
      <w:pPr>
        <w:pStyle w:val="10"/>
        <w:widowControl w:val="0"/>
        <w:overflowPunct w:val="0"/>
        <w:adjustRightInd w:val="0"/>
        <w:snapToGrid w:val="0"/>
        <w:spacing w:line="576" w:lineRule="exact"/>
        <w:ind w:firstLine="600" w:firstLineChars="200"/>
        <w:jc w:val="both"/>
        <w:rPr>
          <w:rFonts w:hint="default" w:ascii="仿宋_GB2312" w:hAnsi="仿宋_GB2312" w:eastAsia="仿宋_GB2312" w:cs="仿宋_GB2312"/>
          <w:snapToGrid w:val="0"/>
          <w:sz w:val="30"/>
          <w:szCs w:val="30"/>
          <w:lang w:eastAsia="zh-CN"/>
        </w:rPr>
      </w:pPr>
      <w:r>
        <w:rPr>
          <w:rFonts w:ascii="仿宋_GB2312" w:hAnsi="仿宋_GB2312" w:eastAsia="仿宋_GB2312" w:cs="仿宋_GB2312"/>
          <w:snapToGrid w:val="0"/>
          <w:sz w:val="30"/>
          <w:szCs w:val="30"/>
          <w:lang w:eastAsia="zh-CN"/>
        </w:rPr>
        <w:t>★</w:t>
      </w:r>
      <w:r>
        <w:rPr>
          <w:rFonts w:hint="default" w:ascii="仿宋_GB2312" w:hAnsi="仿宋_GB2312" w:eastAsia="仿宋_GB2312" w:cs="仿宋_GB2312"/>
          <w:snapToGrid w:val="0"/>
          <w:sz w:val="30"/>
          <w:szCs w:val="30"/>
          <w:lang w:eastAsia="zh-CN"/>
        </w:rPr>
        <w:t>3</w:t>
      </w:r>
      <w:r>
        <w:rPr>
          <w:rFonts w:ascii="仿宋_GB2312" w:hAnsi="仿宋_GB2312" w:eastAsia="仿宋_GB2312" w:cs="仿宋_GB2312"/>
          <w:snapToGrid w:val="0"/>
          <w:sz w:val="30"/>
          <w:szCs w:val="30"/>
          <w:lang w:eastAsia="zh-CN"/>
        </w:rPr>
        <w:t>.活动须有专人进行现场拍照，提交符合采购人要求的照片不少于20张（JPG格式，像素不低于2000万）。</w:t>
      </w:r>
    </w:p>
    <w:p w14:paraId="10C7BE46">
      <w:pPr>
        <w:pStyle w:val="10"/>
        <w:widowControl w:val="0"/>
        <w:overflowPunct w:val="0"/>
        <w:adjustRightInd w:val="0"/>
        <w:snapToGrid w:val="0"/>
        <w:spacing w:line="576" w:lineRule="exact"/>
        <w:ind w:firstLine="600" w:firstLineChars="200"/>
        <w:jc w:val="both"/>
        <w:rPr>
          <w:rFonts w:hint="default" w:ascii="仿宋_GB2312" w:hAnsi="仿宋_GB2312" w:eastAsia="仿宋_GB2312" w:cs="仿宋_GB2312"/>
          <w:snapToGrid w:val="0"/>
          <w:sz w:val="30"/>
          <w:szCs w:val="30"/>
          <w:lang w:eastAsia="zh-CN"/>
        </w:rPr>
      </w:pPr>
      <w:r>
        <w:rPr>
          <w:rFonts w:ascii="仿宋_GB2312" w:hAnsi="仿宋_GB2312" w:eastAsia="仿宋_GB2312" w:cs="仿宋_GB2312"/>
          <w:snapToGrid w:val="0"/>
          <w:sz w:val="30"/>
          <w:szCs w:val="30"/>
          <w:lang w:eastAsia="zh-CN"/>
        </w:rPr>
        <w:t>★</w:t>
      </w:r>
      <w:r>
        <w:rPr>
          <w:rFonts w:hint="default" w:ascii="仿宋_GB2312" w:hAnsi="仿宋_GB2312" w:eastAsia="仿宋_GB2312" w:cs="仿宋_GB2312"/>
          <w:snapToGrid w:val="0"/>
          <w:sz w:val="30"/>
          <w:szCs w:val="30"/>
          <w:lang w:eastAsia="zh-CN"/>
        </w:rPr>
        <w:t>4</w:t>
      </w:r>
      <w:r>
        <w:rPr>
          <w:rFonts w:ascii="仿宋_GB2312" w:hAnsi="仿宋_GB2312" w:eastAsia="仿宋_GB2312" w:cs="仿宋_GB2312"/>
          <w:snapToGrid w:val="0"/>
          <w:sz w:val="30"/>
          <w:szCs w:val="30"/>
          <w:lang w:eastAsia="zh-CN"/>
        </w:rPr>
        <w:t>.活动现场提供摄影师、工作人员做好活动现场保障、技术保障、拍摄记录及宣传用途。</w:t>
      </w:r>
    </w:p>
    <w:p w14:paraId="377493E6">
      <w:pPr>
        <w:pStyle w:val="10"/>
        <w:widowControl w:val="0"/>
        <w:overflowPunct w:val="0"/>
        <w:adjustRightInd w:val="0"/>
        <w:snapToGrid w:val="0"/>
        <w:spacing w:line="576" w:lineRule="exact"/>
        <w:ind w:firstLine="600" w:firstLineChars="200"/>
        <w:jc w:val="both"/>
        <w:rPr>
          <w:rFonts w:hint="default" w:ascii="仿宋_GB2312" w:hAnsi="仿宋_GB2312" w:eastAsia="仿宋_GB2312" w:cs="仿宋_GB2312"/>
          <w:snapToGrid w:val="0"/>
          <w:sz w:val="30"/>
          <w:szCs w:val="30"/>
          <w:lang w:eastAsia="zh-CN"/>
        </w:rPr>
      </w:pPr>
      <w:r>
        <w:rPr>
          <w:rFonts w:ascii="仿宋_GB2312" w:hAnsi="仿宋_GB2312" w:eastAsia="仿宋_GB2312" w:cs="仿宋_GB2312"/>
          <w:snapToGrid w:val="0"/>
          <w:sz w:val="30"/>
          <w:szCs w:val="30"/>
          <w:lang w:eastAsia="zh-CN"/>
        </w:rPr>
        <w:t>★5.</w:t>
      </w:r>
      <w:bookmarkStart w:id="13" w:name="OLE_LINK2"/>
      <w:bookmarkStart w:id="14" w:name="OLE_LINK1"/>
      <w:r>
        <w:rPr>
          <w:rFonts w:ascii="仿宋_GB2312" w:hAnsi="仿宋_GB2312" w:eastAsia="仿宋_GB2312" w:cs="仿宋_GB2312"/>
          <w:snapToGrid w:val="0"/>
          <w:sz w:val="30"/>
          <w:szCs w:val="30"/>
          <w:lang w:eastAsia="zh-CN"/>
        </w:rPr>
        <w:t>聚焦网约配送员多元需求场景，组织市场监管基层所，在划定专区进行硬件设施建设与服务功能优化，打造不少于20个暖“新”驿站，形成硬件达标、服务优质、管理规范的可复制推广服务样板。</w:t>
      </w:r>
      <w:bookmarkEnd w:id="13"/>
      <w:bookmarkEnd w:id="14"/>
    </w:p>
    <w:p w14:paraId="10E9D17A">
      <w:pPr>
        <w:pStyle w:val="10"/>
        <w:widowControl w:val="0"/>
        <w:overflowPunct w:val="0"/>
        <w:adjustRightInd w:val="0"/>
        <w:snapToGrid w:val="0"/>
        <w:spacing w:line="576" w:lineRule="exact"/>
        <w:ind w:firstLine="600" w:firstLineChars="200"/>
        <w:jc w:val="both"/>
        <w:rPr>
          <w:rFonts w:hint="default" w:ascii="仿宋_GB2312" w:hAnsi="仿宋_GB2312" w:eastAsia="仿宋_GB2312" w:cs="仿宋_GB2312"/>
          <w:snapToGrid w:val="0"/>
          <w:sz w:val="30"/>
          <w:szCs w:val="30"/>
          <w:lang w:eastAsia="zh-CN"/>
        </w:rPr>
      </w:pPr>
      <w:r>
        <w:rPr>
          <w:rFonts w:ascii="仿宋_GB2312" w:hAnsi="仿宋_GB2312" w:eastAsia="仿宋_GB2312" w:cs="仿宋_GB2312"/>
          <w:snapToGrid w:val="0"/>
          <w:sz w:val="30"/>
          <w:szCs w:val="30"/>
          <w:lang w:eastAsia="zh-CN"/>
        </w:rPr>
        <w:t>★6.</w:t>
      </w:r>
      <w:bookmarkStart w:id="15" w:name="OLE_LINK5"/>
      <w:bookmarkStart w:id="16" w:name="OLE_LINK6"/>
      <w:r>
        <w:rPr>
          <w:rFonts w:ascii="仿宋_GB2312" w:hAnsi="仿宋_GB2312" w:eastAsia="仿宋_GB2312" w:cs="仿宋_GB2312"/>
          <w:snapToGrid w:val="0"/>
          <w:sz w:val="30"/>
          <w:szCs w:val="30"/>
          <w:lang w:eastAsia="zh-CN"/>
        </w:rPr>
        <w:t>依托福建“小个专”党建平台，开发福建省市场监管系统暖“新”驿站电子地图功能，实现省、市、县、所四级穿透式展示，清晰呈现各站点详细地址和服务内容，为网约配送员提供便捷查询入口。</w:t>
      </w:r>
      <w:bookmarkEnd w:id="15"/>
      <w:bookmarkEnd w:id="16"/>
    </w:p>
    <w:p w14:paraId="7867AC0C">
      <w:pPr>
        <w:overflowPunct w:val="0"/>
        <w:adjustRightInd w:val="0"/>
        <w:snapToGrid w:val="0"/>
        <w:spacing w:line="576" w:lineRule="exact"/>
        <w:ind w:firstLine="643" w:firstLineChars="200"/>
        <w:rPr>
          <w:rFonts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（四）验收要求</w:t>
      </w:r>
    </w:p>
    <w:p w14:paraId="40233C24">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成交供应商所提供的材料不违反国家相关法律法规，所有文件格式符合合同要求；交付的条目数量以采购人要求发送的格式和版本为标准，并符合招标文件的要求。验收时由乙方和采购人共同对项目质量等根据采购文件的有关规定逐项检验。</w:t>
      </w:r>
    </w:p>
    <w:p w14:paraId="47A1BE43">
      <w:pPr>
        <w:spacing w:line="590" w:lineRule="exact"/>
        <w:ind w:firstLine="576" w:firstLineChars="200"/>
        <w:rPr>
          <w:rFonts w:ascii="仿宋" w:hAnsi="仿宋" w:eastAsia="仿宋" w:cs="仿宋"/>
          <w:sz w:val="30"/>
          <w:szCs w:val="30"/>
        </w:rPr>
      </w:pPr>
      <w:r>
        <w:rPr>
          <w:rFonts w:hint="eastAsia" w:ascii="仿宋_GB2312" w:hAnsi="仿宋_GB2312" w:eastAsia="仿宋_GB2312" w:cs="仿宋_GB2312"/>
          <w:snapToGrid w:val="0"/>
          <w:spacing w:val="-6"/>
          <w:kern w:val="0"/>
          <w:sz w:val="30"/>
          <w:szCs w:val="30"/>
        </w:rPr>
        <w:t>若验收不能符合要求，采购人将按合同条款的有关规定执行。</w:t>
      </w:r>
    </w:p>
    <w:p w14:paraId="5CAB484C">
      <w:pPr>
        <w:overflowPunct w:val="0"/>
        <w:adjustRightInd w:val="0"/>
        <w:snapToGrid w:val="0"/>
        <w:spacing w:line="576" w:lineRule="exact"/>
        <w:ind w:firstLine="643" w:firstLineChars="200"/>
        <w:rPr>
          <w:rFonts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（五）项目付款方式</w:t>
      </w:r>
    </w:p>
    <w:p w14:paraId="67289D14">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成交供应商与采购人签订合同后，采购人向成交供应商转账支付50%项目费用。成交供应商完成本项目要求的所有成果并通过采购人验收后，采购人向成交供应商转账支付余下50%费用。</w:t>
      </w:r>
    </w:p>
    <w:p w14:paraId="33BB0D83">
      <w:pPr>
        <w:overflowPunct w:val="0"/>
        <w:adjustRightInd w:val="0"/>
        <w:snapToGrid w:val="0"/>
        <w:spacing w:line="576" w:lineRule="exact"/>
        <w:ind w:firstLine="643" w:firstLineChars="200"/>
        <w:rPr>
          <w:rFonts w:ascii="楷体_GB2312" w:hAnsi="楷体_GB2312" w:eastAsia="楷体_GB2312" w:cs="楷体_GB2312"/>
          <w:b/>
          <w:bCs/>
          <w:snapToGrid w:val="0"/>
          <w:kern w:val="0"/>
          <w:sz w:val="32"/>
          <w:szCs w:val="32"/>
        </w:rPr>
      </w:pPr>
      <w:bookmarkStart w:id="17" w:name="_Toc498001368"/>
      <w:bookmarkStart w:id="18" w:name="_Toc498001269"/>
      <w:r>
        <w:rPr>
          <w:rFonts w:hint="eastAsia" w:ascii="楷体_GB2312" w:hAnsi="楷体_GB2312" w:eastAsia="楷体_GB2312" w:cs="楷体_GB2312"/>
          <w:b/>
          <w:bCs/>
          <w:snapToGrid w:val="0"/>
          <w:kern w:val="0"/>
          <w:sz w:val="32"/>
          <w:szCs w:val="32"/>
        </w:rPr>
        <w:t>（六）项目服务期限</w:t>
      </w:r>
      <w:bookmarkEnd w:id="17"/>
      <w:bookmarkEnd w:id="18"/>
    </w:p>
    <w:p w14:paraId="3B9C5B24">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 xml:space="preserve"> 项目总体时间：具体时间以甲乙双方协商的时间为准</w:t>
      </w:r>
    </w:p>
    <w:p w14:paraId="35D532CB">
      <w:pPr>
        <w:overflowPunct w:val="0"/>
        <w:adjustRightInd w:val="0"/>
        <w:snapToGrid w:val="0"/>
        <w:spacing w:line="576" w:lineRule="exact"/>
        <w:ind w:firstLine="643" w:firstLineChars="200"/>
        <w:rPr>
          <w:rFonts w:ascii="楷体_GB2312" w:hAnsi="楷体_GB2312" w:eastAsia="楷体_GB2312" w:cs="楷体_GB2312"/>
          <w:b/>
          <w:bCs/>
          <w:snapToGrid w:val="0"/>
          <w:kern w:val="0"/>
          <w:sz w:val="32"/>
          <w:szCs w:val="32"/>
        </w:rPr>
      </w:pPr>
      <w:bookmarkStart w:id="19" w:name="_Toc498001270"/>
      <w:bookmarkStart w:id="20" w:name="_Toc498001369"/>
      <w:bookmarkStart w:id="21" w:name="_Toc419485053"/>
      <w:bookmarkStart w:id="22" w:name="_Toc421023430"/>
      <w:bookmarkStart w:id="23" w:name="_Toc430180167"/>
      <w:bookmarkStart w:id="24" w:name="_Toc450320513"/>
      <w:bookmarkStart w:id="25" w:name="_Toc455746742"/>
      <w:r>
        <w:rPr>
          <w:rFonts w:hint="eastAsia" w:ascii="楷体_GB2312" w:hAnsi="楷体_GB2312" w:eastAsia="楷体_GB2312" w:cs="楷体_GB2312"/>
          <w:b/>
          <w:bCs/>
          <w:snapToGrid w:val="0"/>
          <w:kern w:val="0"/>
          <w:sz w:val="32"/>
          <w:szCs w:val="32"/>
        </w:rPr>
        <w:t>（七）违约责任</w:t>
      </w:r>
      <w:bookmarkEnd w:id="19"/>
      <w:bookmarkEnd w:id="20"/>
      <w:bookmarkEnd w:id="21"/>
      <w:bookmarkEnd w:id="22"/>
      <w:bookmarkEnd w:id="23"/>
      <w:bookmarkEnd w:id="24"/>
      <w:bookmarkEnd w:id="25"/>
    </w:p>
    <w:p w14:paraId="7B6B2F71">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1.因成交供应商原因造成采购合同无法按时签订，视为成交供应商违约，成交供应商违约对采购人造成的损失的，需另行支付相应的赔偿。</w:t>
      </w:r>
    </w:p>
    <w:p w14:paraId="185AC6F7">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2.在签订采购合同之后，成交供应商要求解除合同的，视为成交供应商违约，对采购人造成损失的，成交供应商需支付相应的赔偿。</w:t>
      </w:r>
    </w:p>
    <w:p w14:paraId="5DBA937E">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3.因成交供应商原因发生重大质量事故，除依约承担赔偿责任外，还将按有关管理办法规定执行。同时，采购人有权保留更换成交供应商的权利，并报相关行政主管部门处罚。</w:t>
      </w:r>
    </w:p>
    <w:p w14:paraId="644D6708">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解除合同，给采购人造成的损失，还应承担赔偿责任。</w:t>
      </w:r>
    </w:p>
    <w:p w14:paraId="131539FD">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highlight w:val="red"/>
        </w:rPr>
      </w:pPr>
      <w:r>
        <w:rPr>
          <w:rFonts w:hint="eastAsia" w:ascii="仿宋_GB2312" w:hAnsi="仿宋_GB2312" w:eastAsia="仿宋_GB2312" w:cs="仿宋_GB2312"/>
          <w:snapToGrid w:val="0"/>
          <w:kern w:val="0"/>
          <w:sz w:val="30"/>
          <w:szCs w:val="30"/>
        </w:rPr>
        <w:t>5.若成交供应商未能按合同规定的时间或双方另行确定的延期项目实施期限按时完成的（不可抗力除外），每逾期一周，成交供应商应按项目金额的0.05%向采购人支付逾期的违约金。若成交供应商逾期达15天（含15天）以上的，采购人有权单方解除本合同，成交供应商应按项目总金额的10%支付违约金。若因此给采购人造成损失的，还应赔偿采购人所受的损失。</w:t>
      </w:r>
    </w:p>
    <w:p w14:paraId="5139C525">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6.成交供应商擅自转包的，采购人有权解除合同，且成交供应商应向采购人支付合同总金额10%的违约金，对采购人造成的损失的，需另行支付相应的赔偿。</w:t>
      </w:r>
    </w:p>
    <w:p w14:paraId="19300E41">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7.在明确违约责任后，成交供应商应在接到书面通知书起七天内支付违约金、赔偿金等。</w:t>
      </w:r>
    </w:p>
    <w:p w14:paraId="370E83D3">
      <w:pPr>
        <w:overflowPunct w:val="0"/>
        <w:adjustRightInd w:val="0"/>
        <w:snapToGrid w:val="0"/>
        <w:spacing w:line="576" w:lineRule="exact"/>
        <w:ind w:firstLine="600" w:firstLineChars="200"/>
        <w:rPr>
          <w:rFonts w:ascii="仿宋_GB2312" w:hAnsi="仿宋_GB2312" w:eastAsia="仿宋_GB2312" w:cs="仿宋_GB2312"/>
          <w:snapToGrid w:val="0"/>
          <w:kern w:val="0"/>
          <w:sz w:val="30"/>
          <w:szCs w:val="30"/>
        </w:rPr>
      </w:pPr>
      <w:r>
        <w:rPr>
          <w:rFonts w:hint="eastAsia" w:ascii="仿宋_GB2312" w:hAnsi="仿宋_GB2312" w:eastAsia="仿宋_GB2312" w:cs="仿宋_GB2312"/>
          <w:snapToGrid w:val="0"/>
          <w:kern w:val="0"/>
          <w:sz w:val="30"/>
          <w:szCs w:val="30"/>
        </w:rPr>
        <w:t>8.本次采购文件未明确的其他约定事项或条款，待采购人与成交供应商签订合同时，由双方协商订立。</w:t>
      </w:r>
    </w:p>
    <w:p w14:paraId="252E608F">
      <w:pPr>
        <w:overflowPunct w:val="0"/>
        <w:adjustRightInd w:val="0"/>
        <w:snapToGrid w:val="0"/>
        <w:spacing w:line="576" w:lineRule="exact"/>
        <w:ind w:firstLine="640" w:firstLineChars="200"/>
        <w:rPr>
          <w:rFonts w:ascii="黑体" w:hAnsi="黑体" w:eastAsia="黑体" w:cs="黑体"/>
          <w:snapToGrid w:val="0"/>
          <w:kern w:val="0"/>
          <w:sz w:val="32"/>
          <w:szCs w:val="32"/>
        </w:rPr>
      </w:pPr>
      <w:r>
        <w:rPr>
          <w:rFonts w:hint="eastAsia" w:ascii="黑体" w:hAnsi="黑体" w:eastAsia="黑体" w:cs="黑体"/>
          <w:snapToGrid w:val="0"/>
          <w:kern w:val="0"/>
          <w:sz w:val="32"/>
          <w:szCs w:val="32"/>
        </w:rPr>
        <w:t>三、项目评分标准</w:t>
      </w:r>
    </w:p>
    <w:p w14:paraId="1AB02F2F">
      <w:pPr>
        <w:overflowPunct w:val="0"/>
        <w:adjustRightInd w:val="0"/>
        <w:snapToGrid w:val="0"/>
        <w:spacing w:after="156" w:afterLines="50" w:line="576" w:lineRule="exact"/>
        <w:ind w:firstLine="643" w:firstLineChars="200"/>
        <w:rPr>
          <w:rFonts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（一）技术部分评分  满分</w:t>
      </w:r>
      <w:r>
        <w:rPr>
          <w:rFonts w:ascii="楷体_GB2312" w:hAnsi="楷体_GB2312" w:eastAsia="楷体_GB2312" w:cs="楷体_GB2312"/>
          <w:b/>
          <w:bCs/>
          <w:snapToGrid w:val="0"/>
          <w:kern w:val="0"/>
          <w:sz w:val="32"/>
          <w:szCs w:val="32"/>
        </w:rPr>
        <w:t>59</w:t>
      </w:r>
      <w:r>
        <w:rPr>
          <w:rFonts w:hint="eastAsia" w:ascii="楷体_GB2312" w:hAnsi="楷体_GB2312" w:eastAsia="楷体_GB2312" w:cs="楷体_GB2312"/>
          <w:b/>
          <w:bCs/>
          <w:snapToGrid w:val="0"/>
          <w:kern w:val="0"/>
          <w:sz w:val="32"/>
          <w:szCs w:val="32"/>
        </w:rPr>
        <w:t>分</w:t>
      </w:r>
    </w:p>
    <w:tbl>
      <w:tblPr>
        <w:tblStyle w:val="8"/>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1423"/>
        <w:gridCol w:w="875"/>
        <w:gridCol w:w="5851"/>
      </w:tblGrid>
      <w:tr w14:paraId="3EEBF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blHeader/>
          <w:jc w:val="center"/>
        </w:trPr>
        <w:tc>
          <w:tcPr>
            <w:tcW w:w="922" w:type="dxa"/>
            <w:vAlign w:val="center"/>
          </w:tcPr>
          <w:p w14:paraId="51BB7CC4">
            <w:pPr>
              <w:overflowPunct w:val="0"/>
              <w:adjustRightInd w:val="0"/>
              <w:snapToGrid w:val="0"/>
              <w:jc w:val="center"/>
              <w:textAlignment w:val="center"/>
              <w:rPr>
                <w:rFonts w:ascii="黑体" w:hAnsi="黑体" w:eastAsia="黑体" w:cs="黑体"/>
                <w:snapToGrid w:val="0"/>
                <w:kern w:val="0"/>
                <w:sz w:val="28"/>
                <w:szCs w:val="28"/>
                <w:lang w:bidi="ar"/>
              </w:rPr>
            </w:pPr>
            <w:r>
              <w:rPr>
                <w:rFonts w:hint="eastAsia" w:ascii="黑体" w:hAnsi="黑体" w:eastAsia="黑体" w:cs="黑体"/>
                <w:snapToGrid w:val="0"/>
                <w:kern w:val="0"/>
                <w:sz w:val="28"/>
                <w:szCs w:val="28"/>
                <w:lang w:bidi="ar"/>
              </w:rPr>
              <w:t>序号</w:t>
            </w:r>
          </w:p>
        </w:tc>
        <w:tc>
          <w:tcPr>
            <w:tcW w:w="1423" w:type="dxa"/>
            <w:vAlign w:val="center"/>
          </w:tcPr>
          <w:p w14:paraId="6ADC5A52">
            <w:pPr>
              <w:overflowPunct w:val="0"/>
              <w:adjustRightInd w:val="0"/>
              <w:snapToGrid w:val="0"/>
              <w:jc w:val="center"/>
              <w:textAlignment w:val="center"/>
              <w:rPr>
                <w:rFonts w:ascii="黑体" w:hAnsi="黑体" w:eastAsia="黑体" w:cs="黑体"/>
                <w:snapToGrid w:val="0"/>
                <w:kern w:val="0"/>
                <w:sz w:val="28"/>
                <w:szCs w:val="28"/>
                <w:lang w:bidi="ar"/>
              </w:rPr>
            </w:pPr>
            <w:r>
              <w:rPr>
                <w:rFonts w:hint="eastAsia" w:ascii="黑体" w:hAnsi="黑体" w:eastAsia="黑体" w:cs="黑体"/>
                <w:snapToGrid w:val="0"/>
                <w:kern w:val="0"/>
                <w:sz w:val="28"/>
                <w:szCs w:val="28"/>
                <w:lang w:bidi="ar"/>
              </w:rPr>
              <w:t>项目</w:t>
            </w:r>
          </w:p>
        </w:tc>
        <w:tc>
          <w:tcPr>
            <w:tcW w:w="875" w:type="dxa"/>
            <w:vAlign w:val="center"/>
          </w:tcPr>
          <w:p w14:paraId="2BC73793">
            <w:pPr>
              <w:overflowPunct w:val="0"/>
              <w:adjustRightInd w:val="0"/>
              <w:snapToGrid w:val="0"/>
              <w:jc w:val="center"/>
              <w:textAlignment w:val="center"/>
              <w:rPr>
                <w:rFonts w:ascii="黑体" w:hAnsi="黑体" w:eastAsia="黑体" w:cs="黑体"/>
                <w:snapToGrid w:val="0"/>
                <w:kern w:val="0"/>
                <w:sz w:val="28"/>
                <w:szCs w:val="28"/>
                <w:lang w:bidi="ar"/>
              </w:rPr>
            </w:pPr>
            <w:r>
              <w:rPr>
                <w:rFonts w:hint="eastAsia" w:ascii="黑体" w:hAnsi="黑体" w:eastAsia="黑体" w:cs="黑体"/>
                <w:snapToGrid w:val="0"/>
                <w:kern w:val="0"/>
                <w:sz w:val="28"/>
                <w:szCs w:val="28"/>
                <w:lang w:bidi="ar"/>
              </w:rPr>
              <w:t>分值</w:t>
            </w:r>
          </w:p>
        </w:tc>
        <w:tc>
          <w:tcPr>
            <w:tcW w:w="5851" w:type="dxa"/>
            <w:vAlign w:val="center"/>
          </w:tcPr>
          <w:p w14:paraId="3A5AD766">
            <w:pPr>
              <w:overflowPunct w:val="0"/>
              <w:adjustRightInd w:val="0"/>
              <w:snapToGrid w:val="0"/>
              <w:jc w:val="center"/>
              <w:textAlignment w:val="center"/>
              <w:rPr>
                <w:rFonts w:ascii="黑体" w:hAnsi="黑体" w:eastAsia="黑体" w:cs="黑体"/>
                <w:snapToGrid w:val="0"/>
                <w:kern w:val="0"/>
                <w:sz w:val="28"/>
                <w:szCs w:val="28"/>
                <w:lang w:bidi="ar"/>
              </w:rPr>
            </w:pPr>
            <w:r>
              <w:rPr>
                <w:rFonts w:hint="eastAsia" w:ascii="黑体" w:hAnsi="黑体" w:eastAsia="黑体" w:cs="黑体"/>
                <w:snapToGrid w:val="0"/>
                <w:kern w:val="0"/>
                <w:sz w:val="28"/>
                <w:szCs w:val="28"/>
                <w:lang w:bidi="ar"/>
              </w:rPr>
              <w:t>描述</w:t>
            </w:r>
          </w:p>
        </w:tc>
      </w:tr>
      <w:tr w14:paraId="578AC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60" w:hRule="atLeast"/>
          <w:jc w:val="center"/>
        </w:trPr>
        <w:tc>
          <w:tcPr>
            <w:tcW w:w="922" w:type="dxa"/>
            <w:vAlign w:val="center"/>
          </w:tcPr>
          <w:p w14:paraId="1D4EBF68">
            <w:pPr>
              <w:overflowPunct w:val="0"/>
              <w:adjustRightInd w:val="0"/>
              <w:snapToGrid w:val="0"/>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1</w:t>
            </w:r>
          </w:p>
        </w:tc>
        <w:tc>
          <w:tcPr>
            <w:tcW w:w="1423" w:type="dxa"/>
            <w:vAlign w:val="center"/>
          </w:tcPr>
          <w:p w14:paraId="1124E69A">
            <w:pPr>
              <w:overflowPunct w:val="0"/>
              <w:adjustRightInd w:val="0"/>
              <w:snapToGrid w:val="0"/>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技术服务响应情况</w:t>
            </w:r>
          </w:p>
        </w:tc>
        <w:tc>
          <w:tcPr>
            <w:tcW w:w="875" w:type="dxa"/>
            <w:vAlign w:val="center"/>
          </w:tcPr>
          <w:p w14:paraId="3D9690FC">
            <w:pPr>
              <w:overflowPunct w:val="0"/>
              <w:adjustRightInd w:val="0"/>
              <w:snapToGrid w:val="0"/>
              <w:jc w:val="center"/>
              <w:textAlignment w:val="center"/>
              <w:rPr>
                <w:rFonts w:ascii="仿宋_GB2312" w:hAnsi="仿宋_GB2312" w:eastAsia="仿宋_GB2312" w:cs="仿宋_GB2312"/>
                <w:snapToGrid w:val="0"/>
                <w:kern w:val="0"/>
                <w:sz w:val="28"/>
                <w:szCs w:val="28"/>
                <w:lang w:bidi="ar"/>
              </w:rPr>
            </w:pPr>
            <w:bookmarkStart w:id="32" w:name="_GoBack"/>
            <w:r>
              <w:rPr>
                <w:rFonts w:hint="eastAsia" w:ascii="仿宋_GB2312" w:hAnsi="仿宋_GB2312" w:eastAsia="仿宋_GB2312" w:cs="仿宋_GB2312"/>
                <w:snapToGrid w:val="0"/>
                <w:kern w:val="0"/>
                <w:sz w:val="28"/>
                <w:szCs w:val="28"/>
                <w:lang w:bidi="ar"/>
              </w:rPr>
              <w:t>2</w:t>
            </w:r>
            <w:r>
              <w:rPr>
                <w:rFonts w:ascii="仿宋_GB2312" w:hAnsi="仿宋_GB2312" w:eastAsia="仿宋_GB2312" w:cs="仿宋_GB2312"/>
                <w:snapToGrid w:val="0"/>
                <w:kern w:val="0"/>
                <w:sz w:val="28"/>
                <w:szCs w:val="28"/>
                <w:lang w:bidi="ar"/>
              </w:rPr>
              <w:t>8</w:t>
            </w:r>
            <w:bookmarkEnd w:id="32"/>
          </w:p>
        </w:tc>
        <w:tc>
          <w:tcPr>
            <w:tcW w:w="5851" w:type="dxa"/>
            <w:vAlign w:val="center"/>
          </w:tcPr>
          <w:p w14:paraId="016E920B">
            <w:pPr>
              <w:overflowPunct w:val="0"/>
              <w:adjustRightInd w:val="0"/>
              <w:snapToGrid w:val="0"/>
              <w:jc w:val="left"/>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根据供应商对本采购文件中“二、</w:t>
            </w:r>
            <w:r>
              <w:rPr>
                <w:rFonts w:hint="eastAsia" w:ascii="仿宋_GB2312" w:hAnsi="仿宋_GB2312" w:eastAsia="仿宋_GB2312" w:cs="仿宋_GB2312"/>
                <w:snapToGrid w:val="0"/>
                <w:kern w:val="0"/>
                <w:sz w:val="28"/>
                <w:szCs w:val="28"/>
                <w:lang w:bidi="ar"/>
              </w:rPr>
              <w:t>项目</w:t>
            </w:r>
            <w:r>
              <w:rPr>
                <w:rFonts w:ascii="仿宋_GB2312" w:hAnsi="仿宋_GB2312" w:eastAsia="仿宋_GB2312" w:cs="仿宋_GB2312"/>
                <w:snapToGrid w:val="0"/>
                <w:kern w:val="0"/>
                <w:sz w:val="28"/>
                <w:szCs w:val="28"/>
                <w:lang w:bidi="ar"/>
              </w:rPr>
              <w:t>技术要求”的逐项应答情况并结合相关佐证材料（若有）进行评分：带“★”若负偏离任意一项按无效标处理。未带“★”（共7项）完全满足</w:t>
            </w:r>
            <w:r>
              <w:rPr>
                <w:rFonts w:hint="eastAsia" w:ascii="仿宋_GB2312" w:hAnsi="仿宋_GB2312" w:eastAsia="仿宋_GB2312" w:cs="仿宋_GB2312"/>
                <w:snapToGrid w:val="0"/>
                <w:kern w:val="0"/>
                <w:sz w:val="28"/>
                <w:szCs w:val="28"/>
                <w:lang w:bidi="ar"/>
              </w:rPr>
              <w:t>采购</w:t>
            </w:r>
            <w:r>
              <w:rPr>
                <w:rFonts w:ascii="仿宋_GB2312" w:hAnsi="仿宋_GB2312" w:eastAsia="仿宋_GB2312" w:cs="仿宋_GB2312"/>
                <w:snapToGrid w:val="0"/>
                <w:kern w:val="0"/>
                <w:sz w:val="28"/>
                <w:szCs w:val="28"/>
                <w:lang w:bidi="ar"/>
              </w:rPr>
              <w:t>文件要求得</w:t>
            </w:r>
            <w:r>
              <w:rPr>
                <w:rFonts w:hint="eastAsia" w:ascii="仿宋_GB2312" w:hAnsi="仿宋_GB2312" w:eastAsia="仿宋_GB2312" w:cs="仿宋_GB2312"/>
                <w:snapToGrid w:val="0"/>
                <w:kern w:val="0"/>
                <w:sz w:val="28"/>
                <w:szCs w:val="28"/>
                <w:lang w:bidi="ar"/>
              </w:rPr>
              <w:t>2</w:t>
            </w:r>
            <w:r>
              <w:rPr>
                <w:rFonts w:ascii="仿宋_GB2312" w:hAnsi="仿宋_GB2312" w:eastAsia="仿宋_GB2312" w:cs="仿宋_GB2312"/>
                <w:snapToGrid w:val="0"/>
                <w:kern w:val="0"/>
                <w:sz w:val="28"/>
                <w:szCs w:val="28"/>
                <w:lang w:bidi="ar"/>
              </w:rPr>
              <w:t>8分，每负偏离一项扣</w:t>
            </w:r>
            <w:r>
              <w:rPr>
                <w:rFonts w:hint="eastAsia" w:ascii="仿宋_GB2312" w:hAnsi="仿宋_GB2312" w:eastAsia="仿宋_GB2312" w:cs="仿宋_GB2312"/>
                <w:snapToGrid w:val="0"/>
                <w:kern w:val="0"/>
                <w:sz w:val="28"/>
                <w:szCs w:val="28"/>
                <w:lang w:bidi="ar"/>
              </w:rPr>
              <w:t>4</w:t>
            </w:r>
            <w:r>
              <w:rPr>
                <w:rFonts w:ascii="仿宋_GB2312" w:hAnsi="仿宋_GB2312" w:eastAsia="仿宋_GB2312" w:cs="仿宋_GB2312"/>
                <w:snapToGrid w:val="0"/>
                <w:kern w:val="0"/>
                <w:sz w:val="28"/>
                <w:szCs w:val="28"/>
                <w:lang w:bidi="ar"/>
              </w:rPr>
              <w:t>分；正偏离不加分。</w:t>
            </w:r>
          </w:p>
        </w:tc>
      </w:tr>
      <w:tr w14:paraId="08E12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5" w:hRule="atLeast"/>
          <w:jc w:val="center"/>
        </w:trPr>
        <w:tc>
          <w:tcPr>
            <w:tcW w:w="922" w:type="dxa"/>
            <w:vAlign w:val="center"/>
          </w:tcPr>
          <w:p w14:paraId="3F9B5BB2">
            <w:pPr>
              <w:overflowPunct w:val="0"/>
              <w:adjustRightInd w:val="0"/>
              <w:snapToGrid w:val="0"/>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2</w:t>
            </w:r>
          </w:p>
        </w:tc>
        <w:tc>
          <w:tcPr>
            <w:tcW w:w="1423" w:type="dxa"/>
            <w:vAlign w:val="center"/>
          </w:tcPr>
          <w:p w14:paraId="643CE07C">
            <w:pPr>
              <w:overflowPunct w:val="0"/>
              <w:adjustRightInd w:val="0"/>
              <w:snapToGrid w:val="0"/>
              <w:jc w:val="center"/>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napToGrid w:val="0"/>
                <w:kern w:val="0"/>
                <w:sz w:val="30"/>
                <w:szCs w:val="30"/>
              </w:rPr>
              <w:t>项目整体服务方案</w:t>
            </w:r>
          </w:p>
        </w:tc>
        <w:tc>
          <w:tcPr>
            <w:tcW w:w="875" w:type="dxa"/>
            <w:vAlign w:val="center"/>
          </w:tcPr>
          <w:p w14:paraId="02EC2EBB">
            <w:pPr>
              <w:overflowPunct w:val="0"/>
              <w:adjustRightInd w:val="0"/>
              <w:snapToGrid w:val="0"/>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6</w:t>
            </w:r>
          </w:p>
        </w:tc>
        <w:tc>
          <w:tcPr>
            <w:tcW w:w="5851" w:type="dxa"/>
            <w:vAlign w:val="center"/>
          </w:tcPr>
          <w:p w14:paraId="0BA0DB58">
            <w:pPr>
              <w:overflowPunct w:val="0"/>
              <w:adjustRightInd w:val="0"/>
              <w:snapToGrid w:val="0"/>
              <w:jc w:val="left"/>
              <w:textAlignment w:val="center"/>
              <w:rPr>
                <w:rFonts w:ascii="仿宋" w:hAnsi="仿宋" w:eastAsia="仿宋" w:cs="仿宋"/>
                <w:sz w:val="30"/>
                <w:szCs w:val="30"/>
              </w:rPr>
            </w:pPr>
            <w:bookmarkStart w:id="26" w:name="OLE_LINK3"/>
            <w:bookmarkStart w:id="27" w:name="OLE_LINK4"/>
            <w:r>
              <w:rPr>
                <w:rFonts w:ascii="仿宋" w:hAnsi="仿宋" w:eastAsia="仿宋" w:cs="仿宋"/>
                <w:sz w:val="30"/>
                <w:szCs w:val="30"/>
              </w:rPr>
              <w:t>供应商提供</w:t>
            </w:r>
            <w:r>
              <w:rPr>
                <w:rFonts w:hint="eastAsia" w:ascii="仿宋" w:hAnsi="仿宋" w:eastAsia="仿宋" w:cs="仿宋"/>
                <w:sz w:val="30"/>
                <w:szCs w:val="30"/>
              </w:rPr>
              <w:t>项目</w:t>
            </w:r>
            <w:r>
              <w:rPr>
                <w:rFonts w:ascii="仿宋" w:hAnsi="仿宋" w:eastAsia="仿宋" w:cs="仿宋"/>
                <w:sz w:val="30"/>
                <w:szCs w:val="30"/>
              </w:rPr>
              <w:t>整体执行方案，包含但不限于活动策划流程、</w:t>
            </w:r>
            <w:r>
              <w:rPr>
                <w:rFonts w:hint="eastAsia" w:ascii="仿宋" w:hAnsi="仿宋" w:eastAsia="仿宋" w:cs="仿宋"/>
                <w:sz w:val="30"/>
                <w:szCs w:val="30"/>
              </w:rPr>
              <w:t>物料</w:t>
            </w:r>
            <w:r>
              <w:rPr>
                <w:rFonts w:ascii="仿宋" w:hAnsi="仿宋" w:eastAsia="仿宋" w:cs="仿宋"/>
                <w:sz w:val="30"/>
                <w:szCs w:val="30"/>
              </w:rPr>
              <w:t>设计，由磋商小组进行评议：</w:t>
            </w:r>
            <w:r>
              <w:rPr>
                <w:rFonts w:hint="eastAsia" w:ascii="仿宋" w:hAnsi="仿宋" w:eastAsia="仿宋" w:cs="仿宋"/>
                <w:sz w:val="30"/>
                <w:szCs w:val="30"/>
              </w:rPr>
              <w:t>方案包含的内容与要点相符、每个要点均有展开详细的阐述且能够适用于本项目得</w:t>
            </w:r>
            <w:r>
              <w:rPr>
                <w:rFonts w:ascii="仿宋" w:hAnsi="仿宋" w:eastAsia="仿宋" w:cs="仿宋"/>
                <w:sz w:val="30"/>
                <w:szCs w:val="30"/>
              </w:rPr>
              <w:t>6</w:t>
            </w:r>
            <w:r>
              <w:rPr>
                <w:rFonts w:hint="eastAsia" w:ascii="仿宋" w:hAnsi="仿宋" w:eastAsia="仿宋" w:cs="仿宋"/>
                <w:sz w:val="30"/>
                <w:szCs w:val="30"/>
              </w:rPr>
              <w:t>分；方案所包含的内容与要点相符，基本能够适用于本项目的得</w:t>
            </w:r>
            <w:r>
              <w:rPr>
                <w:rFonts w:ascii="仿宋" w:hAnsi="仿宋" w:eastAsia="仿宋" w:cs="仿宋"/>
                <w:sz w:val="30"/>
                <w:szCs w:val="30"/>
              </w:rPr>
              <w:t>5</w:t>
            </w:r>
            <w:r>
              <w:rPr>
                <w:rFonts w:hint="eastAsia" w:ascii="仿宋" w:hAnsi="仿宋" w:eastAsia="仿宋" w:cs="仿宋"/>
                <w:sz w:val="30"/>
                <w:szCs w:val="30"/>
              </w:rPr>
              <w:t>分；方案所包含的要点有缺漏、内容与要点相符但仅有纲要的得</w:t>
            </w:r>
            <w:r>
              <w:rPr>
                <w:rFonts w:ascii="仿宋" w:hAnsi="仿宋" w:eastAsia="仿宋" w:cs="仿宋"/>
                <w:sz w:val="30"/>
                <w:szCs w:val="30"/>
              </w:rPr>
              <w:t>4</w:t>
            </w:r>
            <w:r>
              <w:rPr>
                <w:rFonts w:hint="eastAsia" w:ascii="仿宋" w:hAnsi="仿宋" w:eastAsia="仿宋" w:cs="仿宋"/>
                <w:sz w:val="30"/>
                <w:szCs w:val="30"/>
              </w:rPr>
              <w:t>分；未提供方案或内容存在明显错误、内容明显不适用于本项目需求的均不得分。</w:t>
            </w:r>
            <w:bookmarkEnd w:id="26"/>
            <w:bookmarkEnd w:id="27"/>
          </w:p>
        </w:tc>
      </w:tr>
      <w:tr w14:paraId="206A5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22" w:type="dxa"/>
            <w:vAlign w:val="center"/>
          </w:tcPr>
          <w:p w14:paraId="3EC8318A">
            <w:pPr>
              <w:overflowPunct w:val="0"/>
              <w:adjustRightInd w:val="0"/>
              <w:snapToGrid w:val="0"/>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3</w:t>
            </w:r>
          </w:p>
        </w:tc>
        <w:tc>
          <w:tcPr>
            <w:tcW w:w="1423" w:type="dxa"/>
            <w:vAlign w:val="center"/>
          </w:tcPr>
          <w:p w14:paraId="01E400DF">
            <w:pPr>
              <w:overflowPunct w:val="0"/>
              <w:adjustRightInd w:val="0"/>
              <w:snapToGrid w:val="0"/>
              <w:jc w:val="center"/>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napToGrid w:val="0"/>
                <w:kern w:val="0"/>
                <w:sz w:val="30"/>
                <w:szCs w:val="30"/>
              </w:rPr>
              <w:t>项目实施计划</w:t>
            </w:r>
          </w:p>
        </w:tc>
        <w:tc>
          <w:tcPr>
            <w:tcW w:w="875" w:type="dxa"/>
            <w:vAlign w:val="center"/>
          </w:tcPr>
          <w:p w14:paraId="74C14BD6">
            <w:pPr>
              <w:overflowPunct w:val="0"/>
              <w:adjustRightInd w:val="0"/>
              <w:snapToGrid w:val="0"/>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6</w:t>
            </w:r>
          </w:p>
        </w:tc>
        <w:tc>
          <w:tcPr>
            <w:tcW w:w="5851" w:type="dxa"/>
            <w:vAlign w:val="center"/>
          </w:tcPr>
          <w:p w14:paraId="6C99542D">
            <w:pPr>
              <w:overflowPunct w:val="0"/>
              <w:adjustRightInd w:val="0"/>
              <w:snapToGrid w:val="0"/>
              <w:jc w:val="left"/>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z w:val="30"/>
                <w:szCs w:val="30"/>
              </w:rPr>
              <w:t>供应商提供</w:t>
            </w:r>
            <w:r>
              <w:rPr>
                <w:rFonts w:hint="eastAsia" w:ascii="仿宋" w:hAnsi="仿宋" w:eastAsia="仿宋" w:cs="仿宋"/>
                <w:snapToGrid w:val="0"/>
                <w:kern w:val="0"/>
                <w:sz w:val="30"/>
                <w:szCs w:val="30"/>
              </w:rPr>
              <w:t>项目实施计划</w:t>
            </w:r>
            <w:r>
              <w:rPr>
                <w:rFonts w:hint="eastAsia" w:ascii="仿宋" w:hAnsi="仿宋" w:eastAsia="仿宋" w:cs="仿宋"/>
                <w:sz w:val="30"/>
                <w:szCs w:val="30"/>
              </w:rPr>
              <w:t>，包括但不限于活动流程把控、步骤、项目进程中的监督控制制度等进行评分：方案内容与要点相符、逻辑清晰合理，且按现有客观实际情况可以有效实施的且对采购人实用的得</w:t>
            </w:r>
            <w:r>
              <w:rPr>
                <w:rFonts w:ascii="仿宋" w:hAnsi="仿宋" w:eastAsia="仿宋" w:cs="仿宋"/>
                <w:sz w:val="30"/>
                <w:szCs w:val="30"/>
              </w:rPr>
              <w:t>6</w:t>
            </w:r>
            <w:r>
              <w:rPr>
                <w:rFonts w:hint="eastAsia" w:ascii="仿宋" w:hAnsi="仿宋" w:eastAsia="仿宋" w:cs="仿宋"/>
                <w:sz w:val="30"/>
                <w:szCs w:val="30"/>
              </w:rPr>
              <w:t>分；方案内容与要点相符，逻辑清晰较合理，对采购人较实用的得</w:t>
            </w:r>
            <w:r>
              <w:rPr>
                <w:rFonts w:ascii="仿宋" w:hAnsi="仿宋" w:eastAsia="仿宋" w:cs="仿宋"/>
                <w:sz w:val="30"/>
                <w:szCs w:val="30"/>
              </w:rPr>
              <w:t>5</w:t>
            </w:r>
            <w:r>
              <w:rPr>
                <w:rFonts w:hint="eastAsia" w:ascii="仿宋" w:hAnsi="仿宋" w:eastAsia="仿宋" w:cs="仿宋"/>
                <w:sz w:val="30"/>
                <w:szCs w:val="30"/>
              </w:rPr>
              <w:t>分；方案内容与要点相符，逻辑清晰合理一般，对采购人实用性一般的得</w:t>
            </w:r>
            <w:r>
              <w:rPr>
                <w:rFonts w:ascii="仿宋" w:hAnsi="仿宋" w:eastAsia="仿宋" w:cs="仿宋"/>
                <w:sz w:val="30"/>
                <w:szCs w:val="30"/>
              </w:rPr>
              <w:t>4</w:t>
            </w:r>
            <w:r>
              <w:rPr>
                <w:rFonts w:hint="eastAsia" w:ascii="仿宋" w:hAnsi="仿宋" w:eastAsia="仿宋" w:cs="仿宋"/>
                <w:sz w:val="30"/>
                <w:szCs w:val="30"/>
              </w:rPr>
              <w:t>分。未提供方案或内容存在明显错误、内容明显不适用于本项目需求的均不得分。</w:t>
            </w:r>
          </w:p>
        </w:tc>
      </w:tr>
      <w:tr w14:paraId="70EE1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22" w:type="dxa"/>
            <w:vAlign w:val="center"/>
          </w:tcPr>
          <w:p w14:paraId="7954AD2B">
            <w:pPr>
              <w:overflowPunct w:val="0"/>
              <w:adjustRightInd w:val="0"/>
              <w:snapToGrid w:val="0"/>
              <w:jc w:val="center"/>
              <w:textAlignment w:val="center"/>
              <w:rPr>
                <w:rFonts w:hint="eastAsia"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4</w:t>
            </w:r>
          </w:p>
        </w:tc>
        <w:tc>
          <w:tcPr>
            <w:tcW w:w="1423" w:type="dxa"/>
            <w:vAlign w:val="center"/>
          </w:tcPr>
          <w:p w14:paraId="20230453">
            <w:pPr>
              <w:overflowPunct w:val="0"/>
              <w:adjustRightInd w:val="0"/>
              <w:snapToGrid w:val="0"/>
              <w:jc w:val="center"/>
              <w:textAlignment w:val="center"/>
              <w:rPr>
                <w:rFonts w:hint="eastAsia" w:ascii="仿宋" w:hAnsi="仿宋" w:eastAsia="仿宋" w:cs="仿宋"/>
                <w:snapToGrid w:val="0"/>
                <w:kern w:val="0"/>
                <w:sz w:val="30"/>
                <w:szCs w:val="30"/>
              </w:rPr>
            </w:pPr>
            <w:bookmarkStart w:id="28" w:name="OLE_LINK8"/>
            <w:bookmarkStart w:id="29" w:name="OLE_LINK7"/>
            <w:r>
              <w:rPr>
                <w:rFonts w:hint="eastAsia" w:ascii="仿宋" w:hAnsi="仿宋" w:eastAsia="仿宋" w:cs="仿宋"/>
                <w:snapToGrid w:val="0"/>
                <w:kern w:val="0"/>
                <w:sz w:val="30"/>
                <w:szCs w:val="30"/>
              </w:rPr>
              <w:t>暖“新”驿站建设方案</w:t>
            </w:r>
            <w:bookmarkEnd w:id="28"/>
            <w:bookmarkEnd w:id="29"/>
          </w:p>
        </w:tc>
        <w:tc>
          <w:tcPr>
            <w:tcW w:w="875" w:type="dxa"/>
            <w:vAlign w:val="center"/>
          </w:tcPr>
          <w:p w14:paraId="7FDC7231">
            <w:pPr>
              <w:overflowPunct w:val="0"/>
              <w:adjustRightInd w:val="0"/>
              <w:snapToGrid w:val="0"/>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5</w:t>
            </w:r>
          </w:p>
        </w:tc>
        <w:tc>
          <w:tcPr>
            <w:tcW w:w="5851" w:type="dxa"/>
            <w:vAlign w:val="center"/>
          </w:tcPr>
          <w:p w14:paraId="64A6EE9C">
            <w:pPr>
              <w:overflowPunct w:val="0"/>
              <w:adjustRightInd w:val="0"/>
              <w:snapToGrid w:val="0"/>
              <w:jc w:val="left"/>
              <w:textAlignment w:val="center"/>
              <w:rPr>
                <w:rFonts w:hint="eastAsia" w:ascii="仿宋" w:hAnsi="仿宋" w:eastAsia="仿宋" w:cs="仿宋"/>
                <w:sz w:val="30"/>
                <w:szCs w:val="30"/>
              </w:rPr>
            </w:pPr>
            <w:r>
              <w:rPr>
                <w:rFonts w:ascii="仿宋" w:hAnsi="仿宋" w:eastAsia="仿宋" w:cs="仿宋"/>
                <w:sz w:val="30"/>
                <w:szCs w:val="30"/>
              </w:rPr>
              <w:t>根据供应商对暖“新”驿站建设方案进行评分，方案需明确由市场监管基层所划定专区，围绕网约配送员多元需求场景，完成不少于20个驿站的硬件设施建设与服务功能优化，方案包含的内容与要点完全相符、各核心要素均有展开详细阐述且能够适用于本项目得5分；方案包含的内容与要点相符，基本能够适用于本项目的得4分；方案包含的要点有缺漏、内容与要点相符但仅有纲要的得3分；未提供方案或内容存在明显错误、内容明显不适用于本项目需求的均不得分。</w:t>
            </w:r>
          </w:p>
        </w:tc>
      </w:tr>
      <w:tr w14:paraId="1AA99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22" w:type="dxa"/>
            <w:vAlign w:val="center"/>
          </w:tcPr>
          <w:p w14:paraId="423E790C">
            <w:pPr>
              <w:overflowPunct w:val="0"/>
              <w:adjustRightInd w:val="0"/>
              <w:snapToGrid w:val="0"/>
              <w:jc w:val="center"/>
              <w:textAlignment w:val="center"/>
              <w:rPr>
                <w:rFonts w:hint="eastAsia"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5</w:t>
            </w:r>
          </w:p>
        </w:tc>
        <w:tc>
          <w:tcPr>
            <w:tcW w:w="1423" w:type="dxa"/>
            <w:vAlign w:val="center"/>
          </w:tcPr>
          <w:p w14:paraId="7415ABCE">
            <w:pPr>
              <w:overflowPunct w:val="0"/>
              <w:adjustRightInd w:val="0"/>
              <w:snapToGrid w:val="0"/>
              <w:jc w:val="center"/>
              <w:textAlignment w:val="center"/>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暖“新”驿站电子地图功能开发方案</w:t>
            </w:r>
          </w:p>
        </w:tc>
        <w:tc>
          <w:tcPr>
            <w:tcW w:w="875" w:type="dxa"/>
            <w:vAlign w:val="center"/>
          </w:tcPr>
          <w:p w14:paraId="31D32644">
            <w:pPr>
              <w:overflowPunct w:val="0"/>
              <w:adjustRightInd w:val="0"/>
              <w:snapToGrid w:val="0"/>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5</w:t>
            </w:r>
          </w:p>
        </w:tc>
        <w:tc>
          <w:tcPr>
            <w:tcW w:w="5851" w:type="dxa"/>
            <w:vAlign w:val="center"/>
          </w:tcPr>
          <w:p w14:paraId="79E2C384">
            <w:pPr>
              <w:overflowPunct w:val="0"/>
              <w:adjustRightInd w:val="0"/>
              <w:snapToGrid w:val="0"/>
              <w:jc w:val="left"/>
              <w:textAlignment w:val="center"/>
              <w:rPr>
                <w:rFonts w:hint="eastAsia" w:ascii="仿宋" w:hAnsi="仿宋" w:eastAsia="仿宋" w:cs="仿宋"/>
                <w:sz w:val="30"/>
                <w:szCs w:val="30"/>
              </w:rPr>
            </w:pPr>
            <w:r>
              <w:rPr>
                <w:rFonts w:ascii="仿宋" w:hAnsi="仿宋" w:eastAsia="仿宋" w:cs="仿宋"/>
                <w:sz w:val="30"/>
                <w:szCs w:val="30"/>
              </w:rPr>
              <w:t>根据供应商对暖“新”驿站电子地图功能开发方案进行评分，方案依托福建“小个专”党建平台，明确实现省、市、县、所四级穿透式展示，清晰呈现各站点详细地址和服务内容，方案包含的内容与要点完全相符、各核心要素均有展开详细阐述且能够适用于本项目得5分；方案包含的内容与要点相符，基本能够适用于本项目的得4分；方案包含的要点有缺漏、内容与要点相符但仅有纲要的得3分；未提供方案或内容存在明显错误、内容明显不适用于本项目需求的均不得分。</w:t>
            </w:r>
          </w:p>
        </w:tc>
      </w:tr>
      <w:tr w14:paraId="4DE4B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22" w:type="dxa"/>
            <w:vAlign w:val="center"/>
          </w:tcPr>
          <w:p w14:paraId="0E0A4A1F">
            <w:pPr>
              <w:overflowPunct w:val="0"/>
              <w:adjustRightInd w:val="0"/>
              <w:snapToGrid w:val="0"/>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6</w:t>
            </w:r>
          </w:p>
        </w:tc>
        <w:tc>
          <w:tcPr>
            <w:tcW w:w="1423" w:type="dxa"/>
            <w:vAlign w:val="center"/>
          </w:tcPr>
          <w:p w14:paraId="11ACF2B3">
            <w:pPr>
              <w:overflowPunct w:val="0"/>
              <w:adjustRightInd w:val="0"/>
              <w:snapToGrid w:val="0"/>
              <w:jc w:val="center"/>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z w:val="30"/>
                <w:szCs w:val="30"/>
              </w:rPr>
              <w:t>项目质量控制方案</w:t>
            </w:r>
          </w:p>
        </w:tc>
        <w:tc>
          <w:tcPr>
            <w:tcW w:w="875" w:type="dxa"/>
            <w:vAlign w:val="center"/>
          </w:tcPr>
          <w:p w14:paraId="4D423781">
            <w:pPr>
              <w:overflowPunct w:val="0"/>
              <w:adjustRightInd w:val="0"/>
              <w:snapToGrid w:val="0"/>
              <w:jc w:val="center"/>
              <w:textAlignment w:val="center"/>
              <w:rPr>
                <w:rFonts w:ascii="仿宋_GB2312" w:hAnsi="仿宋_GB2312" w:eastAsia="仿宋_GB2312" w:cs="仿宋_GB2312"/>
                <w:snapToGrid w:val="0"/>
                <w:kern w:val="0"/>
                <w:sz w:val="28"/>
                <w:szCs w:val="28"/>
                <w:lang w:bidi="ar"/>
              </w:rPr>
            </w:pPr>
            <w:r>
              <w:rPr>
                <w:rFonts w:ascii="仿宋" w:hAnsi="仿宋" w:eastAsia="仿宋" w:cs="仿宋"/>
                <w:sz w:val="30"/>
                <w:szCs w:val="30"/>
              </w:rPr>
              <w:t>3</w:t>
            </w:r>
          </w:p>
        </w:tc>
        <w:tc>
          <w:tcPr>
            <w:tcW w:w="5851" w:type="dxa"/>
            <w:vAlign w:val="center"/>
          </w:tcPr>
          <w:p w14:paraId="3DDF8B8E">
            <w:pPr>
              <w:overflowPunct w:val="0"/>
              <w:adjustRightInd w:val="0"/>
              <w:snapToGrid w:val="0"/>
              <w:jc w:val="left"/>
              <w:textAlignment w:val="center"/>
              <w:rPr>
                <w:rFonts w:ascii="仿宋_GB2312" w:hAnsi="仿宋_GB2312" w:eastAsia="仿宋_GB2312" w:cs="仿宋_GB2312"/>
                <w:snapToGrid w:val="0"/>
                <w:kern w:val="0"/>
                <w:sz w:val="28"/>
                <w:szCs w:val="28"/>
                <w:lang w:bidi="ar"/>
              </w:rPr>
            </w:pPr>
            <w:r>
              <w:rPr>
                <w:rFonts w:hint="eastAsia" w:ascii="仿宋" w:hAnsi="仿宋" w:eastAsia="仿宋" w:cs="仿宋"/>
                <w:sz w:val="30"/>
                <w:szCs w:val="30"/>
              </w:rPr>
              <w:t>根据供应商对本项目定制项目质量控制方案进行评分，从项目质量保障措施的先进性、周密性、可操作性、有效性、持续改进等方面进行综合评审。方案包含的要点齐全无缺漏项、内容与要点相符、内容完善且能够适用于本项目的得</w:t>
            </w:r>
            <w:r>
              <w:rPr>
                <w:rFonts w:ascii="仿宋" w:hAnsi="仿宋" w:eastAsia="仿宋" w:cs="仿宋"/>
                <w:sz w:val="30"/>
                <w:szCs w:val="30"/>
              </w:rPr>
              <w:t>3</w:t>
            </w:r>
            <w:r>
              <w:rPr>
                <w:rFonts w:hint="eastAsia" w:ascii="仿宋" w:hAnsi="仿宋" w:eastAsia="仿宋" w:cs="仿宋"/>
                <w:sz w:val="30"/>
                <w:szCs w:val="30"/>
              </w:rPr>
              <w:t>分；方案所包含的要点齐全、内容与要点相符，但仅有纲要内容简略，未展开阐述的得</w:t>
            </w:r>
            <w:r>
              <w:rPr>
                <w:rFonts w:ascii="仿宋" w:hAnsi="仿宋" w:eastAsia="仿宋" w:cs="仿宋"/>
                <w:sz w:val="30"/>
                <w:szCs w:val="30"/>
              </w:rPr>
              <w:t>2</w:t>
            </w:r>
            <w:r>
              <w:rPr>
                <w:rFonts w:hint="eastAsia" w:ascii="仿宋" w:hAnsi="仿宋" w:eastAsia="仿宋" w:cs="仿宋"/>
                <w:sz w:val="30"/>
                <w:szCs w:val="30"/>
              </w:rPr>
              <w:t>分；方案所包含的要点有缺漏或内容不全的</w:t>
            </w:r>
            <w:r>
              <w:rPr>
                <w:rFonts w:ascii="仿宋" w:hAnsi="仿宋" w:eastAsia="仿宋" w:cs="仿宋"/>
                <w:sz w:val="30"/>
                <w:szCs w:val="30"/>
              </w:rPr>
              <w:t>1</w:t>
            </w:r>
            <w:r>
              <w:rPr>
                <w:rFonts w:hint="eastAsia" w:ascii="仿宋" w:hAnsi="仿宋" w:eastAsia="仿宋" w:cs="仿宋"/>
                <w:sz w:val="30"/>
                <w:szCs w:val="30"/>
              </w:rPr>
              <w:t>分；未提供方案或内容存在明显错误、内容明显不适用于本项目需求的均不得分。</w:t>
            </w:r>
          </w:p>
        </w:tc>
      </w:tr>
      <w:tr w14:paraId="117E9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22" w:type="dxa"/>
            <w:vAlign w:val="center"/>
          </w:tcPr>
          <w:p w14:paraId="25882FC6">
            <w:pPr>
              <w:overflowPunct w:val="0"/>
              <w:adjustRightInd w:val="0"/>
              <w:snapToGrid w:val="0"/>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7</w:t>
            </w:r>
          </w:p>
        </w:tc>
        <w:tc>
          <w:tcPr>
            <w:tcW w:w="1423" w:type="dxa"/>
            <w:vAlign w:val="center"/>
          </w:tcPr>
          <w:p w14:paraId="0C49E102">
            <w:pPr>
              <w:overflowPunct w:val="0"/>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应急预案</w:t>
            </w:r>
          </w:p>
        </w:tc>
        <w:tc>
          <w:tcPr>
            <w:tcW w:w="875" w:type="dxa"/>
            <w:vAlign w:val="center"/>
          </w:tcPr>
          <w:p w14:paraId="51753F6A">
            <w:pPr>
              <w:overflowPunct w:val="0"/>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3</w:t>
            </w:r>
          </w:p>
        </w:tc>
        <w:tc>
          <w:tcPr>
            <w:tcW w:w="5851" w:type="dxa"/>
            <w:vAlign w:val="center"/>
          </w:tcPr>
          <w:p w14:paraId="3F354A91">
            <w:pPr>
              <w:overflowPunct w:val="0"/>
              <w:adjustRightInd w:val="0"/>
              <w:snapToGrid w:val="0"/>
              <w:jc w:val="left"/>
              <w:textAlignment w:val="center"/>
              <w:rPr>
                <w:rFonts w:ascii="仿宋" w:hAnsi="仿宋" w:eastAsia="仿宋" w:cs="仿宋"/>
                <w:sz w:val="30"/>
                <w:szCs w:val="30"/>
              </w:rPr>
            </w:pPr>
            <w:r>
              <w:rPr>
                <w:rFonts w:ascii="仿宋" w:hAnsi="仿宋" w:eastAsia="仿宋" w:cs="仿宋"/>
                <w:sz w:val="30"/>
                <w:szCs w:val="30"/>
              </w:rPr>
              <w:t>根据</w:t>
            </w:r>
            <w:r>
              <w:rPr>
                <w:rFonts w:hint="eastAsia" w:ascii="仿宋" w:hAnsi="仿宋" w:eastAsia="仿宋" w:cs="仿宋"/>
                <w:sz w:val="30"/>
                <w:szCs w:val="30"/>
              </w:rPr>
              <w:t>供应商针对本项目提供的应急方案</w:t>
            </w:r>
            <w:r>
              <w:rPr>
                <w:rFonts w:ascii="仿宋" w:hAnsi="仿宋" w:eastAsia="仿宋" w:cs="仿宋"/>
                <w:sz w:val="30"/>
                <w:szCs w:val="30"/>
              </w:rPr>
              <w:t>，由</w:t>
            </w:r>
            <w:r>
              <w:rPr>
                <w:rFonts w:hint="eastAsia" w:ascii="仿宋" w:hAnsi="仿宋" w:eastAsia="仿宋" w:cs="仿宋"/>
                <w:sz w:val="30"/>
                <w:szCs w:val="30"/>
              </w:rPr>
              <w:t>磋商</w:t>
            </w:r>
            <w:r>
              <w:rPr>
                <w:rFonts w:ascii="仿宋" w:hAnsi="仿宋" w:eastAsia="仿宋" w:cs="仿宋"/>
                <w:sz w:val="30"/>
                <w:szCs w:val="30"/>
              </w:rPr>
              <w:t>小组进行评审，方案阐述全面，合理，重点明显，符合本项目要求的得3分；方案阐述全面，合理可行、重点不明确、主要内容未遗漏且符合本项目要求的得2分；方案内容简略，内容不完整的得1分；未提供</w:t>
            </w:r>
            <w:r>
              <w:rPr>
                <w:rFonts w:hint="eastAsia" w:ascii="仿宋" w:hAnsi="仿宋" w:eastAsia="仿宋" w:cs="仿宋"/>
                <w:sz w:val="30"/>
                <w:szCs w:val="30"/>
              </w:rPr>
              <w:t>或</w:t>
            </w:r>
            <w:r>
              <w:rPr>
                <w:rFonts w:ascii="仿宋" w:hAnsi="仿宋" w:eastAsia="仿宋" w:cs="仿宋"/>
                <w:sz w:val="30"/>
                <w:szCs w:val="30"/>
              </w:rPr>
              <w:t>有明显错误或不适用本项目的不得分。</w:t>
            </w:r>
          </w:p>
        </w:tc>
      </w:tr>
      <w:tr w14:paraId="173AF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22" w:type="dxa"/>
            <w:vAlign w:val="center"/>
          </w:tcPr>
          <w:p w14:paraId="3B431BB2">
            <w:pPr>
              <w:overflowPunct w:val="0"/>
              <w:adjustRightInd w:val="0"/>
              <w:snapToGrid w:val="0"/>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8</w:t>
            </w:r>
          </w:p>
        </w:tc>
        <w:tc>
          <w:tcPr>
            <w:tcW w:w="1423" w:type="dxa"/>
            <w:vAlign w:val="center"/>
          </w:tcPr>
          <w:p w14:paraId="3F81CAFB">
            <w:pPr>
              <w:overflowPunct w:val="0"/>
              <w:jc w:val="center"/>
              <w:textAlignment w:val="center"/>
              <w:rPr>
                <w:rFonts w:ascii="仿宋_GB2312" w:hAnsi="仿宋_GB2312" w:eastAsia="仿宋_GB2312" w:cs="仿宋_GB2312"/>
                <w:snapToGrid w:val="0"/>
                <w:kern w:val="0"/>
                <w:sz w:val="28"/>
                <w:szCs w:val="28"/>
                <w:lang w:bidi="ar"/>
              </w:rPr>
            </w:pPr>
            <w:r>
              <w:rPr>
                <w:rFonts w:ascii="仿宋_GB2312" w:hAnsi="仿宋_GB2312" w:eastAsia="仿宋_GB2312" w:cs="仿宋_GB2312"/>
                <w:snapToGrid w:val="0"/>
                <w:kern w:val="0"/>
                <w:sz w:val="28"/>
                <w:szCs w:val="28"/>
                <w:lang w:bidi="ar"/>
              </w:rPr>
              <w:t>器材设备</w:t>
            </w:r>
          </w:p>
        </w:tc>
        <w:tc>
          <w:tcPr>
            <w:tcW w:w="875" w:type="dxa"/>
            <w:vAlign w:val="center"/>
          </w:tcPr>
          <w:p w14:paraId="2BD07F9C">
            <w:pPr>
              <w:overflowPunct w:val="0"/>
              <w:jc w:val="center"/>
              <w:textAlignment w:val="center"/>
              <w:rPr>
                <w:rFonts w:ascii="仿宋_GB2312" w:hAnsi="仿宋_GB2312" w:eastAsia="仿宋_GB2312" w:cs="仿宋_GB2312"/>
                <w:snapToGrid w:val="0"/>
                <w:kern w:val="0"/>
                <w:sz w:val="28"/>
                <w:szCs w:val="28"/>
                <w:lang w:bidi="ar"/>
              </w:rPr>
            </w:pPr>
            <w:r>
              <w:rPr>
                <w:rFonts w:hint="eastAsia" w:ascii="仿宋_GB2312" w:hAnsi="仿宋_GB2312" w:eastAsia="仿宋_GB2312" w:cs="仿宋_GB2312"/>
                <w:snapToGrid w:val="0"/>
                <w:kern w:val="0"/>
                <w:sz w:val="28"/>
                <w:szCs w:val="28"/>
                <w:lang w:bidi="ar"/>
              </w:rPr>
              <w:t>3</w:t>
            </w:r>
          </w:p>
        </w:tc>
        <w:tc>
          <w:tcPr>
            <w:tcW w:w="5851" w:type="dxa"/>
            <w:vAlign w:val="center"/>
          </w:tcPr>
          <w:p w14:paraId="3A2376CC">
            <w:pPr>
              <w:overflowPunct w:val="0"/>
              <w:adjustRightInd w:val="0"/>
              <w:snapToGrid w:val="0"/>
              <w:jc w:val="left"/>
              <w:textAlignment w:val="center"/>
              <w:rPr>
                <w:rFonts w:ascii="仿宋" w:hAnsi="仿宋" w:eastAsia="仿宋" w:cs="仿宋"/>
                <w:sz w:val="30"/>
                <w:szCs w:val="30"/>
              </w:rPr>
            </w:pPr>
            <w:r>
              <w:rPr>
                <w:rFonts w:hint="eastAsia" w:ascii="仿宋" w:hAnsi="仿宋" w:eastAsia="仿宋" w:cs="仿宋"/>
                <w:sz w:val="30"/>
                <w:szCs w:val="30"/>
              </w:rPr>
              <w:t>根据供应商拟投入本项目的拍摄设备进行</w:t>
            </w:r>
            <w:r>
              <w:rPr>
                <w:rFonts w:ascii="仿宋" w:hAnsi="仿宋" w:eastAsia="仿宋" w:cs="仿宋"/>
                <w:sz w:val="30"/>
                <w:szCs w:val="30"/>
              </w:rPr>
              <w:t>评审，</w:t>
            </w:r>
            <w:r>
              <w:rPr>
                <w:rFonts w:hint="eastAsia" w:ascii="仿宋" w:hAnsi="仿宋" w:eastAsia="仿宋" w:cs="仿宋"/>
                <w:sz w:val="30"/>
                <w:szCs w:val="30"/>
              </w:rPr>
              <w:t>具有4K60P画质拍摄设备的得3分；具有4K30P画质拍摄设备的得2分；具有1080P画质拍摄设备的得1分；满分3分。注：须提供设备清单、设备技术标准说明文件，</w:t>
            </w:r>
            <w:r>
              <w:rPr>
                <w:rFonts w:ascii="仿宋" w:hAnsi="仿宋" w:eastAsia="仿宋" w:cs="仿宋"/>
                <w:sz w:val="30"/>
                <w:szCs w:val="30"/>
              </w:rPr>
              <w:t>未提供或不满足要求的不得分。</w:t>
            </w:r>
          </w:p>
        </w:tc>
      </w:tr>
    </w:tbl>
    <w:p w14:paraId="50CD918E">
      <w:pPr>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br w:type="page"/>
      </w:r>
    </w:p>
    <w:p w14:paraId="2B568F14">
      <w:pPr>
        <w:overflowPunct w:val="0"/>
        <w:adjustRightInd w:val="0"/>
        <w:snapToGrid w:val="0"/>
        <w:spacing w:after="156" w:afterLines="50" w:line="576" w:lineRule="exact"/>
        <w:ind w:firstLine="643" w:firstLineChars="200"/>
        <w:rPr>
          <w:rFonts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（二）商务部分评分  满分</w:t>
      </w:r>
      <w:r>
        <w:rPr>
          <w:rFonts w:ascii="楷体_GB2312" w:hAnsi="楷体_GB2312" w:eastAsia="楷体_GB2312" w:cs="楷体_GB2312"/>
          <w:b/>
          <w:bCs/>
          <w:snapToGrid w:val="0"/>
          <w:kern w:val="0"/>
          <w:sz w:val="32"/>
          <w:szCs w:val="32"/>
        </w:rPr>
        <w:t>31</w:t>
      </w:r>
      <w:r>
        <w:rPr>
          <w:rFonts w:hint="eastAsia" w:ascii="楷体_GB2312" w:hAnsi="楷体_GB2312" w:eastAsia="楷体_GB2312" w:cs="楷体_GB2312"/>
          <w:b/>
          <w:bCs/>
          <w:snapToGrid w:val="0"/>
          <w:kern w:val="0"/>
          <w:sz w:val="32"/>
          <w:szCs w:val="32"/>
        </w:rPr>
        <w:t>分</w:t>
      </w:r>
    </w:p>
    <w:tbl>
      <w:tblPr>
        <w:tblStyle w:val="8"/>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22"/>
        <w:gridCol w:w="1438"/>
        <w:gridCol w:w="882"/>
        <w:gridCol w:w="5829"/>
      </w:tblGrid>
      <w:tr w14:paraId="713B6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922" w:type="dxa"/>
            <w:tcBorders>
              <w:tl2br w:val="nil"/>
              <w:tr2bl w:val="nil"/>
            </w:tcBorders>
            <w:shd w:val="clear" w:color="auto" w:fill="auto"/>
            <w:vAlign w:val="center"/>
          </w:tcPr>
          <w:p w14:paraId="694B65F4">
            <w:pPr>
              <w:widowControl/>
              <w:jc w:val="center"/>
              <w:textAlignment w:val="center"/>
              <w:rPr>
                <w:rFonts w:ascii="黑体" w:hAnsi="黑体" w:eastAsia="黑体" w:cs="黑体"/>
                <w:sz w:val="28"/>
                <w:szCs w:val="28"/>
              </w:rPr>
            </w:pPr>
            <w:r>
              <w:rPr>
                <w:rFonts w:hint="eastAsia" w:ascii="黑体" w:hAnsi="黑体" w:eastAsia="黑体" w:cs="黑体"/>
                <w:kern w:val="0"/>
                <w:sz w:val="28"/>
                <w:szCs w:val="28"/>
                <w:lang w:bidi="ar"/>
              </w:rPr>
              <w:t>序号</w:t>
            </w:r>
          </w:p>
        </w:tc>
        <w:tc>
          <w:tcPr>
            <w:tcW w:w="1438" w:type="dxa"/>
            <w:tcBorders>
              <w:tl2br w:val="nil"/>
              <w:tr2bl w:val="nil"/>
            </w:tcBorders>
            <w:shd w:val="clear" w:color="auto" w:fill="auto"/>
            <w:vAlign w:val="center"/>
          </w:tcPr>
          <w:p w14:paraId="01FBFFE1">
            <w:pPr>
              <w:widowControl/>
              <w:jc w:val="center"/>
              <w:textAlignment w:val="center"/>
              <w:rPr>
                <w:rFonts w:ascii="黑体" w:hAnsi="黑体" w:eastAsia="黑体" w:cs="黑体"/>
                <w:sz w:val="28"/>
                <w:szCs w:val="28"/>
              </w:rPr>
            </w:pPr>
            <w:r>
              <w:rPr>
                <w:rFonts w:hint="eastAsia" w:ascii="黑体" w:hAnsi="黑体" w:eastAsia="黑体" w:cs="黑体"/>
                <w:kern w:val="0"/>
                <w:sz w:val="28"/>
                <w:szCs w:val="28"/>
                <w:lang w:bidi="ar"/>
              </w:rPr>
              <w:t>项目</w:t>
            </w:r>
          </w:p>
        </w:tc>
        <w:tc>
          <w:tcPr>
            <w:tcW w:w="882" w:type="dxa"/>
            <w:tcBorders>
              <w:tl2br w:val="nil"/>
              <w:tr2bl w:val="nil"/>
            </w:tcBorders>
            <w:shd w:val="clear" w:color="auto" w:fill="auto"/>
            <w:vAlign w:val="center"/>
          </w:tcPr>
          <w:p w14:paraId="3E550BB5">
            <w:pPr>
              <w:widowControl/>
              <w:jc w:val="center"/>
              <w:textAlignment w:val="center"/>
              <w:rPr>
                <w:rFonts w:ascii="黑体" w:hAnsi="黑体" w:eastAsia="黑体" w:cs="黑体"/>
                <w:sz w:val="28"/>
                <w:szCs w:val="28"/>
              </w:rPr>
            </w:pPr>
            <w:r>
              <w:rPr>
                <w:rFonts w:hint="eastAsia" w:ascii="黑体" w:hAnsi="黑体" w:eastAsia="黑体" w:cs="黑体"/>
                <w:kern w:val="0"/>
                <w:sz w:val="28"/>
                <w:szCs w:val="28"/>
                <w:lang w:bidi="ar"/>
              </w:rPr>
              <w:t>分值</w:t>
            </w:r>
          </w:p>
        </w:tc>
        <w:tc>
          <w:tcPr>
            <w:tcW w:w="5829" w:type="dxa"/>
            <w:tcBorders>
              <w:tl2br w:val="nil"/>
              <w:tr2bl w:val="nil"/>
            </w:tcBorders>
            <w:shd w:val="clear" w:color="auto" w:fill="auto"/>
            <w:vAlign w:val="center"/>
          </w:tcPr>
          <w:p w14:paraId="149D996A">
            <w:pPr>
              <w:widowControl/>
              <w:jc w:val="center"/>
              <w:textAlignment w:val="center"/>
              <w:rPr>
                <w:rFonts w:ascii="黑体" w:hAnsi="黑体" w:eastAsia="黑体" w:cs="黑体"/>
                <w:sz w:val="28"/>
                <w:szCs w:val="28"/>
              </w:rPr>
            </w:pPr>
            <w:r>
              <w:rPr>
                <w:rFonts w:hint="eastAsia" w:ascii="黑体" w:hAnsi="黑体" w:eastAsia="黑体" w:cs="黑体"/>
                <w:kern w:val="0"/>
                <w:sz w:val="28"/>
                <w:szCs w:val="28"/>
                <w:lang w:bidi="ar"/>
              </w:rPr>
              <w:t>评分方法描述</w:t>
            </w:r>
          </w:p>
        </w:tc>
      </w:tr>
      <w:tr w14:paraId="4CA9C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922" w:type="dxa"/>
            <w:vMerge w:val="restart"/>
            <w:tcBorders>
              <w:tl2br w:val="nil"/>
              <w:tr2bl w:val="nil"/>
            </w:tcBorders>
            <w:shd w:val="clear" w:color="auto" w:fill="auto"/>
            <w:vAlign w:val="center"/>
          </w:tcPr>
          <w:p w14:paraId="36C3E063">
            <w:pPr>
              <w:widowControl/>
              <w:jc w:val="center"/>
              <w:textAlignment w:val="center"/>
              <w:rPr>
                <w:rFonts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1</w:t>
            </w:r>
          </w:p>
        </w:tc>
        <w:tc>
          <w:tcPr>
            <w:tcW w:w="1438" w:type="dxa"/>
            <w:vMerge w:val="restart"/>
            <w:tcBorders>
              <w:tl2br w:val="nil"/>
              <w:tr2bl w:val="nil"/>
            </w:tcBorders>
            <w:shd w:val="clear" w:color="auto" w:fill="auto"/>
            <w:vAlign w:val="center"/>
          </w:tcPr>
          <w:p w14:paraId="5ACEE766">
            <w:pPr>
              <w:widowControl/>
              <w:jc w:val="center"/>
              <w:textAlignment w:val="center"/>
              <w:rPr>
                <w:rFonts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案例</w:t>
            </w:r>
          </w:p>
        </w:tc>
        <w:tc>
          <w:tcPr>
            <w:tcW w:w="882" w:type="dxa"/>
            <w:tcBorders>
              <w:tl2br w:val="nil"/>
              <w:tr2bl w:val="nil"/>
            </w:tcBorders>
            <w:shd w:val="clear" w:color="auto" w:fill="auto"/>
            <w:vAlign w:val="center"/>
          </w:tcPr>
          <w:p w14:paraId="04D816AC">
            <w:pPr>
              <w:widowControl/>
              <w:jc w:val="center"/>
              <w:textAlignment w:val="center"/>
              <w:rPr>
                <w:rFonts w:ascii="仿宋_GB2312" w:hAnsi="仿宋_GB2312" w:eastAsia="仿宋_GB2312" w:cs="仿宋_GB2312"/>
                <w:kern w:val="0"/>
                <w:sz w:val="30"/>
                <w:szCs w:val="30"/>
                <w:lang w:bidi="ar"/>
              </w:rPr>
            </w:pPr>
            <w:r>
              <w:rPr>
                <w:rFonts w:ascii="仿宋_GB2312" w:hAnsi="仿宋_GB2312" w:eastAsia="仿宋_GB2312" w:cs="仿宋_GB2312"/>
                <w:kern w:val="0"/>
                <w:sz w:val="30"/>
                <w:szCs w:val="30"/>
                <w:lang w:bidi="ar"/>
              </w:rPr>
              <w:t>10</w:t>
            </w:r>
          </w:p>
        </w:tc>
        <w:tc>
          <w:tcPr>
            <w:tcW w:w="5829" w:type="dxa"/>
            <w:tcBorders>
              <w:tl2br w:val="nil"/>
              <w:tr2bl w:val="nil"/>
            </w:tcBorders>
            <w:shd w:val="clear" w:color="auto" w:fill="auto"/>
            <w:vAlign w:val="center"/>
          </w:tcPr>
          <w:p w14:paraId="27E91247">
            <w:pPr>
              <w:widowControl/>
              <w:jc w:val="left"/>
              <w:textAlignment w:val="center"/>
              <w:rPr>
                <w:rFonts w:ascii="仿宋_GB2312" w:hAnsi="仿宋_GB2312" w:eastAsia="仿宋_GB2312" w:cs="仿宋_GB2312"/>
                <w:kern w:val="0"/>
                <w:sz w:val="30"/>
                <w:szCs w:val="30"/>
                <w:lang w:bidi="ar"/>
              </w:rPr>
            </w:pPr>
            <w:r>
              <w:rPr>
                <w:rFonts w:hint="eastAsia" w:ascii="仿宋" w:hAnsi="仿宋" w:eastAsia="仿宋" w:cs="仿宋"/>
                <w:sz w:val="30"/>
                <w:szCs w:val="30"/>
              </w:rPr>
              <w:t>供应商近三年以来（时间以合同签订为准）有过类似宣传推广活动项目案例的，</w:t>
            </w:r>
            <w:bookmarkStart w:id="30" w:name="OLE_LINK18"/>
            <w:bookmarkStart w:id="31" w:name="OLE_LINK17"/>
            <w:r>
              <w:rPr>
                <w:rFonts w:hint="eastAsia" w:ascii="仿宋" w:hAnsi="仿宋" w:eastAsia="仿宋" w:cs="仿宋"/>
                <w:sz w:val="30"/>
                <w:szCs w:val="30"/>
              </w:rPr>
              <w:t>每提供一项的得5分，满分</w:t>
            </w:r>
            <w:r>
              <w:rPr>
                <w:rFonts w:ascii="仿宋" w:hAnsi="仿宋" w:eastAsia="仿宋" w:cs="仿宋"/>
                <w:sz w:val="30"/>
                <w:szCs w:val="30"/>
              </w:rPr>
              <w:t>10分。</w:t>
            </w:r>
            <w:r>
              <w:rPr>
                <w:rFonts w:hint="eastAsia" w:ascii="仿宋" w:hAnsi="仿宋" w:eastAsia="仿宋" w:cs="仿宋"/>
                <w:sz w:val="30"/>
                <w:szCs w:val="30"/>
              </w:rPr>
              <w:t>注：需提供有效合同复印件。</w:t>
            </w:r>
            <w:bookmarkEnd w:id="30"/>
            <w:bookmarkEnd w:id="31"/>
          </w:p>
        </w:tc>
      </w:tr>
      <w:tr w14:paraId="62641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922" w:type="dxa"/>
            <w:vMerge w:val="continue"/>
            <w:tcBorders>
              <w:tl2br w:val="nil"/>
              <w:tr2bl w:val="nil"/>
            </w:tcBorders>
            <w:shd w:val="clear" w:color="auto" w:fill="auto"/>
            <w:vAlign w:val="center"/>
          </w:tcPr>
          <w:p w14:paraId="321FE45D">
            <w:pPr>
              <w:widowControl/>
              <w:jc w:val="center"/>
              <w:textAlignment w:val="center"/>
              <w:rPr>
                <w:rFonts w:ascii="仿宋_GB2312" w:hAnsi="仿宋_GB2312" w:eastAsia="仿宋_GB2312" w:cs="仿宋_GB2312"/>
                <w:kern w:val="0"/>
                <w:sz w:val="30"/>
                <w:szCs w:val="30"/>
                <w:lang w:bidi="ar"/>
              </w:rPr>
            </w:pPr>
          </w:p>
        </w:tc>
        <w:tc>
          <w:tcPr>
            <w:tcW w:w="1438" w:type="dxa"/>
            <w:vMerge w:val="continue"/>
            <w:tcBorders>
              <w:tl2br w:val="nil"/>
              <w:tr2bl w:val="nil"/>
            </w:tcBorders>
            <w:shd w:val="clear" w:color="auto" w:fill="auto"/>
            <w:vAlign w:val="center"/>
          </w:tcPr>
          <w:p w14:paraId="77190D8B">
            <w:pPr>
              <w:widowControl/>
              <w:jc w:val="center"/>
              <w:textAlignment w:val="center"/>
              <w:rPr>
                <w:rFonts w:ascii="仿宋_GB2312" w:hAnsi="仿宋_GB2312" w:eastAsia="仿宋_GB2312" w:cs="仿宋_GB2312"/>
                <w:kern w:val="0"/>
                <w:sz w:val="30"/>
                <w:szCs w:val="30"/>
                <w:lang w:bidi="ar"/>
              </w:rPr>
            </w:pPr>
          </w:p>
        </w:tc>
        <w:tc>
          <w:tcPr>
            <w:tcW w:w="882" w:type="dxa"/>
            <w:tcBorders>
              <w:tl2br w:val="nil"/>
              <w:tr2bl w:val="nil"/>
            </w:tcBorders>
            <w:shd w:val="clear" w:color="auto" w:fill="auto"/>
            <w:vAlign w:val="center"/>
          </w:tcPr>
          <w:p w14:paraId="1D04D147">
            <w:pPr>
              <w:widowControl/>
              <w:jc w:val="center"/>
              <w:textAlignment w:val="center"/>
              <w:rPr>
                <w:rFonts w:ascii="仿宋_GB2312" w:hAnsi="仿宋_GB2312" w:eastAsia="仿宋_GB2312" w:cs="仿宋_GB2312"/>
                <w:kern w:val="0"/>
                <w:sz w:val="30"/>
                <w:szCs w:val="30"/>
                <w:lang w:bidi="ar"/>
              </w:rPr>
            </w:pPr>
            <w:r>
              <w:rPr>
                <w:rFonts w:ascii="仿宋_GB2312" w:hAnsi="仿宋_GB2312" w:eastAsia="仿宋_GB2312" w:cs="仿宋_GB2312"/>
                <w:kern w:val="0"/>
                <w:sz w:val="30"/>
                <w:szCs w:val="30"/>
                <w:lang w:bidi="ar"/>
              </w:rPr>
              <w:t>10</w:t>
            </w:r>
          </w:p>
        </w:tc>
        <w:tc>
          <w:tcPr>
            <w:tcW w:w="5829" w:type="dxa"/>
            <w:tcBorders>
              <w:tl2br w:val="nil"/>
              <w:tr2bl w:val="nil"/>
            </w:tcBorders>
            <w:shd w:val="clear" w:color="auto" w:fill="auto"/>
            <w:vAlign w:val="center"/>
          </w:tcPr>
          <w:p w14:paraId="79598E44">
            <w:pPr>
              <w:widowControl/>
              <w:jc w:val="left"/>
              <w:textAlignment w:val="center"/>
              <w:rPr>
                <w:rFonts w:ascii="仿宋" w:hAnsi="仿宋" w:eastAsia="仿宋" w:cs="仿宋"/>
                <w:sz w:val="30"/>
                <w:szCs w:val="30"/>
              </w:rPr>
            </w:pPr>
            <w:r>
              <w:rPr>
                <w:rFonts w:hint="eastAsia" w:ascii="仿宋" w:hAnsi="仿宋" w:eastAsia="仿宋" w:cs="仿宋"/>
                <w:sz w:val="30"/>
                <w:szCs w:val="30"/>
              </w:rPr>
              <w:t>供应商近三年以来（时间以合同签订为准）有过视频拍摄相关项目案例的，每提供一项的得5分，满分</w:t>
            </w:r>
            <w:r>
              <w:rPr>
                <w:rFonts w:ascii="仿宋" w:hAnsi="仿宋" w:eastAsia="仿宋" w:cs="仿宋"/>
                <w:sz w:val="30"/>
                <w:szCs w:val="30"/>
              </w:rPr>
              <w:t>10分。</w:t>
            </w:r>
            <w:r>
              <w:rPr>
                <w:rFonts w:hint="eastAsia" w:ascii="仿宋" w:hAnsi="仿宋" w:eastAsia="仿宋" w:cs="仿宋"/>
                <w:sz w:val="30"/>
                <w:szCs w:val="30"/>
              </w:rPr>
              <w:t>注：需提供有效合同复印件。</w:t>
            </w:r>
          </w:p>
        </w:tc>
      </w:tr>
      <w:tr w14:paraId="1A776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922" w:type="dxa"/>
            <w:tcBorders>
              <w:tl2br w:val="nil"/>
              <w:tr2bl w:val="nil"/>
            </w:tcBorders>
            <w:shd w:val="clear" w:color="auto" w:fill="auto"/>
            <w:vAlign w:val="center"/>
          </w:tcPr>
          <w:p w14:paraId="0202E92C">
            <w:pPr>
              <w:widowControl/>
              <w:jc w:val="center"/>
              <w:textAlignment w:val="center"/>
              <w:rPr>
                <w:rFonts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2</w:t>
            </w:r>
          </w:p>
        </w:tc>
        <w:tc>
          <w:tcPr>
            <w:tcW w:w="1438" w:type="dxa"/>
            <w:tcBorders>
              <w:tl2br w:val="nil"/>
              <w:tr2bl w:val="nil"/>
            </w:tcBorders>
            <w:shd w:val="clear" w:color="auto" w:fill="auto"/>
            <w:vAlign w:val="center"/>
          </w:tcPr>
          <w:p w14:paraId="0A96DC11">
            <w:pPr>
              <w:widowControl/>
              <w:jc w:val="center"/>
              <w:textAlignment w:val="center"/>
              <w:rPr>
                <w:rFonts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视频综合实力</w:t>
            </w:r>
          </w:p>
        </w:tc>
        <w:tc>
          <w:tcPr>
            <w:tcW w:w="882" w:type="dxa"/>
            <w:tcBorders>
              <w:tl2br w:val="nil"/>
              <w:tr2bl w:val="nil"/>
            </w:tcBorders>
            <w:shd w:val="clear" w:color="auto" w:fill="auto"/>
            <w:vAlign w:val="center"/>
          </w:tcPr>
          <w:p w14:paraId="31C4A906">
            <w:pPr>
              <w:widowControl/>
              <w:jc w:val="center"/>
              <w:textAlignment w:val="center"/>
              <w:rPr>
                <w:rFonts w:ascii="仿宋_GB2312" w:hAnsi="仿宋_GB2312" w:eastAsia="仿宋_GB2312" w:cs="仿宋_GB2312"/>
                <w:kern w:val="0"/>
                <w:sz w:val="30"/>
                <w:szCs w:val="30"/>
                <w:lang w:bidi="ar"/>
              </w:rPr>
            </w:pPr>
            <w:r>
              <w:rPr>
                <w:rFonts w:ascii="仿宋_GB2312" w:hAnsi="仿宋_GB2312" w:eastAsia="仿宋_GB2312" w:cs="仿宋_GB2312"/>
                <w:kern w:val="0"/>
                <w:sz w:val="30"/>
                <w:szCs w:val="30"/>
                <w:lang w:bidi="ar"/>
              </w:rPr>
              <w:t>8</w:t>
            </w:r>
          </w:p>
        </w:tc>
        <w:tc>
          <w:tcPr>
            <w:tcW w:w="5829" w:type="dxa"/>
            <w:tcBorders>
              <w:tl2br w:val="nil"/>
              <w:tr2bl w:val="nil"/>
            </w:tcBorders>
            <w:shd w:val="clear" w:color="auto" w:fill="auto"/>
            <w:vAlign w:val="center"/>
          </w:tcPr>
          <w:p w14:paraId="26855AC2">
            <w:pPr>
              <w:widowControl/>
              <w:jc w:val="left"/>
              <w:textAlignment w:val="center"/>
              <w:rPr>
                <w:rFonts w:ascii="仿宋" w:hAnsi="仿宋" w:eastAsia="仿宋" w:cs="仿宋"/>
                <w:sz w:val="30"/>
                <w:szCs w:val="30"/>
              </w:rPr>
            </w:pPr>
            <w:r>
              <w:rPr>
                <w:rFonts w:hint="eastAsia" w:ascii="仿宋" w:hAnsi="仿宋" w:eastAsia="仿宋" w:cs="仿宋"/>
                <w:sz w:val="30"/>
                <w:szCs w:val="30"/>
              </w:rPr>
              <w:t>供应商</w:t>
            </w:r>
            <w:r>
              <w:rPr>
                <w:rFonts w:ascii="仿宋" w:hAnsi="仿宋" w:eastAsia="仿宋" w:cs="仿宋"/>
                <w:sz w:val="30"/>
                <w:szCs w:val="30"/>
              </w:rPr>
              <w:t>提供的自202</w:t>
            </w:r>
            <w:r>
              <w:rPr>
                <w:rFonts w:hint="eastAsia" w:ascii="仿宋" w:hAnsi="仿宋" w:eastAsia="仿宋" w:cs="仿宋"/>
                <w:sz w:val="30"/>
                <w:szCs w:val="30"/>
              </w:rPr>
              <w:t>0</w:t>
            </w:r>
            <w:r>
              <w:rPr>
                <w:rFonts w:ascii="仿宋" w:hAnsi="仿宋" w:eastAsia="仿宋" w:cs="仿宋"/>
                <w:sz w:val="30"/>
                <w:szCs w:val="30"/>
              </w:rPr>
              <w:t>年1月1日至投标截止时间止获得过短视频创作大赛</w:t>
            </w:r>
            <w:r>
              <w:rPr>
                <w:rFonts w:hint="eastAsia" w:ascii="仿宋" w:hAnsi="仿宋" w:eastAsia="仿宋" w:cs="仿宋"/>
                <w:sz w:val="30"/>
                <w:szCs w:val="30"/>
              </w:rPr>
              <w:t>证书，每提供一项的得</w:t>
            </w:r>
            <w:r>
              <w:rPr>
                <w:rFonts w:ascii="仿宋" w:hAnsi="仿宋" w:eastAsia="仿宋" w:cs="仿宋"/>
                <w:sz w:val="30"/>
                <w:szCs w:val="30"/>
              </w:rPr>
              <w:t>2</w:t>
            </w:r>
            <w:r>
              <w:rPr>
                <w:rFonts w:hint="eastAsia" w:ascii="仿宋" w:hAnsi="仿宋" w:eastAsia="仿宋" w:cs="仿宋"/>
                <w:sz w:val="30"/>
                <w:szCs w:val="30"/>
              </w:rPr>
              <w:t>分，满分</w:t>
            </w:r>
            <w:r>
              <w:rPr>
                <w:rFonts w:ascii="仿宋" w:hAnsi="仿宋" w:eastAsia="仿宋" w:cs="仿宋"/>
                <w:sz w:val="30"/>
                <w:szCs w:val="30"/>
              </w:rPr>
              <w:t>8</w:t>
            </w:r>
            <w:r>
              <w:rPr>
                <w:rFonts w:hint="eastAsia" w:ascii="仿宋" w:hAnsi="仿宋" w:eastAsia="仿宋" w:cs="仿宋"/>
                <w:sz w:val="30"/>
                <w:szCs w:val="30"/>
              </w:rPr>
              <w:t>分。注：</w:t>
            </w:r>
            <w:r>
              <w:rPr>
                <w:rFonts w:ascii="仿宋" w:hAnsi="仿宋" w:eastAsia="仿宋" w:cs="仿宋"/>
                <w:sz w:val="30"/>
                <w:szCs w:val="30"/>
              </w:rPr>
              <w:t>须提供</w:t>
            </w:r>
            <w:r>
              <w:rPr>
                <w:rFonts w:hint="eastAsia" w:ascii="仿宋" w:hAnsi="仿宋" w:eastAsia="仿宋" w:cs="仿宋"/>
                <w:sz w:val="30"/>
                <w:szCs w:val="30"/>
              </w:rPr>
              <w:t>相关证明文件</w:t>
            </w:r>
            <w:r>
              <w:rPr>
                <w:rFonts w:ascii="仿宋" w:hAnsi="仿宋" w:eastAsia="仿宋" w:cs="仿宋"/>
                <w:sz w:val="30"/>
                <w:szCs w:val="30"/>
              </w:rPr>
              <w:t>，未提供或不满足要求的不得分。</w:t>
            </w:r>
          </w:p>
        </w:tc>
      </w:tr>
      <w:tr w14:paraId="613A1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922" w:type="dxa"/>
            <w:tcBorders>
              <w:tl2br w:val="nil"/>
              <w:tr2bl w:val="nil"/>
            </w:tcBorders>
            <w:shd w:val="clear" w:color="auto" w:fill="auto"/>
            <w:vAlign w:val="center"/>
          </w:tcPr>
          <w:p w14:paraId="2F26613D">
            <w:pPr>
              <w:widowControl/>
              <w:jc w:val="center"/>
              <w:textAlignment w:val="center"/>
              <w:rPr>
                <w:rFonts w:ascii="仿宋_GB2312" w:hAnsi="仿宋_GB2312" w:eastAsia="仿宋_GB2312" w:cs="仿宋_GB2312"/>
                <w:kern w:val="0"/>
                <w:sz w:val="30"/>
                <w:szCs w:val="30"/>
                <w:lang w:bidi="ar"/>
              </w:rPr>
            </w:pPr>
            <w:r>
              <w:rPr>
                <w:rFonts w:ascii="仿宋_GB2312" w:hAnsi="仿宋_GB2312" w:eastAsia="仿宋_GB2312" w:cs="仿宋_GB2312"/>
                <w:kern w:val="0"/>
                <w:sz w:val="30"/>
                <w:szCs w:val="30"/>
                <w:lang w:bidi="ar"/>
              </w:rPr>
              <w:t>3</w:t>
            </w:r>
          </w:p>
        </w:tc>
        <w:tc>
          <w:tcPr>
            <w:tcW w:w="1438" w:type="dxa"/>
            <w:tcBorders>
              <w:tl2br w:val="nil"/>
              <w:tr2bl w:val="nil"/>
            </w:tcBorders>
            <w:shd w:val="clear" w:color="auto" w:fill="auto"/>
            <w:vAlign w:val="center"/>
          </w:tcPr>
          <w:p w14:paraId="4DA34149">
            <w:pPr>
              <w:widowControl/>
              <w:jc w:val="center"/>
              <w:textAlignment w:val="center"/>
              <w:rPr>
                <w:rFonts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响应承诺</w:t>
            </w:r>
          </w:p>
        </w:tc>
        <w:tc>
          <w:tcPr>
            <w:tcW w:w="882" w:type="dxa"/>
            <w:tcBorders>
              <w:tl2br w:val="nil"/>
              <w:tr2bl w:val="nil"/>
            </w:tcBorders>
            <w:shd w:val="clear" w:color="auto" w:fill="auto"/>
            <w:vAlign w:val="center"/>
          </w:tcPr>
          <w:p w14:paraId="07A7D14A">
            <w:pPr>
              <w:widowControl/>
              <w:jc w:val="center"/>
              <w:textAlignment w:val="center"/>
              <w:rPr>
                <w:rFonts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3</w:t>
            </w:r>
          </w:p>
        </w:tc>
        <w:tc>
          <w:tcPr>
            <w:tcW w:w="5829" w:type="dxa"/>
            <w:tcBorders>
              <w:tl2br w:val="nil"/>
              <w:tr2bl w:val="nil"/>
            </w:tcBorders>
            <w:shd w:val="clear" w:color="auto" w:fill="auto"/>
            <w:vAlign w:val="center"/>
          </w:tcPr>
          <w:p w14:paraId="5870C1F5">
            <w:pPr>
              <w:widowControl/>
              <w:jc w:val="left"/>
              <w:textAlignment w:val="center"/>
              <w:rPr>
                <w:rFonts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根据供应商所承诺的服务响应时间进行评分，响应时间≦1小时的得3分；1小时&lt;响应时间≦2小时的得2分；2小时&lt;响应时间≦3小时的得1分，响应时间超过3小时，不得分。备注：承诺函格式自拟并加盖公章。</w:t>
            </w:r>
          </w:p>
        </w:tc>
      </w:tr>
    </w:tbl>
    <w:p w14:paraId="31DF7CD7">
      <w:pPr>
        <w:overflowPunct w:val="0"/>
        <w:adjustRightInd w:val="0"/>
        <w:snapToGrid w:val="0"/>
        <w:spacing w:before="156" w:beforeLines="50" w:after="156" w:afterLines="50" w:line="576" w:lineRule="exact"/>
        <w:ind w:firstLine="643" w:firstLineChars="200"/>
        <w:rPr>
          <w:rFonts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（三）价格部分评分  满分10分</w:t>
      </w:r>
    </w:p>
    <w:tbl>
      <w:tblPr>
        <w:tblStyle w:val="8"/>
        <w:tblW w:w="90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22"/>
        <w:gridCol w:w="1454"/>
        <w:gridCol w:w="881"/>
        <w:gridCol w:w="5814"/>
      </w:tblGrid>
      <w:tr w14:paraId="7E5381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922" w:type="dxa"/>
            <w:tcBorders>
              <w:top w:val="outset" w:color="auto" w:sz="6" w:space="0"/>
              <w:left w:val="outset" w:color="auto" w:sz="6" w:space="0"/>
              <w:bottom w:val="outset" w:color="auto" w:sz="6" w:space="0"/>
              <w:right w:val="outset" w:color="auto" w:sz="6" w:space="0"/>
            </w:tcBorders>
            <w:vAlign w:val="center"/>
          </w:tcPr>
          <w:p w14:paraId="5DEE2B32">
            <w:pPr>
              <w:overflowPunct w:val="0"/>
              <w:adjustRightInd w:val="0"/>
              <w:snapToGrid w:val="0"/>
              <w:jc w:val="center"/>
              <w:rPr>
                <w:rFonts w:ascii="黑体" w:hAnsi="黑体" w:eastAsia="黑体" w:cs="黑体"/>
                <w:kern w:val="0"/>
                <w:sz w:val="28"/>
                <w:szCs w:val="28"/>
              </w:rPr>
            </w:pPr>
            <w:r>
              <w:rPr>
                <w:rFonts w:hint="eastAsia" w:ascii="黑体" w:hAnsi="黑体" w:eastAsia="黑体" w:cs="黑体"/>
                <w:kern w:val="0"/>
                <w:sz w:val="28"/>
                <w:szCs w:val="28"/>
              </w:rPr>
              <w:t>序号</w:t>
            </w:r>
          </w:p>
        </w:tc>
        <w:tc>
          <w:tcPr>
            <w:tcW w:w="1454" w:type="dxa"/>
            <w:tcBorders>
              <w:top w:val="outset" w:color="auto" w:sz="6" w:space="0"/>
              <w:left w:val="outset" w:color="auto" w:sz="6" w:space="0"/>
              <w:bottom w:val="outset" w:color="auto" w:sz="6" w:space="0"/>
              <w:right w:val="outset" w:color="auto" w:sz="6" w:space="0"/>
            </w:tcBorders>
            <w:vAlign w:val="center"/>
          </w:tcPr>
          <w:p w14:paraId="2A477FE3">
            <w:pPr>
              <w:overflowPunct w:val="0"/>
              <w:adjustRightInd w:val="0"/>
              <w:snapToGrid w:val="0"/>
              <w:jc w:val="center"/>
              <w:rPr>
                <w:rFonts w:ascii="黑体" w:hAnsi="黑体" w:eastAsia="黑体" w:cs="黑体"/>
                <w:sz w:val="28"/>
                <w:szCs w:val="28"/>
              </w:rPr>
            </w:pPr>
            <w:r>
              <w:rPr>
                <w:rFonts w:hint="eastAsia" w:ascii="黑体" w:hAnsi="黑体" w:eastAsia="黑体" w:cs="黑体"/>
                <w:kern w:val="0"/>
                <w:sz w:val="28"/>
                <w:szCs w:val="28"/>
              </w:rPr>
              <w:t>项目</w:t>
            </w:r>
          </w:p>
        </w:tc>
        <w:tc>
          <w:tcPr>
            <w:tcW w:w="881" w:type="dxa"/>
            <w:tcBorders>
              <w:top w:val="outset" w:color="auto" w:sz="6" w:space="0"/>
              <w:left w:val="outset" w:color="auto" w:sz="6" w:space="0"/>
              <w:bottom w:val="outset" w:color="auto" w:sz="6" w:space="0"/>
              <w:right w:val="outset" w:color="auto" w:sz="6" w:space="0"/>
            </w:tcBorders>
            <w:vAlign w:val="center"/>
          </w:tcPr>
          <w:p w14:paraId="6FE381B3">
            <w:pPr>
              <w:overflowPunct w:val="0"/>
              <w:adjustRightInd w:val="0"/>
              <w:snapToGrid w:val="0"/>
              <w:jc w:val="center"/>
              <w:rPr>
                <w:rFonts w:ascii="黑体" w:hAnsi="黑体" w:eastAsia="黑体" w:cs="黑体"/>
                <w:sz w:val="28"/>
                <w:szCs w:val="28"/>
              </w:rPr>
            </w:pPr>
            <w:r>
              <w:rPr>
                <w:rFonts w:hint="eastAsia" w:ascii="黑体" w:hAnsi="黑体" w:eastAsia="黑体" w:cs="黑体"/>
                <w:kern w:val="0"/>
                <w:sz w:val="28"/>
                <w:szCs w:val="28"/>
              </w:rPr>
              <w:t>分值</w:t>
            </w:r>
          </w:p>
        </w:tc>
        <w:tc>
          <w:tcPr>
            <w:tcW w:w="5814" w:type="dxa"/>
            <w:tcBorders>
              <w:top w:val="outset" w:color="auto" w:sz="6" w:space="0"/>
              <w:left w:val="outset" w:color="auto" w:sz="6" w:space="0"/>
              <w:bottom w:val="outset" w:color="auto" w:sz="6" w:space="0"/>
              <w:right w:val="outset" w:color="auto" w:sz="6" w:space="0"/>
            </w:tcBorders>
            <w:vAlign w:val="center"/>
          </w:tcPr>
          <w:p w14:paraId="4C7F711E">
            <w:pPr>
              <w:overflowPunct w:val="0"/>
              <w:adjustRightInd w:val="0"/>
              <w:snapToGrid w:val="0"/>
              <w:jc w:val="center"/>
              <w:rPr>
                <w:rFonts w:ascii="黑体" w:hAnsi="黑体" w:eastAsia="黑体" w:cs="黑体"/>
                <w:sz w:val="28"/>
                <w:szCs w:val="28"/>
              </w:rPr>
            </w:pPr>
            <w:r>
              <w:rPr>
                <w:rFonts w:hint="eastAsia" w:ascii="黑体" w:hAnsi="黑体" w:eastAsia="黑体" w:cs="黑体"/>
                <w:kern w:val="0"/>
                <w:sz w:val="28"/>
                <w:szCs w:val="28"/>
              </w:rPr>
              <w:t>评分方法描述</w:t>
            </w:r>
          </w:p>
        </w:tc>
      </w:tr>
      <w:tr w14:paraId="73C836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922" w:type="dxa"/>
            <w:tcBorders>
              <w:top w:val="outset" w:color="auto" w:sz="6" w:space="0"/>
              <w:left w:val="outset" w:color="auto" w:sz="6" w:space="0"/>
              <w:right w:val="outset" w:color="auto" w:sz="6" w:space="0"/>
            </w:tcBorders>
            <w:vAlign w:val="center"/>
          </w:tcPr>
          <w:p w14:paraId="36AAF254">
            <w:pPr>
              <w:overflowPunct w:val="0"/>
              <w:adjustRightInd w:val="0"/>
              <w:snapToGrid w:val="0"/>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w:t>
            </w:r>
          </w:p>
        </w:tc>
        <w:tc>
          <w:tcPr>
            <w:tcW w:w="1454" w:type="dxa"/>
            <w:tcBorders>
              <w:top w:val="outset" w:color="auto" w:sz="6" w:space="0"/>
              <w:left w:val="outset" w:color="auto" w:sz="6" w:space="0"/>
              <w:right w:val="outset" w:color="auto" w:sz="6" w:space="0"/>
            </w:tcBorders>
            <w:vAlign w:val="center"/>
          </w:tcPr>
          <w:p w14:paraId="14AA1191">
            <w:pPr>
              <w:overflowPunct w:val="0"/>
              <w:adjustRightInd w:val="0"/>
              <w:snapToGrid w:val="0"/>
              <w:jc w:val="cente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报价情况</w:t>
            </w:r>
          </w:p>
        </w:tc>
        <w:tc>
          <w:tcPr>
            <w:tcW w:w="881" w:type="dxa"/>
            <w:tcBorders>
              <w:top w:val="outset" w:color="auto" w:sz="6" w:space="0"/>
              <w:left w:val="outset" w:color="auto" w:sz="6" w:space="0"/>
              <w:right w:val="outset" w:color="auto" w:sz="6" w:space="0"/>
            </w:tcBorders>
            <w:vAlign w:val="center"/>
          </w:tcPr>
          <w:p w14:paraId="45A130A2">
            <w:pPr>
              <w:overflowPunct w:val="0"/>
              <w:adjustRightInd w:val="0"/>
              <w:snapToGrid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10</w:t>
            </w:r>
          </w:p>
        </w:tc>
        <w:tc>
          <w:tcPr>
            <w:tcW w:w="5814" w:type="dxa"/>
            <w:tcBorders>
              <w:top w:val="outset" w:color="auto" w:sz="6" w:space="0"/>
              <w:left w:val="outset" w:color="auto" w:sz="6" w:space="0"/>
              <w:right w:val="outset" w:color="auto" w:sz="6" w:space="0"/>
            </w:tcBorders>
            <w:vAlign w:val="center"/>
          </w:tcPr>
          <w:p w14:paraId="21D76E51">
            <w:pPr>
              <w:overflowPunct w:val="0"/>
              <w:adjustRightInd w:val="0"/>
              <w:snapToGrid w:val="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采用低价优先法计算，即满足采购文件要求且报价最低的供应商的价格为基准价，其价格分为满分。其他供应商的价格分统一按照下列公式计算：报价得分=（基准价／报价）×价格权值0.10×100。</w:t>
            </w:r>
            <w:r>
              <w:rPr>
                <w:rFonts w:hint="eastAsia" w:ascii="仿宋" w:hAnsi="仿宋" w:eastAsia="仿宋" w:cs="仿宋"/>
                <w:sz w:val="30"/>
                <w:szCs w:val="30"/>
              </w:rPr>
              <w:t>（结果保留两位小数）。</w:t>
            </w:r>
          </w:p>
        </w:tc>
      </w:tr>
    </w:tbl>
    <w:p w14:paraId="4E294B6F">
      <w:pPr>
        <w:overflowPunct w:val="0"/>
        <w:adjustRightInd w:val="0"/>
        <w:snapToGrid w:val="0"/>
        <w:spacing w:line="576" w:lineRule="exact"/>
        <w:ind w:firstLine="640" w:firstLineChars="200"/>
        <w:rPr>
          <w:rFonts w:ascii="黑体" w:hAnsi="黑体" w:eastAsia="黑体" w:cs="黑体"/>
          <w:snapToGrid w:val="0"/>
          <w:kern w:val="0"/>
          <w:sz w:val="32"/>
          <w:szCs w:val="32"/>
        </w:rPr>
      </w:pPr>
    </w:p>
    <w:p w14:paraId="67B96B36">
      <w:pPr>
        <w:overflowPunct w:val="0"/>
        <w:adjustRightInd w:val="0"/>
        <w:snapToGrid w:val="0"/>
        <w:spacing w:line="576" w:lineRule="exact"/>
        <w:ind w:firstLine="640" w:firstLineChars="200"/>
        <w:rPr>
          <w:rFonts w:ascii="黑体" w:hAnsi="黑体" w:eastAsia="黑体" w:cs="黑体"/>
          <w:snapToGrid w:val="0"/>
          <w:kern w:val="0"/>
          <w:sz w:val="32"/>
          <w:szCs w:val="32"/>
        </w:rPr>
      </w:pPr>
    </w:p>
    <w:p w14:paraId="45E0A9FC">
      <w:pPr>
        <w:overflowPunct w:val="0"/>
        <w:adjustRightInd w:val="0"/>
        <w:snapToGrid w:val="0"/>
        <w:spacing w:line="576" w:lineRule="exact"/>
        <w:ind w:firstLine="640" w:firstLineChars="200"/>
        <w:rPr>
          <w:rFonts w:ascii="黑体" w:hAnsi="黑体" w:eastAsia="黑体" w:cs="黑体"/>
          <w:snapToGrid w:val="0"/>
          <w:kern w:val="0"/>
          <w:sz w:val="32"/>
          <w:szCs w:val="32"/>
        </w:rPr>
      </w:pPr>
    </w:p>
    <w:p w14:paraId="57639AB5">
      <w:pPr>
        <w:overflowPunct w:val="0"/>
        <w:adjustRightInd w:val="0"/>
        <w:snapToGrid w:val="0"/>
        <w:spacing w:line="576" w:lineRule="exact"/>
        <w:ind w:firstLine="640" w:firstLineChars="200"/>
        <w:rPr>
          <w:rFonts w:ascii="黑体" w:hAnsi="黑体" w:eastAsia="黑体" w:cs="黑体"/>
          <w:snapToGrid w:val="0"/>
          <w:kern w:val="0"/>
          <w:sz w:val="32"/>
          <w:szCs w:val="32"/>
        </w:rPr>
      </w:pPr>
    </w:p>
    <w:p w14:paraId="2978DEAE">
      <w:pPr>
        <w:adjustRightInd w:val="0"/>
        <w:snapToGrid w:val="0"/>
        <w:spacing w:line="288" w:lineRule="auto"/>
        <w:rPr>
          <w:rFonts w:ascii="仿宋" w:hAnsi="仿宋" w:eastAsia="仿宋" w:cs="仿宋"/>
          <w:sz w:val="30"/>
          <w:szCs w:val="30"/>
        </w:rPr>
        <w:sectPr>
          <w:footerReference r:id="rId3" w:type="default"/>
          <w:pgSz w:w="11906" w:h="16838"/>
          <w:pgMar w:top="1440" w:right="1080" w:bottom="1440" w:left="1080" w:header="851" w:footer="992" w:gutter="0"/>
          <w:pgNumType w:start="1"/>
          <w:cols w:space="425" w:num="1"/>
          <w:docGrid w:type="lines" w:linePitch="312" w:charSpace="0"/>
        </w:sectPr>
      </w:pPr>
    </w:p>
    <w:p w14:paraId="373A4AB4">
      <w:pPr>
        <w:spacing w:line="560" w:lineRule="exact"/>
        <w:rPr>
          <w:rFonts w:ascii="黑体" w:hAnsi="黑体" w:eastAsia="黑体" w:cs="黑体"/>
          <w:sz w:val="30"/>
          <w:szCs w:val="30"/>
        </w:rPr>
      </w:pPr>
      <w:r>
        <w:rPr>
          <w:rFonts w:hint="eastAsia" w:ascii="黑体" w:hAnsi="黑体" w:eastAsia="黑体" w:cs="黑体"/>
          <w:sz w:val="30"/>
          <w:szCs w:val="30"/>
        </w:rPr>
        <w:t>附件：</w:t>
      </w:r>
    </w:p>
    <w:p w14:paraId="66B6F8AB">
      <w:pPr>
        <w:pStyle w:val="2"/>
        <w:spacing w:line="560" w:lineRule="exact"/>
        <w:jc w:val="center"/>
        <w:rPr>
          <w:rFonts w:ascii="方正大标宋简体" w:hAnsi="方正大标宋简体" w:eastAsia="方正大标宋简体" w:cs="方正大标宋简体"/>
          <w:b w:val="0"/>
          <w:bCs/>
          <w:szCs w:val="44"/>
        </w:rPr>
      </w:pPr>
      <w:r>
        <w:rPr>
          <w:rFonts w:hint="eastAsia" w:ascii="方正大标宋简体" w:hAnsi="方正大标宋简体" w:eastAsia="方正大标宋简体" w:cs="方正大标宋简体"/>
          <w:b w:val="0"/>
          <w:bCs/>
          <w:szCs w:val="44"/>
        </w:rPr>
        <w:t>福建省政府采购供应商资格承诺函</w:t>
      </w:r>
    </w:p>
    <w:p w14:paraId="2AFA2BC6">
      <w:pPr>
        <w:spacing w:line="560" w:lineRule="exact"/>
        <w:rPr>
          <w:rFonts w:ascii="仿宋" w:hAnsi="仿宋" w:eastAsia="仿宋" w:cs="仿宋"/>
          <w:sz w:val="30"/>
          <w:szCs w:val="30"/>
        </w:rPr>
      </w:pPr>
    </w:p>
    <w:p w14:paraId="7C138FC8">
      <w:pPr>
        <w:spacing w:line="560" w:lineRule="exact"/>
        <w:rPr>
          <w:rFonts w:ascii="仿宋" w:hAnsi="仿宋" w:eastAsia="仿宋" w:cs="仿宋"/>
          <w:sz w:val="30"/>
          <w:szCs w:val="30"/>
        </w:rPr>
      </w:pPr>
      <w:r>
        <w:rPr>
          <w:rFonts w:hint="eastAsia" w:ascii="仿宋" w:hAnsi="仿宋" w:eastAsia="仿宋" w:cs="仿宋"/>
          <w:sz w:val="30"/>
          <w:szCs w:val="30"/>
        </w:rPr>
        <w:t>致（采购人或政府采购代理机构）:</w:t>
      </w:r>
    </w:p>
    <w:p w14:paraId="11BB2174">
      <w:pPr>
        <w:spacing w:line="560" w:lineRule="exact"/>
        <w:rPr>
          <w:rFonts w:ascii="仿宋" w:hAnsi="仿宋" w:eastAsia="仿宋" w:cs="仿宋"/>
          <w:sz w:val="30"/>
          <w:szCs w:val="30"/>
        </w:rPr>
      </w:pPr>
      <w:r>
        <w:rPr>
          <w:rFonts w:hint="eastAsia" w:ascii="仿宋" w:hAnsi="仿宋" w:eastAsia="仿宋" w:cs="仿宋"/>
          <w:sz w:val="30"/>
          <w:szCs w:val="30"/>
        </w:rPr>
        <w:t>单位名称（自然人姓名）:</w:t>
      </w:r>
    </w:p>
    <w:p w14:paraId="23AD689A">
      <w:pPr>
        <w:spacing w:line="560" w:lineRule="exact"/>
        <w:rPr>
          <w:rFonts w:ascii="仿宋" w:hAnsi="仿宋" w:eastAsia="仿宋" w:cs="仿宋"/>
          <w:sz w:val="30"/>
          <w:szCs w:val="30"/>
        </w:rPr>
      </w:pPr>
      <w:r>
        <w:rPr>
          <w:rFonts w:hint="eastAsia" w:ascii="仿宋" w:hAnsi="仿宋" w:eastAsia="仿宋" w:cs="仿宋"/>
          <w:sz w:val="30"/>
          <w:szCs w:val="30"/>
        </w:rPr>
        <w:t>统一社会信用代码（身份证号码）:</w:t>
      </w:r>
    </w:p>
    <w:p w14:paraId="21CB2F68">
      <w:pPr>
        <w:spacing w:line="560" w:lineRule="exact"/>
        <w:rPr>
          <w:rFonts w:ascii="仿宋" w:hAnsi="仿宋" w:eastAsia="仿宋" w:cs="仿宋"/>
          <w:sz w:val="30"/>
          <w:szCs w:val="30"/>
        </w:rPr>
      </w:pPr>
      <w:r>
        <w:rPr>
          <w:rFonts w:hint="eastAsia" w:ascii="仿宋" w:hAnsi="仿宋" w:eastAsia="仿宋" w:cs="仿宋"/>
          <w:sz w:val="30"/>
          <w:szCs w:val="30"/>
        </w:rPr>
        <w:t>法定代表人（负责人）:</w:t>
      </w:r>
    </w:p>
    <w:p w14:paraId="6B0C5EC0">
      <w:pPr>
        <w:spacing w:line="560" w:lineRule="exact"/>
        <w:rPr>
          <w:rFonts w:ascii="仿宋" w:hAnsi="仿宋" w:eastAsia="仿宋" w:cs="仿宋"/>
          <w:sz w:val="30"/>
          <w:szCs w:val="30"/>
        </w:rPr>
      </w:pPr>
      <w:r>
        <w:rPr>
          <w:rFonts w:hint="eastAsia" w:ascii="仿宋" w:hAnsi="仿宋" w:eastAsia="仿宋" w:cs="仿宋"/>
          <w:sz w:val="30"/>
          <w:szCs w:val="30"/>
        </w:rPr>
        <w:t>联系地址和电话：</w:t>
      </w:r>
    </w:p>
    <w:p w14:paraId="058A27D6">
      <w:pPr>
        <w:spacing w:line="560" w:lineRule="exact"/>
        <w:rPr>
          <w:rFonts w:ascii="仿宋" w:hAnsi="仿宋" w:eastAsia="仿宋" w:cs="仿宋"/>
          <w:sz w:val="32"/>
          <w:szCs w:val="32"/>
        </w:rPr>
      </w:pPr>
    </w:p>
    <w:p w14:paraId="2233AD4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我单位(本人)自愿参加本次政府采购活动，严格遵守《中华人民共和国政府采购法》及相关法律法规，坚守公开、公平公正和诚实信用等原则，依法诚信经营，并郑重承诺:</w:t>
      </w:r>
    </w:p>
    <w:p w14:paraId="5DD734B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一、我单位(本人)具备采购文件要求以及《中华人民共和国政府采购法》第二十二条规定的条件:</w:t>
      </w:r>
    </w:p>
    <w:p w14:paraId="3D48769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1.具有独立承担民事责任的能力;</w:t>
      </w:r>
    </w:p>
    <w:p w14:paraId="6C222CE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2.具有良好的商业信誉和健全的财务会计制度;</w:t>
      </w:r>
    </w:p>
    <w:p w14:paraId="5AECB88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3.具有履行合同所必需的设备和专业技术能力;</w:t>
      </w:r>
    </w:p>
    <w:p w14:paraId="5D5151E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4.有依法缴纳税收和社会保障资金的良好记录;</w:t>
      </w:r>
    </w:p>
    <w:p w14:paraId="61C0AE4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5.参加政府采购活动前三年内，在经营活动中没有重大违法记录；</w:t>
      </w:r>
    </w:p>
    <w:p w14:paraId="6DAAAA9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6.法律、行政法规规定的其他条件。</w:t>
      </w:r>
    </w:p>
    <w:p w14:paraId="216CAB4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63ECC3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716F3D9">
      <w:pPr>
        <w:spacing w:line="560" w:lineRule="exact"/>
        <w:rPr>
          <w:rFonts w:ascii="仿宋" w:hAnsi="仿宋" w:eastAsia="仿宋" w:cs="仿宋"/>
          <w:sz w:val="32"/>
          <w:szCs w:val="32"/>
        </w:rPr>
      </w:pPr>
    </w:p>
    <w:p w14:paraId="17F81A15">
      <w:pPr>
        <w:spacing w:line="560" w:lineRule="exact"/>
        <w:ind w:firstLine="3520" w:firstLineChars="1100"/>
        <w:rPr>
          <w:rFonts w:ascii="仿宋" w:hAnsi="仿宋" w:eastAsia="仿宋" w:cs="仿宋"/>
          <w:sz w:val="32"/>
          <w:szCs w:val="32"/>
        </w:rPr>
      </w:pPr>
      <w:r>
        <w:rPr>
          <w:rFonts w:hint="eastAsia" w:ascii="仿宋" w:hAnsi="仿宋" w:eastAsia="仿宋" w:cs="仿宋"/>
          <w:sz w:val="32"/>
          <w:szCs w:val="32"/>
        </w:rPr>
        <w:t>供应商名称(单位公章):</w:t>
      </w:r>
    </w:p>
    <w:p w14:paraId="4C300A44">
      <w:pPr>
        <w:spacing w:line="560" w:lineRule="exact"/>
        <w:ind w:firstLine="3520" w:firstLineChars="1100"/>
        <w:rPr>
          <w:rFonts w:ascii="仿宋" w:hAnsi="仿宋" w:eastAsia="仿宋" w:cs="仿宋"/>
          <w:sz w:val="32"/>
          <w:szCs w:val="32"/>
        </w:rPr>
      </w:pPr>
      <w:r>
        <w:rPr>
          <w:rFonts w:hint="eastAsia" w:ascii="仿宋" w:hAnsi="仿宋" w:eastAsia="仿宋" w:cs="仿宋"/>
          <w:sz w:val="32"/>
          <w:szCs w:val="32"/>
        </w:rPr>
        <w:t xml:space="preserve"> 年   月   日</w:t>
      </w:r>
    </w:p>
    <w:p w14:paraId="2D2CABFA">
      <w:pPr>
        <w:spacing w:line="560" w:lineRule="exact"/>
        <w:rPr>
          <w:rFonts w:ascii="仿宋" w:hAnsi="仿宋" w:eastAsia="仿宋" w:cs="仿宋"/>
          <w:sz w:val="32"/>
          <w:szCs w:val="32"/>
        </w:rPr>
      </w:pPr>
    </w:p>
    <w:p w14:paraId="7AA0F2AC">
      <w:pPr>
        <w:spacing w:line="560" w:lineRule="exact"/>
        <w:rPr>
          <w:rFonts w:ascii="仿宋" w:hAnsi="仿宋" w:eastAsia="仿宋" w:cs="仿宋"/>
          <w:sz w:val="32"/>
          <w:szCs w:val="32"/>
        </w:rPr>
      </w:pPr>
    </w:p>
    <w:p w14:paraId="5B76AAEC">
      <w:pPr>
        <w:spacing w:line="560" w:lineRule="exact"/>
        <w:ind w:firstLine="480" w:firstLineChars="200"/>
        <w:rPr>
          <w:rFonts w:ascii="仿宋" w:hAnsi="仿宋" w:eastAsia="仿宋" w:cs="仿宋"/>
          <w:szCs w:val="24"/>
        </w:rPr>
      </w:pPr>
      <w:r>
        <w:rPr>
          <w:rFonts w:hint="eastAsia" w:ascii="仿宋" w:hAnsi="仿宋" w:eastAsia="仿宋" w:cs="仿宋"/>
        </w:rPr>
        <w:t>注:</w:t>
      </w:r>
    </w:p>
    <w:p w14:paraId="5E982C62">
      <w:pPr>
        <w:spacing w:line="560" w:lineRule="exact"/>
        <w:ind w:firstLine="480" w:firstLineChars="200"/>
        <w:rPr>
          <w:rFonts w:ascii="仿宋" w:hAnsi="仿宋" w:eastAsia="仿宋" w:cs="仿宋"/>
        </w:rPr>
      </w:pPr>
      <w:r>
        <w:rPr>
          <w:rFonts w:hint="eastAsia" w:ascii="仿宋" w:hAnsi="仿宋" w:eastAsia="仿宋" w:cs="仿宋"/>
        </w:rPr>
        <w:t>1.我单位(本人)专指参加政府采购活动的供应商(含自然人)；</w:t>
      </w:r>
    </w:p>
    <w:p w14:paraId="67B9BF14">
      <w:pPr>
        <w:spacing w:line="560" w:lineRule="exact"/>
        <w:ind w:firstLine="480" w:firstLineChars="200"/>
        <w:rPr>
          <w:rFonts w:ascii="仿宋" w:hAnsi="仿宋" w:eastAsia="仿宋" w:cs="仿宋"/>
        </w:rPr>
      </w:pPr>
      <w:r>
        <w:rPr>
          <w:rFonts w:hint="eastAsia" w:ascii="仿宋" w:hAnsi="仿宋" w:eastAsia="仿宋" w:cs="仿宋"/>
        </w:rPr>
        <w:t>2.资格承诺的供应商应在投标(响应)文件中按此模板提供承诺函，否则，视为未按照招标文件规定提交投标人的资格及资信文件，按资格审查不通过处理。</w:t>
      </w:r>
    </w:p>
    <w:p w14:paraId="4A6A2612">
      <w:pPr>
        <w:spacing w:line="560" w:lineRule="exact"/>
        <w:ind w:firstLine="600" w:firstLineChars="200"/>
        <w:rPr>
          <w:rFonts w:ascii="仿宋" w:hAnsi="仿宋" w:eastAsia="仿宋" w:cs="仿宋"/>
          <w:sz w:val="30"/>
          <w:szCs w:val="30"/>
        </w:rPr>
      </w:pPr>
    </w:p>
    <w:sectPr>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D07694-A939-4A75-BF51-26BAFFCEB2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2" w:fontKey="{FC8331E6-AACC-407D-81C5-7DC0C4570E66}"/>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2E1F0920-B928-4EFF-B64F-E206A90D5DF1}"/>
  </w:font>
  <w:font w:name="楷体_GB2312">
    <w:panose1 w:val="02010609030101010101"/>
    <w:charset w:val="86"/>
    <w:family w:val="modern"/>
    <w:pitch w:val="default"/>
    <w:sig w:usb0="00000001" w:usb1="080E0000" w:usb2="00000000" w:usb3="00000000" w:csb0="00040000" w:csb1="00000000"/>
    <w:embedRegular r:id="rId4" w:fontKey="{B5C9E5B6-69B3-4C9D-99DD-5EFCBFDDCC60}"/>
  </w:font>
  <w:font w:name="仿宋_GB2312">
    <w:panose1 w:val="02010609030101010101"/>
    <w:charset w:val="86"/>
    <w:family w:val="modern"/>
    <w:pitch w:val="default"/>
    <w:sig w:usb0="00000001" w:usb1="080E0000" w:usb2="00000000" w:usb3="00000000" w:csb0="00040000" w:csb1="00000000"/>
    <w:embedRegular r:id="rId5" w:fontKey="{60B9EBE7-E66E-45FD-A608-FA5C75AABB9B}"/>
  </w:font>
  <w:font w:name="方正仿宋_GB2312">
    <w:panose1 w:val="02000000000000000000"/>
    <w:charset w:val="86"/>
    <w:family w:val="auto"/>
    <w:pitch w:val="default"/>
    <w:sig w:usb0="A00002BF" w:usb1="184F6CFA" w:usb2="00000012" w:usb3="00000000" w:csb0="00040001" w:csb1="00000000"/>
    <w:embedRegular r:id="rId6" w:fontKey="{174A61CC-C547-47FF-B804-FB37221D2161}"/>
  </w:font>
  <w:font w:name="方正大标宋简体">
    <w:panose1 w:val="02000000000000000000"/>
    <w:charset w:val="86"/>
    <w:family w:val="auto"/>
    <w:pitch w:val="default"/>
    <w:sig w:usb0="A00002BF" w:usb1="184F6CFA" w:usb2="00000012" w:usb3="00000000" w:csb0="00040001" w:csb1="00000000"/>
    <w:embedRegular r:id="rId7" w:fontKey="{F4AFBA3B-42F3-46FC-AC24-0F608C706F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B74B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BA42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69BA42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2F"/>
    <w:rsid w:val="00027E45"/>
    <w:rsid w:val="00035E04"/>
    <w:rsid w:val="00043AF4"/>
    <w:rsid w:val="0006485D"/>
    <w:rsid w:val="00074C23"/>
    <w:rsid w:val="000756F1"/>
    <w:rsid w:val="000A4E44"/>
    <w:rsid w:val="000D172B"/>
    <w:rsid w:val="000D4573"/>
    <w:rsid w:val="000D6F1F"/>
    <w:rsid w:val="000E6D88"/>
    <w:rsid w:val="000F2622"/>
    <w:rsid w:val="00110AD7"/>
    <w:rsid w:val="00153E5D"/>
    <w:rsid w:val="001543FD"/>
    <w:rsid w:val="00177130"/>
    <w:rsid w:val="00186F01"/>
    <w:rsid w:val="00191118"/>
    <w:rsid w:val="00193D82"/>
    <w:rsid w:val="001C726E"/>
    <w:rsid w:val="001F7994"/>
    <w:rsid w:val="00204952"/>
    <w:rsid w:val="0027396B"/>
    <w:rsid w:val="00285198"/>
    <w:rsid w:val="00291963"/>
    <w:rsid w:val="00293D09"/>
    <w:rsid w:val="002951D9"/>
    <w:rsid w:val="002A03D1"/>
    <w:rsid w:val="002C2FBC"/>
    <w:rsid w:val="00302F96"/>
    <w:rsid w:val="00333EA2"/>
    <w:rsid w:val="003433C8"/>
    <w:rsid w:val="00350132"/>
    <w:rsid w:val="003644A8"/>
    <w:rsid w:val="003704B3"/>
    <w:rsid w:val="00392F60"/>
    <w:rsid w:val="00395D72"/>
    <w:rsid w:val="00396A72"/>
    <w:rsid w:val="003B00E7"/>
    <w:rsid w:val="003B5BEA"/>
    <w:rsid w:val="003C745C"/>
    <w:rsid w:val="003E24C6"/>
    <w:rsid w:val="003E56E0"/>
    <w:rsid w:val="00415314"/>
    <w:rsid w:val="00427688"/>
    <w:rsid w:val="00441031"/>
    <w:rsid w:val="00443370"/>
    <w:rsid w:val="00452214"/>
    <w:rsid w:val="00453711"/>
    <w:rsid w:val="00471CA3"/>
    <w:rsid w:val="00495925"/>
    <w:rsid w:val="004A0654"/>
    <w:rsid w:val="004B301A"/>
    <w:rsid w:val="004B66E3"/>
    <w:rsid w:val="004F07AF"/>
    <w:rsid w:val="00514851"/>
    <w:rsid w:val="005264E6"/>
    <w:rsid w:val="005370AE"/>
    <w:rsid w:val="005377D1"/>
    <w:rsid w:val="005C0632"/>
    <w:rsid w:val="005E2B8A"/>
    <w:rsid w:val="00601DBC"/>
    <w:rsid w:val="00626086"/>
    <w:rsid w:val="00637792"/>
    <w:rsid w:val="00645589"/>
    <w:rsid w:val="00646859"/>
    <w:rsid w:val="00654858"/>
    <w:rsid w:val="00657C08"/>
    <w:rsid w:val="00662A36"/>
    <w:rsid w:val="00663755"/>
    <w:rsid w:val="00666D20"/>
    <w:rsid w:val="00667BC6"/>
    <w:rsid w:val="00671B03"/>
    <w:rsid w:val="00681E9F"/>
    <w:rsid w:val="006E6FF5"/>
    <w:rsid w:val="006F04B4"/>
    <w:rsid w:val="00702018"/>
    <w:rsid w:val="00730884"/>
    <w:rsid w:val="0074466F"/>
    <w:rsid w:val="00747533"/>
    <w:rsid w:val="00772383"/>
    <w:rsid w:val="007A1C11"/>
    <w:rsid w:val="007A5479"/>
    <w:rsid w:val="007B50FE"/>
    <w:rsid w:val="007C059F"/>
    <w:rsid w:val="007D5182"/>
    <w:rsid w:val="007D5409"/>
    <w:rsid w:val="007D6490"/>
    <w:rsid w:val="007F3FA9"/>
    <w:rsid w:val="008171E5"/>
    <w:rsid w:val="00840766"/>
    <w:rsid w:val="00841775"/>
    <w:rsid w:val="00860A7E"/>
    <w:rsid w:val="00883063"/>
    <w:rsid w:val="008A39FE"/>
    <w:rsid w:val="008D0354"/>
    <w:rsid w:val="008D39BE"/>
    <w:rsid w:val="008D5D64"/>
    <w:rsid w:val="008E3473"/>
    <w:rsid w:val="008E42B3"/>
    <w:rsid w:val="008F2F32"/>
    <w:rsid w:val="008F45D2"/>
    <w:rsid w:val="008F62E9"/>
    <w:rsid w:val="009316C0"/>
    <w:rsid w:val="0093316C"/>
    <w:rsid w:val="00962B1F"/>
    <w:rsid w:val="00965093"/>
    <w:rsid w:val="00970629"/>
    <w:rsid w:val="00980D80"/>
    <w:rsid w:val="00985535"/>
    <w:rsid w:val="00986400"/>
    <w:rsid w:val="00992A28"/>
    <w:rsid w:val="009C3890"/>
    <w:rsid w:val="009D19F8"/>
    <w:rsid w:val="009E0C72"/>
    <w:rsid w:val="00A061E7"/>
    <w:rsid w:val="00A22EBC"/>
    <w:rsid w:val="00A30A11"/>
    <w:rsid w:val="00A400FD"/>
    <w:rsid w:val="00A417E4"/>
    <w:rsid w:val="00A54170"/>
    <w:rsid w:val="00A72DE8"/>
    <w:rsid w:val="00AA1330"/>
    <w:rsid w:val="00AB2C2E"/>
    <w:rsid w:val="00AC0E81"/>
    <w:rsid w:val="00AC6954"/>
    <w:rsid w:val="00AE29E9"/>
    <w:rsid w:val="00AE7B2D"/>
    <w:rsid w:val="00B022E7"/>
    <w:rsid w:val="00B07EA4"/>
    <w:rsid w:val="00B266E8"/>
    <w:rsid w:val="00B36F3D"/>
    <w:rsid w:val="00B5404C"/>
    <w:rsid w:val="00B80B3E"/>
    <w:rsid w:val="00B828E9"/>
    <w:rsid w:val="00B9669D"/>
    <w:rsid w:val="00BB6F5C"/>
    <w:rsid w:val="00BE540F"/>
    <w:rsid w:val="00C03292"/>
    <w:rsid w:val="00C12165"/>
    <w:rsid w:val="00C246CD"/>
    <w:rsid w:val="00C3000A"/>
    <w:rsid w:val="00C30738"/>
    <w:rsid w:val="00C36209"/>
    <w:rsid w:val="00C562A8"/>
    <w:rsid w:val="00C62ECB"/>
    <w:rsid w:val="00C6589A"/>
    <w:rsid w:val="00C7102F"/>
    <w:rsid w:val="00C77A36"/>
    <w:rsid w:val="00CB0CE9"/>
    <w:rsid w:val="00CB1C31"/>
    <w:rsid w:val="00CC4B77"/>
    <w:rsid w:val="00CD19B6"/>
    <w:rsid w:val="00CE17A7"/>
    <w:rsid w:val="00D015F8"/>
    <w:rsid w:val="00D03E40"/>
    <w:rsid w:val="00D10C92"/>
    <w:rsid w:val="00D11764"/>
    <w:rsid w:val="00D24A59"/>
    <w:rsid w:val="00D30DEA"/>
    <w:rsid w:val="00DA538B"/>
    <w:rsid w:val="00DC7C1D"/>
    <w:rsid w:val="00DE5135"/>
    <w:rsid w:val="00DE5890"/>
    <w:rsid w:val="00DF4FE9"/>
    <w:rsid w:val="00E033C7"/>
    <w:rsid w:val="00E354F5"/>
    <w:rsid w:val="00E45461"/>
    <w:rsid w:val="00E60AC4"/>
    <w:rsid w:val="00E70450"/>
    <w:rsid w:val="00E8387D"/>
    <w:rsid w:val="00EA3314"/>
    <w:rsid w:val="00EB795A"/>
    <w:rsid w:val="00EF799F"/>
    <w:rsid w:val="00F1252C"/>
    <w:rsid w:val="00F156A0"/>
    <w:rsid w:val="00F47B4D"/>
    <w:rsid w:val="00F831B9"/>
    <w:rsid w:val="00F85079"/>
    <w:rsid w:val="00FC1211"/>
    <w:rsid w:val="00FC7F5B"/>
    <w:rsid w:val="00FD3693"/>
    <w:rsid w:val="012B21E0"/>
    <w:rsid w:val="01D77E69"/>
    <w:rsid w:val="06065E86"/>
    <w:rsid w:val="06813F88"/>
    <w:rsid w:val="06DA2848"/>
    <w:rsid w:val="073360BD"/>
    <w:rsid w:val="077A4661"/>
    <w:rsid w:val="07CF228A"/>
    <w:rsid w:val="0950017B"/>
    <w:rsid w:val="0A36039E"/>
    <w:rsid w:val="0C802C42"/>
    <w:rsid w:val="0CA02447"/>
    <w:rsid w:val="0D5D3E94"/>
    <w:rsid w:val="0DC444A5"/>
    <w:rsid w:val="0EF95E3E"/>
    <w:rsid w:val="0FE0687C"/>
    <w:rsid w:val="118A4F52"/>
    <w:rsid w:val="134F6CDF"/>
    <w:rsid w:val="137333F0"/>
    <w:rsid w:val="14472D08"/>
    <w:rsid w:val="148A7C64"/>
    <w:rsid w:val="15032E84"/>
    <w:rsid w:val="16096967"/>
    <w:rsid w:val="17FE54CE"/>
    <w:rsid w:val="18351C95"/>
    <w:rsid w:val="18E86ABE"/>
    <w:rsid w:val="18ED07C2"/>
    <w:rsid w:val="190D7E26"/>
    <w:rsid w:val="1A9D5BCA"/>
    <w:rsid w:val="1B3D2277"/>
    <w:rsid w:val="1C931680"/>
    <w:rsid w:val="1E5F09AE"/>
    <w:rsid w:val="1E6C1A16"/>
    <w:rsid w:val="1E8A6AB3"/>
    <w:rsid w:val="1EE241F9"/>
    <w:rsid w:val="204D3B51"/>
    <w:rsid w:val="20B9542D"/>
    <w:rsid w:val="21E94948"/>
    <w:rsid w:val="221E0E2E"/>
    <w:rsid w:val="22EA7150"/>
    <w:rsid w:val="23172FC9"/>
    <w:rsid w:val="23662CED"/>
    <w:rsid w:val="24044C11"/>
    <w:rsid w:val="24423496"/>
    <w:rsid w:val="24D046C0"/>
    <w:rsid w:val="2A0F4DBB"/>
    <w:rsid w:val="2A1827B1"/>
    <w:rsid w:val="2A5E0996"/>
    <w:rsid w:val="2B1A6A27"/>
    <w:rsid w:val="2B1C018E"/>
    <w:rsid w:val="2B463D0D"/>
    <w:rsid w:val="2BD57D81"/>
    <w:rsid w:val="2C447D3A"/>
    <w:rsid w:val="2CA956B9"/>
    <w:rsid w:val="2EE61AE3"/>
    <w:rsid w:val="2F155F25"/>
    <w:rsid w:val="30586A11"/>
    <w:rsid w:val="3078676B"/>
    <w:rsid w:val="31071124"/>
    <w:rsid w:val="312E4D7E"/>
    <w:rsid w:val="312F5DB4"/>
    <w:rsid w:val="31AC6BBF"/>
    <w:rsid w:val="326D2E29"/>
    <w:rsid w:val="333077D1"/>
    <w:rsid w:val="37685806"/>
    <w:rsid w:val="39561614"/>
    <w:rsid w:val="39A75BF6"/>
    <w:rsid w:val="3A4D2A17"/>
    <w:rsid w:val="3B6B74DA"/>
    <w:rsid w:val="3B9701D8"/>
    <w:rsid w:val="3BEB698B"/>
    <w:rsid w:val="3BF71114"/>
    <w:rsid w:val="3CB52AF5"/>
    <w:rsid w:val="3D5D11C3"/>
    <w:rsid w:val="3DB2747C"/>
    <w:rsid w:val="3EC3599D"/>
    <w:rsid w:val="40522D81"/>
    <w:rsid w:val="40C17CBA"/>
    <w:rsid w:val="425F4016"/>
    <w:rsid w:val="42EC5BE6"/>
    <w:rsid w:val="4473751E"/>
    <w:rsid w:val="453F38A4"/>
    <w:rsid w:val="46CC1167"/>
    <w:rsid w:val="48F965FC"/>
    <w:rsid w:val="49356520"/>
    <w:rsid w:val="497A30FC"/>
    <w:rsid w:val="49B06B1E"/>
    <w:rsid w:val="4A722B4B"/>
    <w:rsid w:val="4B11183E"/>
    <w:rsid w:val="4D2D26C6"/>
    <w:rsid w:val="4E1E674C"/>
    <w:rsid w:val="4E5D638B"/>
    <w:rsid w:val="50964EEE"/>
    <w:rsid w:val="51304051"/>
    <w:rsid w:val="52F33252"/>
    <w:rsid w:val="52FC4B82"/>
    <w:rsid w:val="53046B31"/>
    <w:rsid w:val="53410A67"/>
    <w:rsid w:val="54574766"/>
    <w:rsid w:val="5536079B"/>
    <w:rsid w:val="5668401C"/>
    <w:rsid w:val="578A5C34"/>
    <w:rsid w:val="58737694"/>
    <w:rsid w:val="58CF7431"/>
    <w:rsid w:val="58E16365"/>
    <w:rsid w:val="5A682958"/>
    <w:rsid w:val="5C2D0942"/>
    <w:rsid w:val="5C7D6D34"/>
    <w:rsid w:val="5DC6362C"/>
    <w:rsid w:val="5F831334"/>
    <w:rsid w:val="5FDB26EF"/>
    <w:rsid w:val="616358D2"/>
    <w:rsid w:val="61796106"/>
    <w:rsid w:val="640A404B"/>
    <w:rsid w:val="6485719E"/>
    <w:rsid w:val="66757D60"/>
    <w:rsid w:val="68C7017F"/>
    <w:rsid w:val="69820566"/>
    <w:rsid w:val="69FB2E81"/>
    <w:rsid w:val="6B4C26F3"/>
    <w:rsid w:val="6DAE20B4"/>
    <w:rsid w:val="6DB620A5"/>
    <w:rsid w:val="6E6C10DF"/>
    <w:rsid w:val="7016507D"/>
    <w:rsid w:val="731735E6"/>
    <w:rsid w:val="732775A1"/>
    <w:rsid w:val="73FA4A43"/>
    <w:rsid w:val="74736BDD"/>
    <w:rsid w:val="77376F40"/>
    <w:rsid w:val="79C57617"/>
    <w:rsid w:val="7BC462D5"/>
    <w:rsid w:val="7C5A50F0"/>
    <w:rsid w:val="7C7062F5"/>
    <w:rsid w:val="7D33476A"/>
    <w:rsid w:val="7D755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rFonts w:ascii="仿宋" w:hAnsi="仿宋" w:cs="仿宋"/>
      <w:sz w:val="2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99"/>
    <w:pPr>
      <w:spacing w:beforeAutospacing="1" w:afterAutospacing="1"/>
      <w:jc w:val="left"/>
    </w:pPr>
    <w:rPr>
      <w:kern w:val="0"/>
    </w:rPr>
  </w:style>
  <w:style w:type="paragraph" w:styleId="7">
    <w:name w:val="Body Text First Indent"/>
    <w:basedOn w:val="3"/>
    <w:unhideWhenUsed/>
    <w:qFormat/>
    <w:uiPriority w:val="0"/>
    <w:pPr>
      <w:adjustRightInd w:val="0"/>
      <w:snapToGrid w:val="0"/>
      <w:spacing w:line="594" w:lineRule="exact"/>
      <w:ind w:firstLine="100" w:firstLineChars="100"/>
    </w:pPr>
    <w:rPr>
      <w:rFonts w:ascii="Calibri" w:hAnsi="Calibri" w:eastAsia="方正仿宋简体"/>
      <w:sz w:val="32"/>
      <w:szCs w:val="24"/>
    </w:rPr>
  </w:style>
  <w:style w:type="paragraph" w:customStyle="1" w:styleId="10">
    <w:name w:val="null3"/>
    <w:qFormat/>
    <w:uiPriority w:val="0"/>
    <w:rPr>
      <w:rFonts w:hint="eastAsia" w:ascii="Calibri" w:hAnsi="Calibri" w:eastAsia="宋体" w:cs="Times New Roman"/>
      <w:lang w:val="en-US" w:eastAsia="zh-Hans" w:bidi="ar-SA"/>
    </w:rPr>
  </w:style>
  <w:style w:type="paragraph" w:customStyle="1" w:styleId="11">
    <w:name w:val="Table Text"/>
    <w:basedOn w:val="1"/>
    <w:semiHidden/>
    <w:qFormat/>
    <w:uiPriority w:val="0"/>
    <w:rPr>
      <w:rFonts w:ascii="宋体" w:hAnsi="宋体" w:cs="宋体"/>
      <w:sz w:val="22"/>
      <w:lang w:eastAsia="en-US"/>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3093</Words>
  <Characters>3200</Characters>
  <Lines>2</Lines>
  <Paragraphs>12</Paragraphs>
  <TotalTime>36</TotalTime>
  <ScaleCrop>false</ScaleCrop>
  <LinksUpToDate>false</LinksUpToDate>
  <CharactersWithSpaces>3206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2025-12-31T10:05:00Z</dcterms:created>
  <dc:creator>grt</dc:creator>
  <cp:lastModifiedBy>心流</cp:lastModifiedBy>
  <dcterms:modified xsi:type="dcterms:W3CDTF">2026-01-05T07:16:52Z</dcterms:modified>
  <cp:revision>310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eyJoZGlkIjoiNDk1NmI1YTk4NjVmYmI3ZWNlZmYxYjJhNTEwYTRiODIiLCJ1c2VySWQiOiI2MjIxNjExNjkifQ==</vt:lpwstr>
  </property>
  <property fmtid="{D5CDD505-2E9C-101B-9397-08002B2CF9AE}" pid="4" name="ICV">
    <vt:lpwstr>4448690EA2294DF8AFB88E418FF9D0B7_13</vt:lpwstr>
  </property>
</Properties>
</file>