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163BB">
      <w:pPr>
        <w:ind w:firstLine="480"/>
      </w:pPr>
      <w:bookmarkStart w:id="0" w:name="_Toc498001357"/>
      <w:bookmarkStart w:id="1" w:name="_Toc498001258"/>
    </w:p>
    <w:p w14:paraId="44FBDCFE">
      <w:pPr>
        <w:ind w:firstLine="480"/>
      </w:pPr>
    </w:p>
    <w:p w14:paraId="0D59D0DF">
      <w:pPr>
        <w:ind w:firstLine="480"/>
      </w:pPr>
    </w:p>
    <w:p w14:paraId="49AEB142">
      <w:pPr>
        <w:ind w:firstLine="480"/>
      </w:pPr>
    </w:p>
    <w:p w14:paraId="4DD31E4C">
      <w:pPr>
        <w:spacing w:line="240" w:lineRule="auto"/>
        <w:ind w:firstLine="0" w:firstLineChars="0"/>
        <w:jc w:val="both"/>
        <w:rPr>
          <w:rFonts w:ascii="方正小标宋简体" w:eastAsia="方正小标宋简体"/>
          <w:spacing w:val="157"/>
          <w:kern w:val="0"/>
          <w:sz w:val="100"/>
          <w:szCs w:val="100"/>
        </w:rPr>
      </w:pPr>
    </w:p>
    <w:p w14:paraId="373E23F9">
      <w:pPr>
        <w:spacing w:line="240" w:lineRule="auto"/>
        <w:ind w:firstLine="0" w:firstLineChars="0"/>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14:paraId="65F6E38B">
      <w:pPr>
        <w:spacing w:line="240" w:lineRule="auto"/>
        <w:ind w:firstLine="0" w:firstLineChars="0"/>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14:paraId="4B842E67">
      <w:pPr>
        <w:spacing w:line="240" w:lineRule="auto"/>
        <w:ind w:firstLine="0" w:firstLineChars="0"/>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14:paraId="28F4F644">
      <w:pPr>
        <w:spacing w:line="240" w:lineRule="auto"/>
        <w:ind w:firstLine="0" w:firstLineChars="0"/>
        <w:jc w:val="center"/>
        <w:rPr>
          <w:rFonts w:ascii="宋体" w:hAnsi="宋体"/>
          <w:b/>
          <w:color w:val="000000"/>
        </w:rPr>
      </w:pPr>
      <w:r>
        <w:rPr>
          <w:rFonts w:hint="eastAsia" w:ascii="方正小标宋简体" w:eastAsia="方正小标宋简体"/>
          <w:spacing w:val="157"/>
          <w:kern w:val="0"/>
          <w:sz w:val="100"/>
          <w:szCs w:val="100"/>
        </w:rPr>
        <w:t>件</w:t>
      </w:r>
    </w:p>
    <w:p w14:paraId="5898682B">
      <w:pPr>
        <w:pStyle w:val="2"/>
        <w:ind w:firstLine="482"/>
      </w:pPr>
      <w:r>
        <w:rPr>
          <w:rFonts w:ascii="宋体" w:hAnsi="宋体"/>
          <w:sz w:val="24"/>
        </w:rPr>
        <w:br w:type="page"/>
      </w:r>
      <w:bookmarkEnd w:id="0"/>
      <w:bookmarkEnd w:id="1"/>
      <w:r>
        <w:rPr>
          <w:rFonts w:hint="eastAsia"/>
        </w:rPr>
        <w:t>一、项目说明</w:t>
      </w:r>
    </w:p>
    <w:p w14:paraId="69E10ED0">
      <w:pPr>
        <w:pStyle w:val="3"/>
        <w:ind w:firstLine="482"/>
        <w:rPr>
          <w:b w:val="0"/>
        </w:rPr>
      </w:pPr>
      <w:r>
        <w:rPr>
          <w:rFonts w:hint="eastAsia"/>
        </w:rPr>
        <w:t>（一）项目名称</w:t>
      </w:r>
    </w:p>
    <w:p w14:paraId="7A022F8E">
      <w:pPr>
        <w:pStyle w:val="3"/>
        <w:ind w:firstLine="480"/>
        <w:rPr>
          <w:rFonts w:ascii="黑体" w:hAnsi="黑体"/>
          <w:b w:val="0"/>
        </w:rPr>
      </w:pPr>
      <w:bookmarkStart w:id="2" w:name="_Toc498001358"/>
      <w:bookmarkStart w:id="3" w:name="_Toc498001259"/>
      <w:r>
        <w:rPr>
          <w:rFonts w:hint="eastAsia" w:ascii="黑体" w:hAnsi="黑体"/>
          <w:b w:val="0"/>
        </w:rPr>
        <w:t>福建省市场监管局2024年全省企业信用监管数据质量提升服务项目</w:t>
      </w:r>
    </w:p>
    <w:p w14:paraId="40E74D4D">
      <w:pPr>
        <w:pStyle w:val="3"/>
        <w:ind w:firstLine="482"/>
      </w:pPr>
      <w:r>
        <w:rPr>
          <w:rFonts w:hint="eastAsia"/>
        </w:rPr>
        <w:t>（二）资格要求</w:t>
      </w:r>
      <w:bookmarkEnd w:id="2"/>
      <w:bookmarkEnd w:id="3"/>
    </w:p>
    <w:p w14:paraId="048D606A">
      <w:pPr>
        <w:ind w:firstLine="480"/>
      </w:pPr>
      <w:r>
        <w:rPr>
          <w:rFonts w:hint="eastAsia"/>
        </w:rPr>
        <w:t>1.供应商应具备下列资格条件，并提供证明材料（包括但不限于）：</w:t>
      </w:r>
    </w:p>
    <w:p w14:paraId="3EB86307">
      <w:pPr>
        <w:ind w:firstLine="480"/>
      </w:pPr>
      <w:r>
        <w:rPr>
          <w:rFonts w:hint="eastAsia"/>
        </w:rPr>
        <w:t>（1）依法登记的社会组织、企业和事业单位（提供相应登记证书副本复印件,提供法人或者营业执照副本，自然人的身份证）。</w:t>
      </w:r>
    </w:p>
    <w:p w14:paraId="42BBD6F0">
      <w:pPr>
        <w:ind w:firstLine="480"/>
      </w:pPr>
      <w:r>
        <w:rPr>
          <w:rFonts w:hint="eastAsia"/>
        </w:rPr>
        <w:t>（2）具有良好的商业信誉和健全的财务会计制度，有依法缴纳税收和社会保障资金的良好记录（提供资格承诺函或参加本次采购活动上一年度或上一季度财务审计报告、参加本次政府采购活动前一年内任一个月的依法缴纳税收和社会保障资金的相关材料）。</w:t>
      </w:r>
    </w:p>
    <w:p w14:paraId="3B319565">
      <w:pPr>
        <w:ind w:firstLine="480"/>
      </w:pPr>
      <w:r>
        <w:rPr>
          <w:rFonts w:hint="eastAsia"/>
        </w:rPr>
        <w:t>（3）具有履行合同所必需的设备和专业技术能力（根据项目需求提供履行合同所必需的设备和专业技术能力的声明）。</w:t>
      </w:r>
    </w:p>
    <w:p w14:paraId="783D2638">
      <w:pPr>
        <w:ind w:firstLine="480"/>
      </w:pPr>
      <w:r>
        <w:rPr>
          <w:rFonts w:hint="eastAsia"/>
        </w:rPr>
        <w:t>（4）参加采购活动前三年内，在经营活动中没有重大违法记录（提供参加本次采购活动前3年内在经营活动中没有违法记录的书面声明）。</w:t>
      </w:r>
    </w:p>
    <w:p w14:paraId="5CF02D13">
      <w:pPr>
        <w:ind w:firstLine="480"/>
      </w:pPr>
      <w:r>
        <w:rPr>
          <w:rFonts w:hint="eastAsia"/>
        </w:rPr>
        <w:t>2.本项目不接受下列供应商：</w:t>
      </w:r>
    </w:p>
    <w:p w14:paraId="04FE2020">
      <w:pPr>
        <w:ind w:firstLine="480"/>
      </w:pPr>
      <w:r>
        <w:rPr>
          <w:rFonts w:hint="eastAsia"/>
        </w:rPr>
        <w:t>（1）联合体形式的供应商。</w:t>
      </w:r>
    </w:p>
    <w:p w14:paraId="24232685">
      <w:pPr>
        <w:ind w:firstLine="480"/>
      </w:pPr>
      <w:r>
        <w:rPr>
          <w:rFonts w:hint="eastAsia"/>
        </w:rPr>
        <w:t>（2）供应商被“信用中国”网站（www.creditchina.gov.cn）、“中国政府采购网”(www.ccgp.gov.cn)列入失信被执行人、重大税收违法案件当事人名单、政府采购严重违法失信行为记录名单。</w:t>
      </w:r>
    </w:p>
    <w:p w14:paraId="73898D50">
      <w:pPr>
        <w:ind w:firstLine="480"/>
      </w:pPr>
      <w:r>
        <w:rPr>
          <w:rFonts w:hint="eastAsia"/>
        </w:rPr>
        <w:t>（3）供应商存在其它失信情况的。</w:t>
      </w:r>
    </w:p>
    <w:p w14:paraId="7EFF1D76">
      <w:pPr>
        <w:pStyle w:val="3"/>
        <w:ind w:firstLine="482"/>
      </w:pPr>
      <w:bookmarkStart w:id="4" w:name="_Toc498001260"/>
      <w:bookmarkStart w:id="5" w:name="_Toc498001359"/>
      <w:r>
        <w:rPr>
          <w:rFonts w:hint="eastAsia"/>
        </w:rPr>
        <w:t>（三）投标须知</w:t>
      </w:r>
      <w:bookmarkEnd w:id="4"/>
      <w:bookmarkEnd w:id="5"/>
    </w:p>
    <w:p w14:paraId="1C1A2B2F">
      <w:pPr>
        <w:ind w:firstLine="480"/>
      </w:pPr>
      <w:r>
        <w:rPr>
          <w:rFonts w:hint="eastAsia"/>
        </w:rPr>
        <w:t>1.各供应商填列价格以人民币为单位，须包括完成本项目所涉及的一切费用。</w:t>
      </w:r>
    </w:p>
    <w:p w14:paraId="32F77288">
      <w:pPr>
        <w:ind w:firstLine="480"/>
      </w:pPr>
      <w:r>
        <w:rPr>
          <w:rFonts w:hint="eastAsia"/>
        </w:rPr>
        <w:t>2.</w:t>
      </w:r>
      <w:bookmarkStart w:id="6" w:name="_Toc498001261"/>
      <w:bookmarkStart w:id="7" w:name="_Toc498001360"/>
      <w:r>
        <w:rPr>
          <w:rFonts w:hint="eastAsia"/>
        </w:rPr>
        <w:t>本项目总限价</w:t>
      </w:r>
      <w:r>
        <w:rPr>
          <w:rFonts w:hint="eastAsia"/>
          <w:highlight w:val="none"/>
          <w:lang w:val="en-US" w:eastAsia="zh-CN"/>
        </w:rPr>
        <w:t>45</w:t>
      </w:r>
      <w:r>
        <w:rPr>
          <w:rFonts w:hint="eastAsia"/>
          <w:highlight w:val="none"/>
        </w:rPr>
        <w:t>万元</w:t>
      </w:r>
      <w:r>
        <w:rPr>
          <w:rFonts w:hint="eastAsia"/>
        </w:rPr>
        <w:t>。</w:t>
      </w:r>
    </w:p>
    <w:p w14:paraId="59F197AF">
      <w:pPr>
        <w:ind w:firstLine="480"/>
      </w:pPr>
      <w:r>
        <w:rPr>
          <w:rFonts w:hint="eastAsia"/>
        </w:rPr>
        <w:t>3.按综合评分法评定。</w:t>
      </w:r>
    </w:p>
    <w:p w14:paraId="2454EAF8">
      <w:pPr>
        <w:pStyle w:val="3"/>
        <w:ind w:firstLine="482"/>
        <w:rPr>
          <w:rFonts w:ascii="仿宋_GB2312" w:hAnsi="仿宋_GB2312" w:eastAsia="仿宋_GB2312" w:cs="仿宋_GB2312"/>
        </w:rPr>
      </w:pPr>
      <w:r>
        <w:rPr>
          <w:rFonts w:hint="eastAsia"/>
        </w:rPr>
        <w:t>（四）投标</w:t>
      </w:r>
      <w:bookmarkEnd w:id="6"/>
      <w:bookmarkEnd w:id="7"/>
      <w:r>
        <w:rPr>
          <w:rFonts w:hint="eastAsia"/>
        </w:rPr>
        <w:t>要求</w:t>
      </w:r>
    </w:p>
    <w:p w14:paraId="68C6F020">
      <w:pPr>
        <w:ind w:firstLine="480"/>
      </w:pPr>
      <w:r>
        <w:rPr>
          <w:rFonts w:hint="eastAsia"/>
        </w:rPr>
        <w:t>供应商应仔细阅读的本项目说明及要求的所有内容，按照要求提交响应文件。响应文件应对本项目的要求做出实质性响应，并对所提供的证明或佐证材料真实性负责，提供虚假材料谋取成交的其报价无效。响应文件应当包括但不限于以下内容：</w:t>
      </w:r>
    </w:p>
    <w:p w14:paraId="32F6F922">
      <w:pPr>
        <w:ind w:firstLine="480"/>
      </w:pPr>
      <w:r>
        <w:t>1.商务文件：</w:t>
      </w:r>
    </w:p>
    <w:p w14:paraId="47C04A58">
      <w:pPr>
        <w:ind w:firstLine="480"/>
      </w:pPr>
      <w:r>
        <w:rPr>
          <w:rFonts w:hint="eastAsia"/>
        </w:rPr>
        <w:t>（</w:t>
      </w:r>
      <w:r>
        <w:t>1）报价单；</w:t>
      </w:r>
    </w:p>
    <w:p w14:paraId="36F0E644">
      <w:pPr>
        <w:ind w:firstLine="480"/>
      </w:pPr>
      <w:r>
        <w:rPr>
          <w:rFonts w:hint="eastAsia"/>
        </w:rPr>
        <w:t>（</w:t>
      </w:r>
      <w:r>
        <w:t>2）营业执照；</w:t>
      </w:r>
    </w:p>
    <w:p w14:paraId="52BE7F71">
      <w:pPr>
        <w:ind w:firstLine="480"/>
      </w:pPr>
      <w:r>
        <w:rPr>
          <w:rFonts w:hint="eastAsia"/>
        </w:rPr>
        <w:t>（</w:t>
      </w:r>
      <w:r>
        <w:t>3）法定代表人/单位负责人授权委托书；</w:t>
      </w:r>
    </w:p>
    <w:p w14:paraId="712BE97D">
      <w:pPr>
        <w:ind w:firstLine="480"/>
      </w:pPr>
      <w:r>
        <w:rPr>
          <w:rFonts w:hint="eastAsia"/>
        </w:rPr>
        <w:t>（</w:t>
      </w:r>
      <w:r>
        <w:t>4）法定代表人/单位负责人有效身份证复印件；</w:t>
      </w:r>
    </w:p>
    <w:p w14:paraId="3CA95FA4">
      <w:pPr>
        <w:ind w:firstLine="480"/>
      </w:pPr>
      <w:r>
        <w:rPr>
          <w:rFonts w:hint="eastAsia"/>
        </w:rPr>
        <w:t>（</w:t>
      </w:r>
      <w:r>
        <w:t>5）委托代理人有效身份证复印件；</w:t>
      </w:r>
    </w:p>
    <w:p w14:paraId="48C6DA8A">
      <w:pPr>
        <w:ind w:firstLine="480"/>
      </w:pPr>
      <w:r>
        <w:rPr>
          <w:rFonts w:hint="eastAsia"/>
        </w:rPr>
        <w:t>（6</w:t>
      </w:r>
      <w:r>
        <w:t>）资格承诺函或财务状况报告、依法缴纳税收和社会保险证明材料；</w:t>
      </w:r>
    </w:p>
    <w:p w14:paraId="0FBAB04F">
      <w:pPr>
        <w:ind w:firstLine="480"/>
      </w:pPr>
      <w:r>
        <w:rPr>
          <w:rFonts w:hint="eastAsia"/>
        </w:rPr>
        <w:t>（7</w:t>
      </w:r>
      <w:r>
        <w:t>）具备履行合同所必需货物和专业技术能力的声明函；</w:t>
      </w:r>
    </w:p>
    <w:p w14:paraId="080A87D1">
      <w:pPr>
        <w:ind w:firstLine="480"/>
      </w:pPr>
      <w:r>
        <w:rPr>
          <w:rFonts w:hint="eastAsia"/>
        </w:rPr>
        <w:t>（8</w:t>
      </w:r>
      <w:r>
        <w:t>）参加采购活动前3年内在经营活动中没有重大违法记录的书面声明；</w:t>
      </w:r>
    </w:p>
    <w:p w14:paraId="17090A7C">
      <w:pPr>
        <w:ind w:firstLine="480"/>
      </w:pPr>
      <w:r>
        <w:rPr>
          <w:rFonts w:hint="eastAsia"/>
        </w:rPr>
        <w:t>（9</w:t>
      </w:r>
      <w:r>
        <w:t>）信用记录查询结果</w:t>
      </w:r>
      <w:r>
        <w:rPr>
          <w:rFonts w:hint="eastAsia"/>
        </w:rPr>
        <w:t>。</w:t>
      </w:r>
    </w:p>
    <w:p w14:paraId="50E3FB4E">
      <w:pPr>
        <w:ind w:firstLine="480"/>
      </w:pPr>
      <w:r>
        <w:rPr>
          <w:rFonts w:hint="eastAsia"/>
        </w:rPr>
        <w:t>2.技术文件：</w:t>
      </w:r>
    </w:p>
    <w:p w14:paraId="552CCB62">
      <w:pPr>
        <w:ind w:firstLine="480"/>
      </w:pPr>
      <w:r>
        <w:rPr>
          <w:rFonts w:hint="eastAsia"/>
        </w:rPr>
        <w:t>（1）项目服务方案；</w:t>
      </w:r>
    </w:p>
    <w:p w14:paraId="32834598">
      <w:pPr>
        <w:ind w:firstLine="480"/>
      </w:pPr>
      <w:r>
        <w:rPr>
          <w:rFonts w:hint="eastAsia"/>
        </w:rPr>
        <w:t>（2）供应商认为应提交的其他文件。</w:t>
      </w:r>
    </w:p>
    <w:p w14:paraId="0567ACDB">
      <w:pPr>
        <w:spacing w:line="514" w:lineRule="exact"/>
        <w:ind w:firstLine="640"/>
        <w:rPr>
          <w:rFonts w:ascii="仿宋_GB2312" w:hAnsi="仿宋_GB2312" w:eastAsia="仿宋_GB2312" w:cs="仿宋_GB2312"/>
          <w:sz w:val="32"/>
          <w:szCs w:val="32"/>
        </w:rPr>
        <w:sectPr>
          <w:headerReference r:id="rId6" w:type="first"/>
          <w:footerReference r:id="rId9" w:type="first"/>
          <w:footerReference r:id="rId7" w:type="default"/>
          <w:headerReference r:id="rId5" w:type="even"/>
          <w:footerReference r:id="rId8" w:type="even"/>
          <w:pgSz w:w="11906" w:h="16838"/>
          <w:pgMar w:top="1701" w:right="1418" w:bottom="1417" w:left="1418" w:header="850" w:footer="850" w:gutter="0"/>
          <w:cols w:space="720" w:num="1"/>
          <w:titlePg/>
          <w:docGrid w:linePitch="435" w:charSpace="0"/>
        </w:sectPr>
      </w:pPr>
    </w:p>
    <w:p w14:paraId="4E3F22C0">
      <w:pPr>
        <w:pStyle w:val="2"/>
        <w:ind w:firstLine="562"/>
      </w:pPr>
      <w:bookmarkStart w:id="8" w:name="_Toc498001362"/>
      <w:bookmarkStart w:id="9" w:name="_Toc498001263"/>
      <w:r>
        <w:rPr>
          <w:rFonts w:hint="eastAsia"/>
        </w:rPr>
        <w:t>二、项目内容及具体要求</w:t>
      </w:r>
      <w:bookmarkEnd w:id="8"/>
      <w:bookmarkEnd w:id="9"/>
    </w:p>
    <w:p w14:paraId="6725062D">
      <w:pPr>
        <w:pStyle w:val="3"/>
        <w:ind w:firstLine="482"/>
      </w:pPr>
      <w:bookmarkStart w:id="10" w:name="_Toc498001264"/>
      <w:bookmarkStart w:id="11" w:name="_Toc455746732"/>
      <w:bookmarkStart w:id="12" w:name="_Toc386100207"/>
      <w:bookmarkStart w:id="13" w:name="_Toc333485787"/>
      <w:bookmarkStart w:id="14" w:name="_Toc366651467"/>
      <w:bookmarkStart w:id="15" w:name="_Toc498001363"/>
      <w:bookmarkStart w:id="16" w:name="_Toc325446794"/>
      <w:bookmarkStart w:id="17" w:name="_Toc325446792"/>
      <w:bookmarkStart w:id="18" w:name="_Toc326331734"/>
      <w:bookmarkStart w:id="19" w:name="_Toc333485789"/>
      <w:bookmarkStart w:id="20" w:name="_Toc332898723"/>
      <w:bookmarkStart w:id="21" w:name="_Toc330451571"/>
      <w:bookmarkStart w:id="22" w:name="_Toc326331732"/>
      <w:bookmarkStart w:id="23" w:name="_Toc375925092"/>
      <w:bookmarkStart w:id="24" w:name="_Toc378522713"/>
      <w:bookmarkStart w:id="25" w:name="_Toc347903956"/>
      <w:bookmarkStart w:id="26" w:name="_Toc330549052"/>
      <w:bookmarkStart w:id="27" w:name="_Toc366651469"/>
      <w:bookmarkStart w:id="28" w:name="_Toc330549050"/>
      <w:bookmarkStart w:id="29" w:name="_Toc328999466"/>
      <w:bookmarkStart w:id="30" w:name="_Toc337546423"/>
      <w:bookmarkStart w:id="31" w:name="_Toc325981871"/>
      <w:bookmarkStart w:id="32" w:name="_Toc320803478"/>
      <w:r>
        <w:rPr>
          <w:rFonts w:hint="eastAsia"/>
        </w:rPr>
        <w:t>（一）项目概述</w:t>
      </w:r>
      <w:bookmarkEnd w:id="10"/>
      <w:bookmarkEnd w:id="11"/>
      <w:bookmarkEnd w:id="12"/>
      <w:bookmarkEnd w:id="13"/>
      <w:bookmarkEnd w:id="14"/>
      <w:bookmarkEnd w:id="15"/>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126AD1CE">
      <w:pPr>
        <w:ind w:firstLine="480"/>
      </w:pPr>
      <w:bookmarkStart w:id="33" w:name="_Toc498001364"/>
      <w:bookmarkStart w:id="34" w:name="_Toc498001265"/>
      <w:bookmarkStart w:id="35" w:name="_Toc363110617"/>
      <w:bookmarkStart w:id="36" w:name="_Toc362425411"/>
      <w:bookmarkStart w:id="37" w:name="_Toc351982587"/>
      <w:r>
        <w:rPr>
          <w:rFonts w:hint="eastAsia"/>
        </w:rPr>
        <w:t>福建省市场监管局2024年全省企业信用数据质量提升服务项目</w:t>
      </w:r>
    </w:p>
    <w:p w14:paraId="26FF7D11">
      <w:pPr>
        <w:pStyle w:val="3"/>
        <w:ind w:firstLine="482"/>
      </w:pPr>
      <w:r>
        <w:rPr>
          <w:rFonts w:hint="eastAsia"/>
        </w:rPr>
        <w:t>（二）项目服务要求</w:t>
      </w:r>
      <w:bookmarkEnd w:id="33"/>
      <w:bookmarkEnd w:id="34"/>
    </w:p>
    <w:p w14:paraId="326DB59E">
      <w:pPr>
        <w:ind w:firstLine="480"/>
      </w:pPr>
      <w:r>
        <w:rPr>
          <w:rFonts w:hint="eastAsia"/>
        </w:rPr>
        <w:t>1.项目背景</w:t>
      </w:r>
    </w:p>
    <w:p w14:paraId="35DD29F8">
      <w:pPr>
        <w:ind w:firstLine="480"/>
        <w:rPr>
          <w:rFonts w:ascii="Times New Roman" w:hAnsi="Times New Roman"/>
        </w:rPr>
      </w:pPr>
      <w:r>
        <w:rPr>
          <w:rFonts w:hint="eastAsia" w:ascii="Times New Roman" w:hAnsi="Times New Roman"/>
        </w:rPr>
        <w:t>企业信用监管数据是企业在市场活动中的信用状况相关的各类信息集合，这些数据对于政府监管机构评估企业信用风险、执行信用约束和激励措施具有重要意义。2023年4月，市场监管总局印发《关于开展企业信用监管数据质量全面提升行动的通知》中要求，“各省要贯彻落实党中央、国务院重大决策部署，积极解决企业信用监管数据不全面、不准确、不规范等突出问题，推动信用监管与智慧监管深度融合，以全面提升企业信用监管数据质量为抓手，系统推进‘三个监管’，推动市场监管方式转变和市场监管效能提升，为全力做好中国式现代化的市场监管答卷贡献信用监管力量”。福建省市场监督管理局为响应党中央、国务院对于企业信用监管数据质量全面提升工作部署做出的要求，积极开展福建省企业信用监管数据质量提升行动，为促进确保信用数据的高质量发展，开展</w:t>
      </w:r>
      <w:r>
        <w:rPr>
          <w:rFonts w:hint="eastAsia"/>
        </w:rPr>
        <w:t>福建省市场监督管理局2024年全省企业信用数据质量提升服务项目</w:t>
      </w:r>
      <w:r>
        <w:rPr>
          <w:rFonts w:hint="eastAsia" w:ascii="Times New Roman" w:hAnsi="Times New Roman"/>
        </w:rPr>
        <w:t>。</w:t>
      </w:r>
    </w:p>
    <w:p w14:paraId="009FD215">
      <w:pPr>
        <w:ind w:firstLine="480"/>
      </w:pPr>
      <w:bookmarkStart w:id="38" w:name="_Toc498001268"/>
      <w:bookmarkStart w:id="39" w:name="_Toc498001367"/>
      <w:bookmarkStart w:id="40" w:name="_Toc455746740"/>
      <w:bookmarkStart w:id="41" w:name="_Toc330567036"/>
      <w:bookmarkStart w:id="42" w:name="_Toc450320511"/>
      <w:bookmarkStart w:id="43" w:name="_Toc347060298"/>
      <w:bookmarkStart w:id="44" w:name="_Toc419485050"/>
      <w:bookmarkStart w:id="45" w:name="_Toc430180165"/>
      <w:bookmarkStart w:id="46" w:name="_Toc351968248"/>
      <w:bookmarkStart w:id="47" w:name="_Toc346300369"/>
      <w:bookmarkStart w:id="48" w:name="_Toc421023428"/>
      <w:r>
        <w:rPr>
          <w:rFonts w:hint="eastAsia"/>
        </w:rPr>
        <w:t>2.服务要求</w:t>
      </w:r>
    </w:p>
    <w:p w14:paraId="0E4B31F2">
      <w:pPr>
        <w:ind w:firstLine="480"/>
        <w:rPr>
          <w:rFonts w:ascii="Times New Roman" w:hAnsi="Times New Roman"/>
        </w:rPr>
      </w:pPr>
      <w:r>
        <w:rPr>
          <w:rFonts w:hint="eastAsia" w:ascii="Times New Roman" w:hAnsi="Times New Roman"/>
        </w:rPr>
        <w:t>（1）数据监测服务</w:t>
      </w:r>
    </w:p>
    <w:p w14:paraId="153AB8D1">
      <w:pPr>
        <w:ind w:firstLine="480"/>
        <w:rPr>
          <w:rFonts w:ascii="Times New Roman" w:hAnsi="Times New Roman"/>
        </w:rPr>
      </w:pPr>
      <w:r>
        <w:rPr>
          <w:rFonts w:hint="eastAsia" w:ascii="Times New Roman" w:hAnsi="Times New Roman"/>
        </w:rPr>
        <w:t>根据市场监管总局《关于开展企业信用监管数据质量全面提升行动的通知》以及《企业信用监管数据质量标准及评分规则（试行）》要求，对福建省市场监管智慧应用一体化平台归集的近三年的37张企业信用监管业务数据表开展数据监测工作，确保近三年业务数据的完整性和准确性，及时发现并纠正错缺失、错误及异常数据，进一步提升企业信用监管数据质量。</w:t>
      </w:r>
    </w:p>
    <w:p w14:paraId="1312478A">
      <w:pPr>
        <w:ind w:firstLine="480"/>
        <w:rPr>
          <w:rFonts w:ascii="Times New Roman" w:hAnsi="Times New Roman"/>
        </w:rPr>
      </w:pPr>
      <w:r>
        <w:rPr>
          <w:rFonts w:hint="eastAsia" w:ascii="Times New Roman" w:hAnsi="Times New Roman"/>
        </w:rPr>
        <w:t>1）核查规则配置服务</w:t>
      </w:r>
    </w:p>
    <w:p w14:paraId="1D37573C">
      <w:pPr>
        <w:ind w:firstLine="480"/>
        <w:rPr>
          <w:rFonts w:ascii="Times New Roman" w:hAnsi="Times New Roman"/>
        </w:rPr>
      </w:pPr>
      <w:r>
        <w:rPr>
          <w:rFonts w:hint="eastAsia" w:ascii="Times New Roman" w:hAnsi="Times New Roman"/>
        </w:rPr>
        <w:t>对平台归集的37张企业信用监管业务数据表进行核查规则配置。根据不同的数据问题类型，从完整性、规范性、冗余性、关联性、准确性、及时性以及全面性多个维度对业务数据表进行深度梳理和规则配置，确保企业信用监管数据的合规性、一致性和精确性，奠定数据质量提升的基础。核查规则包括完整性规则配置、规范性规则配置、冗余性规则配置、关联性规则配置、准确性规则配置、及时性规则配置、全面性规则配置。</w:t>
      </w:r>
    </w:p>
    <w:p w14:paraId="5CD0BE6F">
      <w:pPr>
        <w:numPr>
          <w:ilvl w:val="0"/>
          <w:numId w:val="1"/>
        </w:numPr>
        <w:ind w:firstLine="480"/>
        <w:rPr>
          <w:rFonts w:ascii="Times New Roman" w:hAnsi="Times New Roman"/>
        </w:rPr>
      </w:pPr>
      <w:r>
        <w:rPr>
          <w:rFonts w:ascii="Times New Roman" w:hAnsi="Times New Roman"/>
        </w:rPr>
        <w:t>核查运行计算服务</w:t>
      </w:r>
    </w:p>
    <w:p w14:paraId="49CCF13D">
      <w:pPr>
        <w:ind w:firstLine="480"/>
        <w:rPr>
          <w:rFonts w:ascii="Times New Roman" w:hAnsi="Times New Roman"/>
        </w:rPr>
      </w:pPr>
      <w:r>
        <w:rPr>
          <w:rFonts w:hint="eastAsia" w:ascii="Times New Roman" w:hAnsi="Times New Roman"/>
        </w:rPr>
        <w:t>对平台归集的37张企业信用监管业务数据表启动核查任务运行计算。根据业务数据运行的跟踪核查情况，对异常运算、中断运算情况进行干预调整，并根据核查任务运行情况，出具所有需要整改的异常数据，在实现数据的自动化处理的同时，进一步保证数据核查任务的连续性和稳定性，持续提升企业信用监管数据的质量。</w:t>
      </w:r>
    </w:p>
    <w:p w14:paraId="17D18397">
      <w:pPr>
        <w:numPr>
          <w:ilvl w:val="0"/>
          <w:numId w:val="1"/>
        </w:numPr>
        <w:ind w:firstLine="480"/>
        <w:rPr>
          <w:rFonts w:ascii="Times New Roman" w:hAnsi="Times New Roman"/>
        </w:rPr>
      </w:pPr>
      <w:r>
        <w:rPr>
          <w:rFonts w:ascii="Times New Roman" w:hAnsi="Times New Roman"/>
        </w:rPr>
        <w:t>质量核查结果处理服务</w:t>
      </w:r>
    </w:p>
    <w:p w14:paraId="535D96E5">
      <w:pPr>
        <w:ind w:firstLine="480"/>
        <w:rPr>
          <w:rFonts w:ascii="Times New Roman" w:hAnsi="Times New Roman"/>
        </w:rPr>
      </w:pPr>
      <w:r>
        <w:rPr>
          <w:rFonts w:hint="eastAsia" w:ascii="Times New Roman" w:hAnsi="Times New Roman"/>
        </w:rPr>
        <w:t>对平台归集的37张企业信用监管业务数据表进行质量核查结果处理。根据临时列表、临时库的呈现形式，对表名、核查结果分类、触发规则、规则运行结果（通过/未通过）、回溯业务表、主键标识、异常类型、异常数据内容、异常情况说明数据进行查看、处理。同时数据分析人员可查看、统计各类处理结果，并本地化导出相应的数据表。</w:t>
      </w:r>
    </w:p>
    <w:p w14:paraId="5594F6EB">
      <w:pPr>
        <w:numPr>
          <w:ilvl w:val="0"/>
          <w:numId w:val="1"/>
        </w:numPr>
        <w:ind w:firstLine="480"/>
        <w:rPr>
          <w:rFonts w:ascii="Times New Roman" w:hAnsi="Times New Roman"/>
        </w:rPr>
      </w:pPr>
      <w:r>
        <w:rPr>
          <w:rFonts w:ascii="Times New Roman" w:hAnsi="Times New Roman"/>
        </w:rPr>
        <w:t>数据质量问题分析服务</w:t>
      </w:r>
    </w:p>
    <w:p w14:paraId="2408A300">
      <w:pPr>
        <w:ind w:firstLine="480"/>
      </w:pPr>
      <w:r>
        <w:rPr>
          <w:rFonts w:hint="eastAsia"/>
        </w:rPr>
        <w:t>对平台归集的37张企业信用监管业务数据表进行数据质量问题分析。根据核查规则运行检查结果，对问题数据进行预处理分析及问题成因分析，进一步落实对应问题数据的处置方式，为后续的问题整改提供依据。</w:t>
      </w:r>
    </w:p>
    <w:p w14:paraId="54BB0FBE">
      <w:pPr>
        <w:ind w:firstLine="480"/>
        <w:rPr>
          <w:rFonts w:ascii="Times New Roman" w:hAnsi="Times New Roman"/>
        </w:rPr>
      </w:pPr>
      <w:r>
        <w:rPr>
          <w:rFonts w:hint="eastAsia" w:ascii="Times New Roman" w:hAnsi="Times New Roman"/>
        </w:rPr>
        <w:t>（2）问题数据整改服务</w:t>
      </w:r>
    </w:p>
    <w:p w14:paraId="45AF542F">
      <w:pPr>
        <w:ind w:firstLine="480"/>
        <w:rPr>
          <w:rFonts w:ascii="Times New Roman" w:hAnsi="Times New Roman"/>
        </w:rPr>
      </w:pPr>
      <w:r>
        <w:rPr>
          <w:rFonts w:hint="eastAsia" w:ascii="Times New Roman" w:hAnsi="Times New Roman"/>
        </w:rPr>
        <w:t>根据市场监管总局《关于开展企业信用监管数据质量全面提升行动的通知》以及《企业信用监管数据质量标准及评分规则（试行）》要求，对福建省市场监管智慧应用一体化平台归集的近三年的37张企业信用监管业务数据表开展问题数据整改工作，通过核查和修正各类问题数据，确保历史业务数据的全面性、及时性、完整性、规范性、冗余性、关联性及准确性，提升福建省企业信用监管数据质量。</w:t>
      </w:r>
    </w:p>
    <w:p w14:paraId="2757DBAB">
      <w:pPr>
        <w:ind w:firstLine="480"/>
        <w:rPr>
          <w:rFonts w:ascii="Times New Roman" w:hAnsi="Times New Roman"/>
        </w:rPr>
      </w:pPr>
      <w:r>
        <w:rPr>
          <w:rFonts w:hint="eastAsia" w:ascii="Times New Roman" w:hAnsi="Times New Roman"/>
        </w:rPr>
        <w:t>1）问题分析服务</w:t>
      </w:r>
    </w:p>
    <w:p w14:paraId="7092FB52">
      <w:pPr>
        <w:ind w:firstLine="480"/>
        <w:rPr>
          <w:rFonts w:ascii="Times New Roman" w:hAnsi="Times New Roman"/>
        </w:rPr>
      </w:pPr>
      <w:r>
        <w:rPr>
          <w:rFonts w:hint="eastAsia" w:ascii="Times New Roman" w:hAnsi="Times New Roman"/>
        </w:rPr>
        <w:t>针对核查规则运行检查出来的问题数据，对其进行问题数据类型区分。其中业务问题数据需要业务人员配合完成数据整改，技术问题数据需要对系统进行修复或者对问题数据进行技术修正来完成数据处置。</w:t>
      </w:r>
    </w:p>
    <w:p w14:paraId="51C06E93">
      <w:pPr>
        <w:ind w:firstLine="480"/>
        <w:rPr>
          <w:rFonts w:ascii="Times New Roman" w:hAnsi="Times New Roman"/>
        </w:rPr>
      </w:pPr>
      <w:r>
        <w:rPr>
          <w:rFonts w:hint="eastAsia" w:ascii="Times New Roman" w:hAnsi="Times New Roman"/>
        </w:rPr>
        <w:t>2）问题数据修正服务</w:t>
      </w:r>
    </w:p>
    <w:p w14:paraId="6C836271">
      <w:pPr>
        <w:ind w:firstLine="480"/>
        <w:rPr>
          <w:rFonts w:ascii="Times New Roman" w:hAnsi="Times New Roman"/>
        </w:rPr>
      </w:pPr>
      <w:r>
        <w:rPr>
          <w:rFonts w:hint="eastAsia" w:ascii="Times New Roman" w:hAnsi="Times New Roman"/>
        </w:rPr>
        <w:t>针对历史已产生的问题数据，通过数据分析人员对问题数据进行整改，实现数据质量的提升。问题数据整改处理包括批量数据整改、手动数据整改、合规数据更新提交、数据一致性核查、异常情况沟通处理。</w:t>
      </w:r>
    </w:p>
    <w:p w14:paraId="78A1D7E0">
      <w:pPr>
        <w:ind w:firstLine="480"/>
        <w:rPr>
          <w:rFonts w:ascii="Times New Roman" w:hAnsi="Times New Roman"/>
        </w:rPr>
      </w:pPr>
      <w:r>
        <w:rPr>
          <w:rFonts w:hint="eastAsia" w:ascii="Times New Roman" w:hAnsi="Times New Roman"/>
        </w:rPr>
        <w:t>截</w:t>
      </w:r>
      <w:r>
        <w:rPr>
          <w:rFonts w:hint="eastAsia" w:ascii="Times New Roman" w:hAnsi="Times New Roman"/>
          <w:lang w:val="en-US" w:eastAsia="zh-CN"/>
        </w:rPr>
        <w:t>至</w:t>
      </w:r>
      <w:r>
        <w:rPr>
          <w:rFonts w:hint="eastAsia" w:ascii="Times New Roman" w:hAnsi="Times New Roman"/>
        </w:rPr>
        <w:t>目前，基于一期项目的整改成果，二期将对剩余的37张业务数据表进行整改处理。具体数据清单如下：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958"/>
        <w:gridCol w:w="2134"/>
        <w:gridCol w:w="4270"/>
      </w:tblGrid>
      <w:tr w14:paraId="51DC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blHeader/>
        </w:trPr>
        <w:tc>
          <w:tcPr>
            <w:tcW w:w="0" w:type="auto"/>
            <w:noWrap/>
            <w:vAlign w:val="center"/>
          </w:tcPr>
          <w:p w14:paraId="02BA9497">
            <w:pPr>
              <w:adjustRightInd/>
              <w:snapToGrid/>
              <w:spacing w:line="400" w:lineRule="exact"/>
              <w:ind w:firstLine="0" w:firstLineChars="0"/>
              <w:jc w:val="center"/>
              <w:rPr>
                <w:rFonts w:ascii="仿宋" w:hAnsi="仿宋" w:eastAsia="仿宋" w:cs="仿宋"/>
                <w:b/>
                <w:bCs/>
              </w:rPr>
            </w:pPr>
            <w:r>
              <w:rPr>
                <w:rFonts w:hint="eastAsia" w:ascii="仿宋" w:hAnsi="仿宋" w:eastAsia="仿宋" w:cs="仿宋"/>
                <w:b/>
                <w:bCs/>
              </w:rPr>
              <w:t>序号</w:t>
            </w:r>
          </w:p>
        </w:tc>
        <w:tc>
          <w:tcPr>
            <w:tcW w:w="1958" w:type="dxa"/>
            <w:noWrap/>
            <w:vAlign w:val="center"/>
          </w:tcPr>
          <w:p w14:paraId="4AE3072C">
            <w:pPr>
              <w:adjustRightInd/>
              <w:snapToGrid/>
              <w:spacing w:line="400" w:lineRule="exact"/>
              <w:ind w:firstLine="0" w:firstLineChars="0"/>
              <w:jc w:val="center"/>
              <w:rPr>
                <w:rFonts w:ascii="仿宋" w:hAnsi="仿宋" w:eastAsia="仿宋" w:cs="仿宋"/>
                <w:b/>
                <w:bCs/>
              </w:rPr>
            </w:pPr>
            <w:r>
              <w:rPr>
                <w:rFonts w:hint="eastAsia" w:ascii="仿宋" w:hAnsi="仿宋" w:eastAsia="仿宋" w:cs="仿宋"/>
                <w:b/>
                <w:bCs/>
              </w:rPr>
              <w:t>一级分类</w:t>
            </w:r>
          </w:p>
        </w:tc>
        <w:tc>
          <w:tcPr>
            <w:tcW w:w="2134" w:type="dxa"/>
            <w:vAlign w:val="center"/>
          </w:tcPr>
          <w:p w14:paraId="0297042C">
            <w:pPr>
              <w:adjustRightInd/>
              <w:snapToGrid/>
              <w:spacing w:line="400" w:lineRule="exact"/>
              <w:ind w:firstLine="0" w:firstLineChars="0"/>
              <w:jc w:val="center"/>
              <w:rPr>
                <w:rFonts w:ascii="仿宋" w:hAnsi="仿宋" w:eastAsia="仿宋" w:cs="仿宋"/>
                <w:b/>
                <w:bCs/>
              </w:rPr>
            </w:pPr>
            <w:r>
              <w:rPr>
                <w:rFonts w:hint="eastAsia" w:ascii="仿宋" w:hAnsi="仿宋" w:eastAsia="仿宋" w:cs="仿宋"/>
                <w:b/>
                <w:bCs/>
              </w:rPr>
              <w:t>二级分类</w:t>
            </w:r>
          </w:p>
        </w:tc>
        <w:tc>
          <w:tcPr>
            <w:tcW w:w="4270" w:type="dxa"/>
            <w:noWrap/>
            <w:vAlign w:val="center"/>
          </w:tcPr>
          <w:p w14:paraId="7687C6A6">
            <w:pPr>
              <w:adjustRightInd/>
              <w:snapToGrid/>
              <w:spacing w:line="400" w:lineRule="exact"/>
              <w:ind w:firstLine="0" w:firstLineChars="0"/>
              <w:jc w:val="center"/>
              <w:rPr>
                <w:rFonts w:ascii="仿宋" w:hAnsi="仿宋" w:eastAsia="仿宋" w:cs="仿宋"/>
                <w:b/>
                <w:bCs/>
              </w:rPr>
            </w:pPr>
            <w:r>
              <w:rPr>
                <w:rFonts w:hint="eastAsia" w:ascii="仿宋" w:hAnsi="仿宋" w:eastAsia="仿宋" w:cs="仿宋"/>
                <w:b/>
                <w:bCs/>
              </w:rPr>
              <w:t>三级分类</w:t>
            </w:r>
          </w:p>
        </w:tc>
      </w:tr>
      <w:tr w14:paraId="2C3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035CB1B">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w:t>
            </w:r>
          </w:p>
        </w:tc>
        <w:tc>
          <w:tcPr>
            <w:tcW w:w="1958" w:type="dxa"/>
            <w:vMerge w:val="restart"/>
            <w:vAlign w:val="center"/>
          </w:tcPr>
          <w:p w14:paraId="4ABD948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市场监管部门在依法履职中产生的企业信息</w:t>
            </w:r>
          </w:p>
        </w:tc>
        <w:tc>
          <w:tcPr>
            <w:tcW w:w="2134" w:type="dxa"/>
            <w:vMerge w:val="restart"/>
            <w:vAlign w:val="center"/>
          </w:tcPr>
          <w:p w14:paraId="65F841C8">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企业登记注册备案（含个体、农专）</w:t>
            </w:r>
          </w:p>
        </w:tc>
        <w:tc>
          <w:tcPr>
            <w:tcW w:w="4270" w:type="dxa"/>
            <w:vAlign w:val="center"/>
          </w:tcPr>
          <w:p w14:paraId="000072B9">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分支机构备案信息</w:t>
            </w:r>
          </w:p>
        </w:tc>
      </w:tr>
      <w:tr w14:paraId="32C6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5911A3E3">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w:t>
            </w:r>
          </w:p>
        </w:tc>
        <w:tc>
          <w:tcPr>
            <w:tcW w:w="1958" w:type="dxa"/>
            <w:vMerge w:val="continue"/>
            <w:vAlign w:val="center"/>
          </w:tcPr>
          <w:p w14:paraId="14C92797">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04008375">
            <w:pPr>
              <w:adjustRightInd/>
              <w:snapToGrid/>
              <w:spacing w:line="400" w:lineRule="exact"/>
              <w:ind w:firstLine="0" w:firstLineChars="0"/>
              <w:jc w:val="center"/>
              <w:rPr>
                <w:rFonts w:ascii="仿宋" w:hAnsi="仿宋" w:eastAsia="仿宋" w:cs="仿宋"/>
              </w:rPr>
            </w:pPr>
          </w:p>
        </w:tc>
        <w:tc>
          <w:tcPr>
            <w:tcW w:w="4270" w:type="dxa"/>
            <w:vAlign w:val="center"/>
          </w:tcPr>
          <w:p w14:paraId="22BFCA71">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变更备案信息</w:t>
            </w:r>
          </w:p>
        </w:tc>
      </w:tr>
      <w:tr w14:paraId="19B0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721E5B69">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w:t>
            </w:r>
          </w:p>
        </w:tc>
        <w:tc>
          <w:tcPr>
            <w:tcW w:w="1958" w:type="dxa"/>
            <w:vMerge w:val="continue"/>
            <w:vAlign w:val="center"/>
          </w:tcPr>
          <w:p w14:paraId="11A5BB64">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1E12A2B4">
            <w:pPr>
              <w:adjustRightInd/>
              <w:snapToGrid/>
              <w:spacing w:line="400" w:lineRule="exact"/>
              <w:ind w:firstLine="0" w:firstLineChars="0"/>
              <w:jc w:val="center"/>
              <w:rPr>
                <w:rFonts w:ascii="仿宋" w:hAnsi="仿宋" w:eastAsia="仿宋" w:cs="仿宋"/>
              </w:rPr>
            </w:pPr>
          </w:p>
        </w:tc>
        <w:tc>
          <w:tcPr>
            <w:tcW w:w="4270" w:type="dxa"/>
            <w:vAlign w:val="center"/>
          </w:tcPr>
          <w:p w14:paraId="4BF88FC8">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历史名称信息</w:t>
            </w:r>
          </w:p>
        </w:tc>
      </w:tr>
      <w:tr w14:paraId="34A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FE5902B">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4</w:t>
            </w:r>
          </w:p>
        </w:tc>
        <w:tc>
          <w:tcPr>
            <w:tcW w:w="1958" w:type="dxa"/>
            <w:vMerge w:val="continue"/>
            <w:vAlign w:val="center"/>
          </w:tcPr>
          <w:p w14:paraId="14D89611">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5401D8D9">
            <w:pPr>
              <w:adjustRightInd/>
              <w:snapToGrid/>
              <w:spacing w:line="400" w:lineRule="exact"/>
              <w:ind w:firstLine="0" w:firstLineChars="0"/>
              <w:jc w:val="center"/>
              <w:rPr>
                <w:rFonts w:ascii="仿宋" w:hAnsi="仿宋" w:eastAsia="仿宋" w:cs="仿宋"/>
              </w:rPr>
            </w:pPr>
          </w:p>
        </w:tc>
        <w:tc>
          <w:tcPr>
            <w:tcW w:w="4270" w:type="dxa"/>
            <w:vAlign w:val="center"/>
          </w:tcPr>
          <w:p w14:paraId="65E8F264">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分期实缴信息</w:t>
            </w:r>
          </w:p>
        </w:tc>
      </w:tr>
      <w:tr w14:paraId="4958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83B2178">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5</w:t>
            </w:r>
          </w:p>
        </w:tc>
        <w:tc>
          <w:tcPr>
            <w:tcW w:w="1958" w:type="dxa"/>
            <w:vMerge w:val="continue"/>
            <w:vAlign w:val="center"/>
          </w:tcPr>
          <w:p w14:paraId="7F7FB7FB">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61C20BA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市场监管部门-行政处罚与行政许可</w:t>
            </w:r>
          </w:p>
        </w:tc>
        <w:tc>
          <w:tcPr>
            <w:tcW w:w="4270" w:type="dxa"/>
            <w:vAlign w:val="center"/>
          </w:tcPr>
          <w:p w14:paraId="6C45B5B2">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市场监管_行政处罚决定书信息_2019</w:t>
            </w:r>
          </w:p>
        </w:tc>
      </w:tr>
      <w:tr w14:paraId="738E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5D3734F4">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6</w:t>
            </w:r>
          </w:p>
        </w:tc>
        <w:tc>
          <w:tcPr>
            <w:tcW w:w="1958" w:type="dxa"/>
            <w:vMerge w:val="continue"/>
            <w:vAlign w:val="center"/>
          </w:tcPr>
          <w:p w14:paraId="29F757FF">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10F7A5EF">
            <w:pPr>
              <w:adjustRightInd/>
              <w:snapToGrid/>
              <w:spacing w:line="400" w:lineRule="exact"/>
              <w:ind w:firstLine="0" w:firstLineChars="0"/>
              <w:jc w:val="center"/>
              <w:rPr>
                <w:rFonts w:ascii="仿宋" w:hAnsi="仿宋" w:eastAsia="仿宋" w:cs="仿宋"/>
              </w:rPr>
            </w:pPr>
          </w:p>
        </w:tc>
        <w:tc>
          <w:tcPr>
            <w:tcW w:w="4270" w:type="dxa"/>
            <w:vAlign w:val="center"/>
          </w:tcPr>
          <w:p w14:paraId="07A58291">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市场监管_行政处罚变更_2019</w:t>
            </w:r>
          </w:p>
        </w:tc>
      </w:tr>
      <w:tr w14:paraId="473C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4279B5F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7</w:t>
            </w:r>
          </w:p>
        </w:tc>
        <w:tc>
          <w:tcPr>
            <w:tcW w:w="1958" w:type="dxa"/>
            <w:vMerge w:val="continue"/>
            <w:vAlign w:val="center"/>
          </w:tcPr>
          <w:p w14:paraId="52472225">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0DF5B59E">
            <w:pPr>
              <w:adjustRightInd/>
              <w:snapToGrid/>
              <w:spacing w:line="400" w:lineRule="exact"/>
              <w:ind w:firstLine="0" w:firstLineChars="0"/>
              <w:jc w:val="center"/>
              <w:rPr>
                <w:rFonts w:ascii="仿宋" w:hAnsi="仿宋" w:eastAsia="仿宋" w:cs="仿宋"/>
              </w:rPr>
            </w:pPr>
          </w:p>
        </w:tc>
        <w:tc>
          <w:tcPr>
            <w:tcW w:w="4270" w:type="dxa"/>
            <w:vAlign w:val="center"/>
          </w:tcPr>
          <w:p w14:paraId="26452F83">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市场监管_行政许可变更信息_2019</w:t>
            </w:r>
          </w:p>
        </w:tc>
      </w:tr>
      <w:tr w14:paraId="0AC6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784DCDD9">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8</w:t>
            </w:r>
          </w:p>
        </w:tc>
        <w:tc>
          <w:tcPr>
            <w:tcW w:w="1958" w:type="dxa"/>
            <w:vMerge w:val="continue"/>
            <w:vAlign w:val="center"/>
          </w:tcPr>
          <w:p w14:paraId="5BDEE9E1">
            <w:pPr>
              <w:adjustRightInd/>
              <w:snapToGrid/>
              <w:spacing w:line="400" w:lineRule="exact"/>
              <w:ind w:firstLine="0" w:firstLineChars="0"/>
              <w:jc w:val="center"/>
              <w:rPr>
                <w:rFonts w:ascii="仿宋" w:hAnsi="仿宋" w:eastAsia="仿宋" w:cs="仿宋"/>
              </w:rPr>
            </w:pPr>
          </w:p>
        </w:tc>
        <w:tc>
          <w:tcPr>
            <w:tcW w:w="2134" w:type="dxa"/>
            <w:vAlign w:val="center"/>
          </w:tcPr>
          <w:p w14:paraId="11BF33E2">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信用修复</w:t>
            </w:r>
          </w:p>
        </w:tc>
        <w:tc>
          <w:tcPr>
            <w:tcW w:w="4270" w:type="dxa"/>
            <w:vAlign w:val="center"/>
          </w:tcPr>
          <w:p w14:paraId="6F362217">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列入决定书信息</w:t>
            </w:r>
          </w:p>
        </w:tc>
      </w:tr>
      <w:tr w14:paraId="46E3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06CDA54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9</w:t>
            </w:r>
          </w:p>
        </w:tc>
        <w:tc>
          <w:tcPr>
            <w:tcW w:w="1958" w:type="dxa"/>
            <w:vMerge w:val="continue"/>
            <w:vAlign w:val="center"/>
          </w:tcPr>
          <w:p w14:paraId="1A4A001E">
            <w:pPr>
              <w:adjustRightInd/>
              <w:snapToGrid/>
              <w:spacing w:line="400" w:lineRule="exact"/>
              <w:ind w:firstLine="0" w:firstLineChars="0"/>
              <w:jc w:val="center"/>
              <w:rPr>
                <w:rFonts w:ascii="仿宋" w:hAnsi="仿宋" w:eastAsia="仿宋" w:cs="仿宋"/>
              </w:rPr>
            </w:pPr>
          </w:p>
        </w:tc>
        <w:tc>
          <w:tcPr>
            <w:tcW w:w="2134" w:type="dxa"/>
            <w:vAlign w:val="center"/>
          </w:tcPr>
          <w:p w14:paraId="23F32D48">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股权出质登记</w:t>
            </w:r>
          </w:p>
        </w:tc>
        <w:tc>
          <w:tcPr>
            <w:tcW w:w="4270" w:type="dxa"/>
            <w:vAlign w:val="center"/>
          </w:tcPr>
          <w:p w14:paraId="431CE757">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股权出质变更信息</w:t>
            </w:r>
          </w:p>
        </w:tc>
      </w:tr>
      <w:tr w14:paraId="7945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E22E9B0">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10</w:t>
            </w:r>
          </w:p>
        </w:tc>
        <w:tc>
          <w:tcPr>
            <w:tcW w:w="1958" w:type="dxa"/>
            <w:vMerge w:val="continue"/>
            <w:vAlign w:val="center"/>
          </w:tcPr>
          <w:p w14:paraId="0C6BD9FC">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2096523E">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重点领域</w:t>
            </w:r>
          </w:p>
        </w:tc>
        <w:tc>
          <w:tcPr>
            <w:tcW w:w="4270" w:type="dxa"/>
            <w:vAlign w:val="center"/>
          </w:tcPr>
          <w:p w14:paraId="41DDE91E">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信用承诺信息</w:t>
            </w:r>
          </w:p>
        </w:tc>
      </w:tr>
      <w:tr w14:paraId="3A21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6731688B">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11</w:t>
            </w:r>
          </w:p>
        </w:tc>
        <w:tc>
          <w:tcPr>
            <w:tcW w:w="1958" w:type="dxa"/>
            <w:vMerge w:val="continue"/>
            <w:vAlign w:val="center"/>
          </w:tcPr>
          <w:p w14:paraId="6D849D4C">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13934FAB">
            <w:pPr>
              <w:adjustRightInd/>
              <w:snapToGrid/>
              <w:spacing w:line="400" w:lineRule="exact"/>
              <w:ind w:firstLine="0" w:firstLineChars="0"/>
              <w:jc w:val="center"/>
              <w:rPr>
                <w:rFonts w:ascii="仿宋" w:hAnsi="仿宋" w:eastAsia="仿宋" w:cs="仿宋"/>
              </w:rPr>
            </w:pPr>
          </w:p>
        </w:tc>
        <w:tc>
          <w:tcPr>
            <w:tcW w:w="4270" w:type="dxa"/>
            <w:vAlign w:val="center"/>
          </w:tcPr>
          <w:p w14:paraId="15640BB2">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告知承诺不实信息</w:t>
            </w:r>
          </w:p>
        </w:tc>
      </w:tr>
      <w:tr w14:paraId="12F4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E17D092">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12</w:t>
            </w:r>
          </w:p>
        </w:tc>
        <w:tc>
          <w:tcPr>
            <w:tcW w:w="1958" w:type="dxa"/>
            <w:vMerge w:val="continue"/>
            <w:vAlign w:val="center"/>
          </w:tcPr>
          <w:p w14:paraId="62A93260">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0FFE75B4">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公示公告</w:t>
            </w:r>
          </w:p>
        </w:tc>
        <w:tc>
          <w:tcPr>
            <w:tcW w:w="4270" w:type="dxa"/>
            <w:vAlign w:val="center"/>
          </w:tcPr>
          <w:p w14:paraId="2FF6324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公示公告信息</w:t>
            </w:r>
          </w:p>
        </w:tc>
      </w:tr>
      <w:tr w14:paraId="7A40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36D7DDBB">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13</w:t>
            </w:r>
          </w:p>
        </w:tc>
        <w:tc>
          <w:tcPr>
            <w:tcW w:w="1958" w:type="dxa"/>
            <w:vMerge w:val="continue"/>
            <w:vAlign w:val="center"/>
          </w:tcPr>
          <w:p w14:paraId="12620CE7">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5695B5B6">
            <w:pPr>
              <w:adjustRightInd/>
              <w:snapToGrid/>
              <w:spacing w:line="400" w:lineRule="exact"/>
              <w:ind w:firstLine="0" w:firstLineChars="0"/>
              <w:jc w:val="center"/>
              <w:rPr>
                <w:rFonts w:ascii="仿宋" w:hAnsi="仿宋" w:eastAsia="仿宋" w:cs="仿宋"/>
              </w:rPr>
            </w:pPr>
          </w:p>
        </w:tc>
        <w:tc>
          <w:tcPr>
            <w:tcW w:w="4270" w:type="dxa"/>
            <w:vAlign w:val="center"/>
          </w:tcPr>
          <w:p w14:paraId="4868DF02">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抽查检查公告详情信息</w:t>
            </w:r>
          </w:p>
        </w:tc>
      </w:tr>
      <w:tr w14:paraId="1351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0AE64D1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14</w:t>
            </w:r>
          </w:p>
        </w:tc>
        <w:tc>
          <w:tcPr>
            <w:tcW w:w="1958" w:type="dxa"/>
            <w:vMerge w:val="continue"/>
            <w:vAlign w:val="center"/>
          </w:tcPr>
          <w:p w14:paraId="4027E330">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554389FE">
            <w:pPr>
              <w:adjustRightInd/>
              <w:snapToGrid/>
              <w:spacing w:line="400" w:lineRule="exact"/>
              <w:ind w:firstLine="0" w:firstLineChars="0"/>
              <w:jc w:val="center"/>
              <w:rPr>
                <w:rFonts w:ascii="仿宋" w:hAnsi="仿宋" w:eastAsia="仿宋" w:cs="仿宋"/>
              </w:rPr>
            </w:pPr>
          </w:p>
        </w:tc>
        <w:tc>
          <w:tcPr>
            <w:tcW w:w="4270" w:type="dxa"/>
            <w:vAlign w:val="center"/>
          </w:tcPr>
          <w:p w14:paraId="1B11C226">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经营异常公告批量名单信息</w:t>
            </w:r>
          </w:p>
        </w:tc>
      </w:tr>
      <w:tr w14:paraId="637C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467F83DF">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15</w:t>
            </w:r>
          </w:p>
        </w:tc>
        <w:tc>
          <w:tcPr>
            <w:tcW w:w="1958" w:type="dxa"/>
            <w:vMerge w:val="continue"/>
            <w:vAlign w:val="center"/>
          </w:tcPr>
          <w:p w14:paraId="24F2E2AC">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14EEA01A">
            <w:pPr>
              <w:adjustRightInd/>
              <w:snapToGrid/>
              <w:spacing w:line="400" w:lineRule="exact"/>
              <w:ind w:firstLine="0" w:firstLineChars="0"/>
              <w:jc w:val="center"/>
              <w:rPr>
                <w:rFonts w:ascii="仿宋" w:hAnsi="仿宋" w:eastAsia="仿宋" w:cs="仿宋"/>
              </w:rPr>
            </w:pPr>
          </w:p>
        </w:tc>
        <w:tc>
          <w:tcPr>
            <w:tcW w:w="4270" w:type="dxa"/>
            <w:vAlign w:val="center"/>
          </w:tcPr>
          <w:p w14:paraId="2180C117">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严重违法公告批量名单信息</w:t>
            </w:r>
          </w:p>
        </w:tc>
      </w:tr>
      <w:tr w14:paraId="121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347B1041">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16</w:t>
            </w:r>
          </w:p>
        </w:tc>
        <w:tc>
          <w:tcPr>
            <w:tcW w:w="1958" w:type="dxa"/>
            <w:vMerge w:val="continue"/>
            <w:vAlign w:val="center"/>
          </w:tcPr>
          <w:p w14:paraId="702B5E4F">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4ACDEE97">
            <w:pPr>
              <w:adjustRightInd/>
              <w:snapToGrid/>
              <w:spacing w:line="400" w:lineRule="exact"/>
              <w:ind w:firstLine="0" w:firstLineChars="0"/>
              <w:jc w:val="center"/>
              <w:rPr>
                <w:rFonts w:ascii="仿宋" w:hAnsi="仿宋" w:eastAsia="仿宋" w:cs="仿宋"/>
              </w:rPr>
            </w:pPr>
          </w:p>
        </w:tc>
        <w:tc>
          <w:tcPr>
            <w:tcW w:w="4270" w:type="dxa"/>
            <w:vAlign w:val="center"/>
          </w:tcPr>
          <w:p w14:paraId="5946F44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无证无照公告信息</w:t>
            </w:r>
          </w:p>
        </w:tc>
      </w:tr>
      <w:tr w14:paraId="7FAF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0A3CCD63">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17</w:t>
            </w:r>
          </w:p>
        </w:tc>
        <w:tc>
          <w:tcPr>
            <w:tcW w:w="1958" w:type="dxa"/>
            <w:vMerge w:val="restart"/>
            <w:vAlign w:val="center"/>
          </w:tcPr>
          <w:p w14:paraId="59A008CF">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企业通过公示系统依法填报、公示的信息</w:t>
            </w:r>
          </w:p>
        </w:tc>
        <w:tc>
          <w:tcPr>
            <w:tcW w:w="2134" w:type="dxa"/>
            <w:vAlign w:val="center"/>
          </w:tcPr>
          <w:p w14:paraId="6B7ECFB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年报</w:t>
            </w:r>
          </w:p>
        </w:tc>
        <w:tc>
          <w:tcPr>
            <w:tcW w:w="4270" w:type="dxa"/>
            <w:vAlign w:val="center"/>
          </w:tcPr>
          <w:p w14:paraId="7AF40D4D">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企业年报网站或网店信息</w:t>
            </w:r>
          </w:p>
        </w:tc>
      </w:tr>
      <w:tr w14:paraId="75DD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7EFF0621">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18</w:t>
            </w:r>
          </w:p>
        </w:tc>
        <w:tc>
          <w:tcPr>
            <w:tcW w:w="1958" w:type="dxa"/>
            <w:vMerge w:val="continue"/>
            <w:vAlign w:val="center"/>
          </w:tcPr>
          <w:p w14:paraId="189B1E65">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11E9CCA8">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企业公示即时信息</w:t>
            </w:r>
          </w:p>
        </w:tc>
        <w:tc>
          <w:tcPr>
            <w:tcW w:w="4270" w:type="dxa"/>
            <w:vAlign w:val="center"/>
          </w:tcPr>
          <w:p w14:paraId="515CF2D7">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企业公示_许可信息</w:t>
            </w:r>
          </w:p>
        </w:tc>
      </w:tr>
      <w:tr w14:paraId="6D26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3BC56D0D">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19</w:t>
            </w:r>
          </w:p>
        </w:tc>
        <w:tc>
          <w:tcPr>
            <w:tcW w:w="1958" w:type="dxa"/>
            <w:vMerge w:val="continue"/>
            <w:vAlign w:val="center"/>
          </w:tcPr>
          <w:p w14:paraId="1FF54FFC">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210A3C3B">
            <w:pPr>
              <w:adjustRightInd/>
              <w:snapToGrid/>
              <w:spacing w:line="400" w:lineRule="exact"/>
              <w:ind w:firstLine="0" w:firstLineChars="0"/>
              <w:jc w:val="center"/>
              <w:rPr>
                <w:rFonts w:ascii="仿宋" w:hAnsi="仿宋" w:eastAsia="仿宋" w:cs="仿宋"/>
              </w:rPr>
            </w:pPr>
          </w:p>
        </w:tc>
        <w:tc>
          <w:tcPr>
            <w:tcW w:w="4270" w:type="dxa"/>
            <w:vAlign w:val="center"/>
          </w:tcPr>
          <w:p w14:paraId="20B57A6D">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企业公示_行政处罚信息</w:t>
            </w:r>
          </w:p>
        </w:tc>
      </w:tr>
      <w:tr w14:paraId="5D31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7896DEFD">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20</w:t>
            </w:r>
          </w:p>
        </w:tc>
        <w:tc>
          <w:tcPr>
            <w:tcW w:w="1958" w:type="dxa"/>
            <w:vMerge w:val="continue"/>
            <w:vAlign w:val="center"/>
          </w:tcPr>
          <w:p w14:paraId="4EF57656">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39C9A6C5">
            <w:pPr>
              <w:adjustRightInd/>
              <w:snapToGrid/>
              <w:spacing w:line="400" w:lineRule="exact"/>
              <w:ind w:firstLine="0" w:firstLineChars="0"/>
              <w:jc w:val="center"/>
              <w:rPr>
                <w:rFonts w:ascii="仿宋" w:hAnsi="仿宋" w:eastAsia="仿宋" w:cs="仿宋"/>
              </w:rPr>
            </w:pPr>
          </w:p>
        </w:tc>
        <w:tc>
          <w:tcPr>
            <w:tcW w:w="4270" w:type="dxa"/>
            <w:vAlign w:val="center"/>
          </w:tcPr>
          <w:p w14:paraId="080FB221">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企业公示_许可变更信息</w:t>
            </w:r>
          </w:p>
        </w:tc>
      </w:tr>
      <w:tr w14:paraId="7362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49158AA4">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21</w:t>
            </w:r>
          </w:p>
        </w:tc>
        <w:tc>
          <w:tcPr>
            <w:tcW w:w="1958" w:type="dxa"/>
            <w:vMerge w:val="continue"/>
            <w:vAlign w:val="center"/>
          </w:tcPr>
          <w:p w14:paraId="5A749B68">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467AB8DA">
            <w:pPr>
              <w:adjustRightInd/>
              <w:snapToGrid/>
              <w:spacing w:line="400" w:lineRule="exact"/>
              <w:ind w:firstLine="0" w:firstLineChars="0"/>
              <w:jc w:val="center"/>
              <w:rPr>
                <w:rFonts w:ascii="仿宋" w:hAnsi="仿宋" w:eastAsia="仿宋" w:cs="仿宋"/>
              </w:rPr>
            </w:pPr>
          </w:p>
        </w:tc>
        <w:tc>
          <w:tcPr>
            <w:tcW w:w="4270" w:type="dxa"/>
            <w:vAlign w:val="center"/>
          </w:tcPr>
          <w:p w14:paraId="6D125564">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企业公示_知识产权出质登记</w:t>
            </w:r>
          </w:p>
        </w:tc>
      </w:tr>
      <w:tr w14:paraId="38EA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E980D18">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22</w:t>
            </w:r>
          </w:p>
        </w:tc>
        <w:tc>
          <w:tcPr>
            <w:tcW w:w="1958" w:type="dxa"/>
            <w:vMerge w:val="continue"/>
            <w:vAlign w:val="center"/>
          </w:tcPr>
          <w:p w14:paraId="1A3B202C">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694DF247">
            <w:pPr>
              <w:adjustRightInd/>
              <w:snapToGrid/>
              <w:spacing w:line="400" w:lineRule="exact"/>
              <w:ind w:firstLine="0" w:firstLineChars="0"/>
              <w:jc w:val="center"/>
              <w:rPr>
                <w:rFonts w:ascii="仿宋" w:hAnsi="仿宋" w:eastAsia="仿宋" w:cs="仿宋"/>
              </w:rPr>
            </w:pPr>
          </w:p>
        </w:tc>
        <w:tc>
          <w:tcPr>
            <w:tcW w:w="4270" w:type="dxa"/>
            <w:vAlign w:val="center"/>
          </w:tcPr>
          <w:p w14:paraId="6E5473C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企业公示_知识产权出质变更</w:t>
            </w:r>
          </w:p>
        </w:tc>
      </w:tr>
      <w:tr w14:paraId="5890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0B09875C">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23</w:t>
            </w:r>
          </w:p>
        </w:tc>
        <w:tc>
          <w:tcPr>
            <w:tcW w:w="1958" w:type="dxa"/>
            <w:vMerge w:val="continue"/>
            <w:vAlign w:val="center"/>
          </w:tcPr>
          <w:p w14:paraId="079A929E">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4FF761BB">
            <w:pPr>
              <w:adjustRightInd/>
              <w:snapToGrid/>
              <w:spacing w:line="400" w:lineRule="exact"/>
              <w:ind w:firstLine="0" w:firstLineChars="0"/>
              <w:jc w:val="center"/>
              <w:rPr>
                <w:rFonts w:ascii="仿宋" w:hAnsi="仿宋" w:eastAsia="仿宋" w:cs="仿宋"/>
              </w:rPr>
            </w:pPr>
          </w:p>
        </w:tc>
        <w:tc>
          <w:tcPr>
            <w:tcW w:w="4270" w:type="dxa"/>
            <w:vAlign w:val="center"/>
          </w:tcPr>
          <w:p w14:paraId="606D34D3">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企业公示_行政处罚变更</w:t>
            </w:r>
          </w:p>
        </w:tc>
      </w:tr>
      <w:tr w14:paraId="4D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35C3193D">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24</w:t>
            </w:r>
          </w:p>
        </w:tc>
        <w:tc>
          <w:tcPr>
            <w:tcW w:w="1958" w:type="dxa"/>
            <w:vMerge w:val="continue"/>
            <w:vAlign w:val="center"/>
          </w:tcPr>
          <w:p w14:paraId="18AC0C8F">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1B6A83CC">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执行标准自我声明信息</w:t>
            </w:r>
          </w:p>
        </w:tc>
        <w:tc>
          <w:tcPr>
            <w:tcW w:w="4270" w:type="dxa"/>
            <w:vAlign w:val="center"/>
          </w:tcPr>
          <w:p w14:paraId="604EE546">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执行标准自我声明信息</w:t>
            </w:r>
          </w:p>
        </w:tc>
      </w:tr>
      <w:tr w14:paraId="0E15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66C77F7">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25</w:t>
            </w:r>
          </w:p>
        </w:tc>
        <w:tc>
          <w:tcPr>
            <w:tcW w:w="1958" w:type="dxa"/>
            <w:vMerge w:val="continue"/>
            <w:vAlign w:val="center"/>
          </w:tcPr>
          <w:p w14:paraId="2A43120D">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6A1855F6">
            <w:pPr>
              <w:adjustRightInd/>
              <w:snapToGrid/>
              <w:spacing w:line="400" w:lineRule="exact"/>
              <w:ind w:firstLine="0" w:firstLineChars="0"/>
              <w:jc w:val="center"/>
              <w:rPr>
                <w:rFonts w:ascii="仿宋" w:hAnsi="仿宋" w:eastAsia="仿宋" w:cs="仿宋"/>
              </w:rPr>
            </w:pPr>
          </w:p>
        </w:tc>
        <w:tc>
          <w:tcPr>
            <w:tcW w:w="4270" w:type="dxa"/>
            <w:vAlign w:val="center"/>
          </w:tcPr>
          <w:p w14:paraId="42A6A50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执行标准自我声明修改信息</w:t>
            </w:r>
          </w:p>
        </w:tc>
      </w:tr>
      <w:tr w14:paraId="102E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6A94EAC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26</w:t>
            </w:r>
          </w:p>
        </w:tc>
        <w:tc>
          <w:tcPr>
            <w:tcW w:w="1958" w:type="dxa"/>
            <w:vMerge w:val="restart"/>
            <w:vAlign w:val="center"/>
          </w:tcPr>
          <w:p w14:paraId="6E002F4E">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公示系统归集、公示的其他部门产生的企业信息</w:t>
            </w:r>
          </w:p>
        </w:tc>
        <w:tc>
          <w:tcPr>
            <w:tcW w:w="2134" w:type="dxa"/>
            <w:vMerge w:val="restart"/>
            <w:vAlign w:val="center"/>
          </w:tcPr>
          <w:p w14:paraId="1823C112">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双随机</w:t>
            </w:r>
          </w:p>
        </w:tc>
        <w:tc>
          <w:tcPr>
            <w:tcW w:w="4270" w:type="dxa"/>
            <w:vAlign w:val="center"/>
          </w:tcPr>
          <w:p w14:paraId="2EB27B39">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抽查计划及任务信息</w:t>
            </w:r>
          </w:p>
        </w:tc>
      </w:tr>
      <w:tr w14:paraId="065B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52185A62">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27</w:t>
            </w:r>
          </w:p>
        </w:tc>
        <w:tc>
          <w:tcPr>
            <w:tcW w:w="1958" w:type="dxa"/>
            <w:vMerge w:val="continue"/>
            <w:vAlign w:val="center"/>
          </w:tcPr>
          <w:p w14:paraId="0B505598">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23F06297">
            <w:pPr>
              <w:adjustRightInd/>
              <w:snapToGrid/>
              <w:spacing w:line="400" w:lineRule="exact"/>
              <w:ind w:firstLine="0" w:firstLineChars="0"/>
              <w:jc w:val="center"/>
              <w:rPr>
                <w:rFonts w:ascii="仿宋" w:hAnsi="仿宋" w:eastAsia="仿宋" w:cs="仿宋"/>
              </w:rPr>
            </w:pPr>
          </w:p>
        </w:tc>
        <w:tc>
          <w:tcPr>
            <w:tcW w:w="4270" w:type="dxa"/>
            <w:vAlign w:val="center"/>
          </w:tcPr>
          <w:p w14:paraId="58030170">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检查工作信息</w:t>
            </w:r>
          </w:p>
        </w:tc>
      </w:tr>
      <w:tr w14:paraId="3BDC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6CA4E8BB">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28</w:t>
            </w:r>
          </w:p>
        </w:tc>
        <w:tc>
          <w:tcPr>
            <w:tcW w:w="1958" w:type="dxa"/>
            <w:vMerge w:val="continue"/>
            <w:vAlign w:val="center"/>
          </w:tcPr>
          <w:p w14:paraId="0D812EF8">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2FF39C43">
            <w:pPr>
              <w:adjustRightInd/>
              <w:snapToGrid/>
              <w:spacing w:line="400" w:lineRule="exact"/>
              <w:ind w:firstLine="0" w:firstLineChars="0"/>
              <w:jc w:val="center"/>
              <w:rPr>
                <w:rFonts w:ascii="仿宋" w:hAnsi="仿宋" w:eastAsia="仿宋" w:cs="仿宋"/>
              </w:rPr>
            </w:pPr>
          </w:p>
        </w:tc>
        <w:tc>
          <w:tcPr>
            <w:tcW w:w="4270" w:type="dxa"/>
            <w:vAlign w:val="center"/>
          </w:tcPr>
          <w:p w14:paraId="2FBE8AB6">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检查工作信息名录</w:t>
            </w:r>
          </w:p>
        </w:tc>
      </w:tr>
      <w:tr w14:paraId="218F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092384F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29</w:t>
            </w:r>
          </w:p>
        </w:tc>
        <w:tc>
          <w:tcPr>
            <w:tcW w:w="1958" w:type="dxa"/>
            <w:vMerge w:val="continue"/>
            <w:vAlign w:val="center"/>
          </w:tcPr>
          <w:p w14:paraId="32B11DB3">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4FCD1C51">
            <w:pPr>
              <w:adjustRightInd/>
              <w:snapToGrid/>
              <w:spacing w:line="400" w:lineRule="exact"/>
              <w:ind w:firstLine="0" w:firstLineChars="0"/>
              <w:jc w:val="center"/>
              <w:rPr>
                <w:rFonts w:ascii="仿宋" w:hAnsi="仿宋" w:eastAsia="仿宋" w:cs="仿宋"/>
              </w:rPr>
            </w:pPr>
          </w:p>
        </w:tc>
        <w:tc>
          <w:tcPr>
            <w:tcW w:w="4270" w:type="dxa"/>
            <w:vAlign w:val="center"/>
          </w:tcPr>
          <w:p w14:paraId="0AC4236D">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抽查结果信息</w:t>
            </w:r>
          </w:p>
        </w:tc>
      </w:tr>
      <w:tr w14:paraId="3A86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2097E3CC">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30</w:t>
            </w:r>
          </w:p>
        </w:tc>
        <w:tc>
          <w:tcPr>
            <w:tcW w:w="1958" w:type="dxa"/>
            <w:vMerge w:val="continue"/>
            <w:vAlign w:val="center"/>
          </w:tcPr>
          <w:p w14:paraId="7E0ABA1C">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7C92BC6E">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其他部门-行政处罚与行政许可</w:t>
            </w:r>
          </w:p>
        </w:tc>
        <w:tc>
          <w:tcPr>
            <w:tcW w:w="4270" w:type="dxa"/>
            <w:vAlign w:val="center"/>
          </w:tcPr>
          <w:p w14:paraId="2453B65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其他部门_行政处罚基本信息_2019</w:t>
            </w:r>
          </w:p>
        </w:tc>
      </w:tr>
      <w:tr w14:paraId="1B91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5A4625BE">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31</w:t>
            </w:r>
          </w:p>
        </w:tc>
        <w:tc>
          <w:tcPr>
            <w:tcW w:w="1958" w:type="dxa"/>
            <w:vMerge w:val="continue"/>
            <w:vAlign w:val="center"/>
          </w:tcPr>
          <w:p w14:paraId="5022CE0D">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6247B55E">
            <w:pPr>
              <w:adjustRightInd/>
              <w:snapToGrid/>
              <w:spacing w:line="400" w:lineRule="exact"/>
              <w:ind w:firstLine="0" w:firstLineChars="0"/>
              <w:jc w:val="center"/>
              <w:rPr>
                <w:rFonts w:ascii="仿宋" w:hAnsi="仿宋" w:eastAsia="仿宋" w:cs="仿宋"/>
              </w:rPr>
            </w:pPr>
          </w:p>
        </w:tc>
        <w:tc>
          <w:tcPr>
            <w:tcW w:w="4270" w:type="dxa"/>
            <w:vAlign w:val="center"/>
          </w:tcPr>
          <w:p w14:paraId="7405BF8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其他部门_行政许可基本信息_2019</w:t>
            </w:r>
          </w:p>
        </w:tc>
      </w:tr>
      <w:tr w14:paraId="7559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31168B4F">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32</w:t>
            </w:r>
          </w:p>
        </w:tc>
        <w:tc>
          <w:tcPr>
            <w:tcW w:w="1958" w:type="dxa"/>
            <w:vMerge w:val="continue"/>
            <w:vAlign w:val="center"/>
          </w:tcPr>
          <w:p w14:paraId="48EB1FE1">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7F32CDD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其他部门公示信息</w:t>
            </w:r>
          </w:p>
        </w:tc>
        <w:tc>
          <w:tcPr>
            <w:tcW w:w="4270" w:type="dxa"/>
            <w:vAlign w:val="center"/>
          </w:tcPr>
          <w:p w14:paraId="5B0F4F13">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其他部门_抽查检查信息</w:t>
            </w:r>
          </w:p>
        </w:tc>
      </w:tr>
      <w:tr w14:paraId="19CB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noWrap/>
            <w:vAlign w:val="center"/>
          </w:tcPr>
          <w:p w14:paraId="0566D03F">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33</w:t>
            </w:r>
          </w:p>
        </w:tc>
        <w:tc>
          <w:tcPr>
            <w:tcW w:w="1958" w:type="dxa"/>
            <w:vMerge w:val="continue"/>
            <w:vAlign w:val="center"/>
          </w:tcPr>
          <w:p w14:paraId="544FB077">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1031AC2F">
            <w:pPr>
              <w:adjustRightInd/>
              <w:snapToGrid/>
              <w:spacing w:line="400" w:lineRule="exact"/>
              <w:ind w:firstLine="0" w:firstLineChars="0"/>
              <w:jc w:val="center"/>
              <w:rPr>
                <w:rFonts w:ascii="仿宋" w:hAnsi="仿宋" w:eastAsia="仿宋" w:cs="仿宋"/>
              </w:rPr>
            </w:pPr>
          </w:p>
        </w:tc>
        <w:tc>
          <w:tcPr>
            <w:tcW w:w="4270" w:type="dxa"/>
            <w:vAlign w:val="center"/>
          </w:tcPr>
          <w:p w14:paraId="5CA75094">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其他部门列入严重违法失信企业名单（黑名单）信息</w:t>
            </w:r>
          </w:p>
        </w:tc>
      </w:tr>
      <w:tr w14:paraId="38D2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noWrap/>
            <w:vAlign w:val="center"/>
          </w:tcPr>
          <w:p w14:paraId="206C3A70">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34</w:t>
            </w:r>
          </w:p>
        </w:tc>
        <w:tc>
          <w:tcPr>
            <w:tcW w:w="1958" w:type="dxa"/>
            <w:vMerge w:val="continue"/>
            <w:vAlign w:val="center"/>
          </w:tcPr>
          <w:p w14:paraId="730AA3F7">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7A412D4B">
            <w:pPr>
              <w:adjustRightInd/>
              <w:snapToGrid/>
              <w:spacing w:line="400" w:lineRule="exact"/>
              <w:ind w:firstLine="0" w:firstLineChars="0"/>
              <w:jc w:val="center"/>
              <w:rPr>
                <w:rFonts w:ascii="仿宋" w:hAnsi="仿宋" w:eastAsia="仿宋" w:cs="仿宋"/>
              </w:rPr>
            </w:pPr>
          </w:p>
        </w:tc>
        <w:tc>
          <w:tcPr>
            <w:tcW w:w="4270" w:type="dxa"/>
            <w:vAlign w:val="center"/>
          </w:tcPr>
          <w:p w14:paraId="31738C1C">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其他部门列入严重违法失信企业名单（黑名单）详细信息</w:t>
            </w:r>
          </w:p>
        </w:tc>
      </w:tr>
      <w:tr w14:paraId="274F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0C835F21">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35</w:t>
            </w:r>
          </w:p>
        </w:tc>
        <w:tc>
          <w:tcPr>
            <w:tcW w:w="1958" w:type="dxa"/>
            <w:vMerge w:val="continue"/>
            <w:vAlign w:val="center"/>
          </w:tcPr>
          <w:p w14:paraId="26E531C2">
            <w:pPr>
              <w:adjustRightInd/>
              <w:snapToGrid/>
              <w:spacing w:line="400" w:lineRule="exact"/>
              <w:ind w:firstLine="0" w:firstLineChars="0"/>
              <w:jc w:val="center"/>
              <w:rPr>
                <w:rFonts w:ascii="仿宋" w:hAnsi="仿宋" w:eastAsia="仿宋" w:cs="仿宋"/>
              </w:rPr>
            </w:pPr>
          </w:p>
        </w:tc>
        <w:tc>
          <w:tcPr>
            <w:tcW w:w="2134" w:type="dxa"/>
            <w:vMerge w:val="restart"/>
            <w:vAlign w:val="center"/>
          </w:tcPr>
          <w:p w14:paraId="41B29EDE">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股权冻结</w:t>
            </w:r>
          </w:p>
        </w:tc>
        <w:tc>
          <w:tcPr>
            <w:tcW w:w="4270" w:type="dxa"/>
            <w:vAlign w:val="center"/>
          </w:tcPr>
          <w:p w14:paraId="7C8577BF">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股权冻结被执行人信息</w:t>
            </w:r>
          </w:p>
        </w:tc>
      </w:tr>
      <w:tr w14:paraId="05AE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3CFA8A9B">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36</w:t>
            </w:r>
          </w:p>
        </w:tc>
        <w:tc>
          <w:tcPr>
            <w:tcW w:w="1958" w:type="dxa"/>
            <w:vMerge w:val="continue"/>
            <w:vAlign w:val="center"/>
          </w:tcPr>
          <w:p w14:paraId="72A43792">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20F4BF06">
            <w:pPr>
              <w:adjustRightInd/>
              <w:snapToGrid/>
              <w:spacing w:line="400" w:lineRule="exact"/>
              <w:ind w:firstLine="0" w:firstLineChars="0"/>
              <w:jc w:val="center"/>
              <w:rPr>
                <w:rFonts w:ascii="仿宋" w:hAnsi="仿宋" w:eastAsia="仿宋" w:cs="仿宋"/>
              </w:rPr>
            </w:pPr>
          </w:p>
        </w:tc>
        <w:tc>
          <w:tcPr>
            <w:tcW w:w="4270" w:type="dxa"/>
            <w:vAlign w:val="center"/>
          </w:tcPr>
          <w:p w14:paraId="6850FAB5">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股权冻结信息</w:t>
            </w:r>
          </w:p>
        </w:tc>
      </w:tr>
      <w:tr w14:paraId="4C3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ign w:val="center"/>
          </w:tcPr>
          <w:p w14:paraId="1E2433A0">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37</w:t>
            </w:r>
          </w:p>
        </w:tc>
        <w:tc>
          <w:tcPr>
            <w:tcW w:w="1958" w:type="dxa"/>
            <w:vMerge w:val="continue"/>
            <w:vAlign w:val="center"/>
          </w:tcPr>
          <w:p w14:paraId="6DDD459B">
            <w:pPr>
              <w:adjustRightInd/>
              <w:snapToGrid/>
              <w:spacing w:line="400" w:lineRule="exact"/>
              <w:ind w:firstLine="0" w:firstLineChars="0"/>
              <w:jc w:val="center"/>
              <w:rPr>
                <w:rFonts w:ascii="仿宋" w:hAnsi="仿宋" w:eastAsia="仿宋" w:cs="仿宋"/>
              </w:rPr>
            </w:pPr>
          </w:p>
        </w:tc>
        <w:tc>
          <w:tcPr>
            <w:tcW w:w="2134" w:type="dxa"/>
            <w:vMerge w:val="continue"/>
            <w:vAlign w:val="center"/>
          </w:tcPr>
          <w:p w14:paraId="5CC44C42">
            <w:pPr>
              <w:adjustRightInd/>
              <w:snapToGrid/>
              <w:spacing w:line="400" w:lineRule="exact"/>
              <w:ind w:firstLine="0" w:firstLineChars="0"/>
              <w:jc w:val="center"/>
              <w:rPr>
                <w:rFonts w:ascii="仿宋" w:hAnsi="仿宋" w:eastAsia="仿宋" w:cs="仿宋"/>
              </w:rPr>
            </w:pPr>
          </w:p>
        </w:tc>
        <w:tc>
          <w:tcPr>
            <w:tcW w:w="4270" w:type="dxa"/>
            <w:vAlign w:val="center"/>
          </w:tcPr>
          <w:p w14:paraId="71AE710A">
            <w:pPr>
              <w:adjustRightInd/>
              <w:snapToGrid/>
              <w:spacing w:line="400" w:lineRule="exact"/>
              <w:ind w:firstLine="0" w:firstLineChars="0"/>
              <w:jc w:val="center"/>
              <w:rPr>
                <w:rFonts w:ascii="仿宋" w:hAnsi="仿宋" w:eastAsia="仿宋" w:cs="仿宋"/>
              </w:rPr>
            </w:pPr>
            <w:r>
              <w:rPr>
                <w:rFonts w:hint="eastAsia" w:ascii="仿宋" w:hAnsi="仿宋" w:eastAsia="仿宋" w:cs="仿宋"/>
              </w:rPr>
              <w:t>股权变更信息</w:t>
            </w:r>
          </w:p>
        </w:tc>
      </w:tr>
    </w:tbl>
    <w:p w14:paraId="7E9D2FE3">
      <w:pPr>
        <w:ind w:firstLine="480"/>
        <w:rPr>
          <w:rFonts w:ascii="Times New Roman" w:hAnsi="Times New Roman"/>
        </w:rPr>
      </w:pPr>
    </w:p>
    <w:p w14:paraId="24607C61">
      <w:pPr>
        <w:ind w:firstLine="480"/>
        <w:rPr>
          <w:rFonts w:ascii="Times New Roman" w:hAnsi="Times New Roman"/>
        </w:rPr>
      </w:pPr>
      <w:r>
        <w:rPr>
          <w:rFonts w:hint="eastAsia" w:ascii="Times New Roman" w:hAnsi="Times New Roman"/>
        </w:rPr>
        <w:t>3）整改数据上报服务</w:t>
      </w:r>
    </w:p>
    <w:p w14:paraId="1798561F">
      <w:pPr>
        <w:ind w:firstLine="480"/>
        <w:rPr>
          <w:rFonts w:ascii="Times New Roman" w:hAnsi="Times New Roman"/>
        </w:rPr>
      </w:pPr>
      <w:r>
        <w:rPr>
          <w:rFonts w:hint="eastAsia" w:ascii="Times New Roman" w:hAnsi="Times New Roman"/>
        </w:rPr>
        <w:t>针对已完成整改的问题数据，建立整改数据上报机制。根据数据主键、数据整改标识字段信息，配置数据上报的定时任务，自动将每日整改的数据，上报至总局前置库，实现福建省问题数据的修复，提高数据质量分值，进一步提升福建省在全国的数据质量分数排名。</w:t>
      </w:r>
    </w:p>
    <w:p w14:paraId="50870C07">
      <w:pPr>
        <w:ind w:firstLine="480"/>
      </w:pPr>
      <w:r>
        <w:rPr>
          <w:rFonts w:hint="eastAsia"/>
        </w:rPr>
        <w:t>（三）售后服务要求</w:t>
      </w:r>
    </w:p>
    <w:p w14:paraId="67E54D78">
      <w:pPr>
        <w:ind w:firstLine="480"/>
      </w:pPr>
      <w:r>
        <w:rPr>
          <w:rFonts w:hint="eastAsia"/>
        </w:rPr>
        <w:t>1.采购人本项目相关的所有文档，供应商不得以任何形式向第三方透露。</w:t>
      </w:r>
    </w:p>
    <w:p w14:paraId="62D9E822">
      <w:pPr>
        <w:ind w:firstLine="480"/>
      </w:pPr>
      <w:r>
        <w:rPr>
          <w:rFonts w:hint="eastAsia"/>
        </w:rPr>
        <w:t>2.供应商应提供数据服务成果</w:t>
      </w:r>
      <w:r>
        <w:t>1</w:t>
      </w:r>
      <w:r>
        <w:rPr>
          <w:rFonts w:hint="eastAsia"/>
        </w:rPr>
        <w:t>年</w:t>
      </w:r>
      <w:r>
        <w:t>免费质保服务，质保期从项目验收完成</w:t>
      </w:r>
      <w:r>
        <w:rPr>
          <w:rFonts w:hint="eastAsia"/>
        </w:rPr>
        <w:t>之日</w:t>
      </w:r>
      <w:r>
        <w:t>开始计算</w:t>
      </w:r>
      <w:r>
        <w:rPr>
          <w:rFonts w:hint="eastAsia"/>
        </w:rPr>
        <w:t>。</w:t>
      </w:r>
    </w:p>
    <w:p w14:paraId="5CAB3DA3">
      <w:pPr>
        <w:ind w:firstLine="480"/>
      </w:pPr>
      <w:r>
        <w:t>3</w:t>
      </w:r>
      <w:r>
        <w:rPr>
          <w:rFonts w:hint="eastAsia"/>
        </w:rPr>
        <w:t>.在质保期内提供</w:t>
      </w:r>
      <w:r>
        <w:t>5*8小时的服务响应，</w:t>
      </w:r>
      <w:r>
        <w:rPr>
          <w:rFonts w:hint="eastAsia"/>
        </w:rPr>
        <w:t>接到采购人（用户）提出的技术支持，若服务数据出现非人为性故障，应提供6</w:t>
      </w:r>
      <w:r>
        <w:t>小时内到达现场</w:t>
      </w:r>
      <w:r>
        <w:rPr>
          <w:rFonts w:hint="eastAsia"/>
        </w:rPr>
        <w:t>的人工</w:t>
      </w:r>
      <w:r>
        <w:t>服务</w:t>
      </w:r>
      <w:r>
        <w:rPr>
          <w:rFonts w:hint="eastAsia"/>
        </w:rPr>
        <w:t>。</w:t>
      </w:r>
    </w:p>
    <w:p w14:paraId="30687586">
      <w:pPr>
        <w:pStyle w:val="3"/>
        <w:ind w:firstLine="482"/>
      </w:pPr>
      <w:r>
        <w:rPr>
          <w:rFonts w:hint="eastAsia"/>
        </w:rPr>
        <w:t>（四）验收方式</w:t>
      </w:r>
    </w:p>
    <w:p w14:paraId="32717151">
      <w:pPr>
        <w:ind w:firstLine="480"/>
      </w:pPr>
      <w:r>
        <w:rPr>
          <w:rFonts w:hint="eastAsia"/>
        </w:rPr>
        <w:t>供应商按照采购内容要求完成服务，</w:t>
      </w:r>
      <w:r>
        <w:rPr>
          <w:rFonts w:hint="eastAsia" w:ascii="Times New Roman" w:hAnsi="Times New Roman"/>
        </w:rPr>
        <w:t>服务完成后供应商向采购人提出验收申请的5个工作日内，采购人应对项目进行验收，验收合格，双方签订验收报告。</w:t>
      </w:r>
    </w:p>
    <w:p w14:paraId="45150FE2">
      <w:pPr>
        <w:pStyle w:val="3"/>
        <w:ind w:firstLine="482"/>
      </w:pPr>
      <w:r>
        <w:rPr>
          <w:rFonts w:hint="eastAsia"/>
        </w:rPr>
        <w:t>（五）项目付款方式</w:t>
      </w:r>
      <w:bookmarkEnd w:id="38"/>
      <w:bookmarkEnd w:id="39"/>
    </w:p>
    <w:p w14:paraId="540F3AAD">
      <w:pPr>
        <w:ind w:firstLine="480"/>
      </w:pPr>
      <w:r>
        <w:rPr>
          <w:rFonts w:hint="eastAsia"/>
        </w:rPr>
        <w:t>供应商与采购人签订合同后15个工作日内，采购人向供应商转账支付</w:t>
      </w:r>
      <w:r>
        <w:t>8</w:t>
      </w:r>
      <w:r>
        <w:rPr>
          <w:rFonts w:hint="eastAsia"/>
        </w:rPr>
        <w:t>0%项目费用。供应商完成本项目要求的所有成果并通过采购人验收后15个工作日内，采购人向供应商转账支付余下</w:t>
      </w:r>
      <w:r>
        <w:t>2</w:t>
      </w:r>
      <w:r>
        <w:rPr>
          <w:rFonts w:hint="eastAsia"/>
        </w:rPr>
        <w:t>0%费用。</w:t>
      </w:r>
    </w:p>
    <w:p w14:paraId="674AD610">
      <w:pPr>
        <w:pStyle w:val="3"/>
        <w:ind w:firstLine="482"/>
      </w:pPr>
      <w:bookmarkStart w:id="49" w:name="_Toc498001368"/>
      <w:bookmarkStart w:id="50" w:name="_Toc498001269"/>
      <w:r>
        <w:rPr>
          <w:rFonts w:hint="eastAsia"/>
        </w:rPr>
        <w:t>（六）项目实施期限</w:t>
      </w:r>
      <w:bookmarkEnd w:id="40"/>
      <w:bookmarkEnd w:id="41"/>
      <w:bookmarkEnd w:id="42"/>
      <w:bookmarkEnd w:id="43"/>
      <w:bookmarkEnd w:id="44"/>
      <w:bookmarkEnd w:id="45"/>
      <w:bookmarkEnd w:id="46"/>
      <w:bookmarkEnd w:id="47"/>
      <w:bookmarkEnd w:id="48"/>
      <w:bookmarkEnd w:id="49"/>
      <w:bookmarkEnd w:id="50"/>
    </w:p>
    <w:p w14:paraId="3D030E23">
      <w:pPr>
        <w:ind w:firstLine="480"/>
      </w:pPr>
      <w:r>
        <w:rPr>
          <w:rFonts w:hint="eastAsia"/>
        </w:rPr>
        <w:t>项目实施期限：自合同签订后1个月内完成企业信用数据质量提升服务并提请验收。</w:t>
      </w:r>
    </w:p>
    <w:p w14:paraId="394224E4">
      <w:pPr>
        <w:pStyle w:val="3"/>
        <w:ind w:firstLine="482"/>
      </w:pPr>
      <w:bookmarkStart w:id="51" w:name="_Toc450320513"/>
      <w:bookmarkStart w:id="52" w:name="_Toc498001270"/>
      <w:bookmarkStart w:id="53" w:name="_Toc421023430"/>
      <w:bookmarkStart w:id="54" w:name="_Toc498001369"/>
      <w:bookmarkStart w:id="55" w:name="_Toc430180167"/>
      <w:bookmarkStart w:id="56" w:name="_Toc419485053"/>
      <w:bookmarkStart w:id="57" w:name="_Toc455746742"/>
      <w:r>
        <w:rPr>
          <w:rFonts w:hint="eastAsia"/>
        </w:rPr>
        <w:t>（七）违约责任</w:t>
      </w:r>
      <w:bookmarkEnd w:id="51"/>
      <w:bookmarkEnd w:id="52"/>
      <w:bookmarkEnd w:id="53"/>
      <w:bookmarkEnd w:id="54"/>
      <w:bookmarkEnd w:id="55"/>
      <w:bookmarkEnd w:id="56"/>
      <w:bookmarkEnd w:id="57"/>
    </w:p>
    <w:p w14:paraId="398DFFF1">
      <w:pPr>
        <w:ind w:firstLine="480"/>
      </w:pPr>
      <w:r>
        <w:rPr>
          <w:rFonts w:hint="eastAsia"/>
        </w:rPr>
        <w:t>1.因成交供应商原因造成采购合同无法按时签订，视为成交供应商违约，成交供应商违约对采购人造成的损失的，需另行支付相应的赔偿。</w:t>
      </w:r>
    </w:p>
    <w:p w14:paraId="17A09479">
      <w:pPr>
        <w:ind w:firstLine="480"/>
      </w:pPr>
      <w:r>
        <w:rPr>
          <w:rFonts w:hint="eastAsia"/>
        </w:rPr>
        <w:t>2.在签订采购合同之后，成交供应商要求解除合同的，视为成交供应商违约，对采购人造成的损失的，成交供应商需支付相应的赔偿。</w:t>
      </w:r>
    </w:p>
    <w:p w14:paraId="066CAA38">
      <w:pPr>
        <w:ind w:firstLine="480"/>
      </w:pPr>
      <w:r>
        <w:rPr>
          <w:rFonts w:hint="eastAsia"/>
        </w:rPr>
        <w:t>3.因成交供应商原因发生重大质量事故，除依约承担赔偿责任外，还将按有关管理办法规定执行。同时，采购人有权保留更换成交供应商的权利，并报相关行政主管部门处罚。</w:t>
      </w:r>
    </w:p>
    <w:p w14:paraId="11CAEC08">
      <w:pPr>
        <w:ind w:firstLine="480"/>
      </w:pPr>
      <w:r>
        <w:rPr>
          <w:rFonts w:hint="eastAsia"/>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14:paraId="30CD9F89">
      <w:pPr>
        <w:ind w:firstLine="480"/>
      </w:pPr>
      <w:r>
        <w:rPr>
          <w:rFonts w:hint="eastAsia"/>
        </w:rPr>
        <w:t>5.若成交供应商未能按合同规定的时间或双方另行确定的延期项目实施期限按时完成的(不可抗力除外)，每逾期一天，成交供应商应按项目金额的0.1%向采购人支付逾期的违约金。若成交供应商逾期达15天(含15天)以上的，采购人有权单方解除本合同，成交供应商应按项目总金额的30%支付违约金。若因此给采购人造成损失的，还应赔偿采购人所受的损失。</w:t>
      </w:r>
    </w:p>
    <w:p w14:paraId="5B6E2030">
      <w:pPr>
        <w:ind w:firstLine="480"/>
      </w:pPr>
      <w:r>
        <w:rPr>
          <w:rFonts w:hint="eastAsia"/>
        </w:rPr>
        <w:t>6.成交供应商擅自转包的，采购人有权解除合同，且成交供应商应向采购人支付合同总金额20%的违约金，对采购人造成的损失的，需另行支付相应的赔偿。</w:t>
      </w:r>
    </w:p>
    <w:p w14:paraId="2AD5ADFA">
      <w:pPr>
        <w:ind w:firstLine="480"/>
      </w:pPr>
      <w:r>
        <w:rPr>
          <w:rFonts w:hint="eastAsia"/>
        </w:rPr>
        <w:t>7.在明确违约责任后，成交供应商应在接到书面通知书起七天内支付违约金、赔偿金等。</w:t>
      </w:r>
    </w:p>
    <w:p w14:paraId="62800FCF">
      <w:pPr>
        <w:ind w:firstLine="480"/>
        <w:rPr>
          <w:rFonts w:ascii="宋体" w:hAnsi="宋体"/>
          <w:color w:val="000000"/>
        </w:rPr>
      </w:pPr>
      <w:r>
        <w:rPr>
          <w:rFonts w:hint="eastAsia"/>
        </w:rPr>
        <w:t>8.本询价通知书未明确的其它约定事项或条款，待采购人与成交供应商签订合同时，由双方协商订立。</w:t>
      </w:r>
      <w:bookmarkEnd w:id="35"/>
      <w:bookmarkEnd w:id="36"/>
      <w:bookmarkEnd w:id="37"/>
    </w:p>
    <w:p w14:paraId="65EB56AF">
      <w:pPr>
        <w:widowControl/>
        <w:adjustRightInd/>
        <w:snapToGrid/>
        <w:spacing w:line="240" w:lineRule="auto"/>
        <w:ind w:firstLine="0" w:firstLineChars="0"/>
        <w:rPr>
          <w:rFonts w:ascii="宋体" w:hAnsi="宋体"/>
          <w:color w:val="000000"/>
        </w:rPr>
      </w:pPr>
      <w:r>
        <w:rPr>
          <w:rFonts w:ascii="宋体" w:hAnsi="宋体"/>
          <w:color w:val="000000"/>
        </w:rPr>
        <w:br w:type="page"/>
      </w:r>
    </w:p>
    <w:p w14:paraId="1069534A">
      <w:pPr>
        <w:pStyle w:val="2"/>
        <w:ind w:firstLine="562"/>
      </w:pPr>
      <w:r>
        <w:rPr>
          <w:rFonts w:hint="eastAsia"/>
        </w:rPr>
        <w:t>三、项目评分标准</w:t>
      </w:r>
    </w:p>
    <w:tbl>
      <w:tblPr>
        <w:tblStyle w:val="16"/>
        <w:tblW w:w="9205" w:type="dxa"/>
        <w:jc w:val="center"/>
        <w:tblLayout w:type="autofit"/>
        <w:tblCellMar>
          <w:top w:w="0" w:type="dxa"/>
          <w:left w:w="108" w:type="dxa"/>
          <w:bottom w:w="0" w:type="dxa"/>
          <w:right w:w="108" w:type="dxa"/>
        </w:tblCellMar>
      </w:tblPr>
      <w:tblGrid>
        <w:gridCol w:w="972"/>
        <w:gridCol w:w="1134"/>
        <w:gridCol w:w="1134"/>
        <w:gridCol w:w="5965"/>
      </w:tblGrid>
      <w:tr w14:paraId="38AEB4CD">
        <w:tblPrEx>
          <w:tblCellMar>
            <w:top w:w="0" w:type="dxa"/>
            <w:left w:w="108" w:type="dxa"/>
            <w:bottom w:w="0" w:type="dxa"/>
            <w:right w:w="108" w:type="dxa"/>
          </w:tblCellMar>
        </w:tblPrEx>
        <w:trPr>
          <w:trHeight w:val="735" w:hRule="atLeast"/>
          <w:tblHeader/>
          <w:jc w:val="center"/>
        </w:trPr>
        <w:tc>
          <w:tcPr>
            <w:tcW w:w="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CFDF3">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序号</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0E97125F">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评分项</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54A877BD">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分值</w:t>
            </w:r>
          </w:p>
        </w:tc>
        <w:tc>
          <w:tcPr>
            <w:tcW w:w="5965" w:type="dxa"/>
            <w:tcBorders>
              <w:top w:val="single" w:color="000000" w:sz="8" w:space="0"/>
              <w:left w:val="nil"/>
              <w:bottom w:val="single" w:color="000000" w:sz="8" w:space="0"/>
              <w:right w:val="single" w:color="000000" w:sz="8" w:space="0"/>
            </w:tcBorders>
            <w:shd w:val="clear" w:color="auto" w:fill="auto"/>
            <w:vAlign w:val="center"/>
          </w:tcPr>
          <w:p w14:paraId="5E067476">
            <w:pPr>
              <w:widowControl/>
              <w:spacing w:line="360" w:lineRule="exact"/>
              <w:ind w:firstLine="0" w:firstLineChars="0"/>
              <w:jc w:val="center"/>
              <w:textAlignment w:val="center"/>
              <w:rPr>
                <w:sz w:val="21"/>
                <w:szCs w:val="21"/>
              </w:rPr>
            </w:pPr>
            <w:r>
              <w:rPr>
                <w:rFonts w:hint="eastAsia" w:ascii="宋体" w:hAnsi="宋体" w:cs="宋体"/>
                <w:color w:val="000000"/>
                <w:kern w:val="0"/>
                <w:sz w:val="21"/>
                <w:szCs w:val="21"/>
                <w:lang w:bidi="ar"/>
              </w:rPr>
              <w:t>评分内容</w:t>
            </w:r>
          </w:p>
        </w:tc>
      </w:tr>
      <w:tr w14:paraId="0110FE79">
        <w:tblPrEx>
          <w:tblCellMar>
            <w:top w:w="0" w:type="dxa"/>
            <w:left w:w="108" w:type="dxa"/>
            <w:bottom w:w="0" w:type="dxa"/>
            <w:right w:w="108" w:type="dxa"/>
          </w:tblCellMar>
        </w:tblPrEx>
        <w:trPr>
          <w:trHeight w:val="249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215ADF76">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w:t>
            </w:r>
          </w:p>
        </w:tc>
        <w:tc>
          <w:tcPr>
            <w:tcW w:w="1134" w:type="dxa"/>
            <w:tcBorders>
              <w:top w:val="nil"/>
              <w:left w:val="nil"/>
              <w:bottom w:val="single" w:color="000000" w:sz="8" w:space="0"/>
              <w:right w:val="single" w:color="000000" w:sz="8" w:space="0"/>
            </w:tcBorders>
            <w:shd w:val="clear" w:color="auto" w:fill="auto"/>
            <w:vAlign w:val="center"/>
          </w:tcPr>
          <w:p w14:paraId="363B742E">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业务现状分析</w:t>
            </w:r>
          </w:p>
        </w:tc>
        <w:tc>
          <w:tcPr>
            <w:tcW w:w="1134" w:type="dxa"/>
            <w:tcBorders>
              <w:top w:val="nil"/>
              <w:left w:val="nil"/>
              <w:bottom w:val="single" w:color="000000" w:sz="8" w:space="0"/>
              <w:right w:val="single" w:color="000000" w:sz="8" w:space="0"/>
            </w:tcBorders>
            <w:shd w:val="clear" w:color="auto" w:fill="auto"/>
            <w:vAlign w:val="center"/>
          </w:tcPr>
          <w:p w14:paraId="21E4D909">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6366FD51">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需基于“福建省市场监管智慧应用一体化项目”与信用数据相关的现有业务功能（包括市场监管智慧应用一体化项目建设的注册登记系统、企业信用公示系统、双随机系统、信用修复系统）基础上提供服务。根据供应商针对本项目提供的业务系统现状分析（包括但不限于现有相关业务系统建设情况说明、系统功能）进行评分：业务现状分析具体、准确的得8分；业务现状分析一般，并符合实际业务情况的得4分；业务现状分析部分复合物实际情况的得2分；无业务现状分析或分析内容不符合实际情况的不得分。</w:t>
            </w:r>
          </w:p>
        </w:tc>
      </w:tr>
      <w:tr w14:paraId="7AAE7A4B">
        <w:tblPrEx>
          <w:tblCellMar>
            <w:top w:w="0" w:type="dxa"/>
            <w:left w:w="108" w:type="dxa"/>
            <w:bottom w:w="0" w:type="dxa"/>
            <w:right w:w="108" w:type="dxa"/>
          </w:tblCellMar>
        </w:tblPrEx>
        <w:trPr>
          <w:trHeight w:val="17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03FF069B">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2</w:t>
            </w:r>
          </w:p>
        </w:tc>
        <w:tc>
          <w:tcPr>
            <w:tcW w:w="1134" w:type="dxa"/>
            <w:tcBorders>
              <w:top w:val="nil"/>
              <w:left w:val="nil"/>
              <w:bottom w:val="single" w:color="000000" w:sz="8" w:space="0"/>
              <w:right w:val="single" w:color="000000" w:sz="8" w:space="0"/>
            </w:tcBorders>
            <w:shd w:val="clear" w:color="auto" w:fill="auto"/>
            <w:vAlign w:val="center"/>
          </w:tcPr>
          <w:p w14:paraId="69AD26F3">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数据现状分析</w:t>
            </w:r>
          </w:p>
        </w:tc>
        <w:tc>
          <w:tcPr>
            <w:tcW w:w="1134" w:type="dxa"/>
            <w:tcBorders>
              <w:top w:val="nil"/>
              <w:left w:val="nil"/>
              <w:bottom w:val="single" w:color="000000" w:sz="8" w:space="0"/>
              <w:right w:val="single" w:color="000000" w:sz="8" w:space="0"/>
            </w:tcBorders>
            <w:shd w:val="clear" w:color="auto" w:fill="auto"/>
            <w:vAlign w:val="center"/>
          </w:tcPr>
          <w:p w14:paraId="32BC17EB">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74EE7293">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本项目针对</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福建省市场监管智慧应用一体化项目</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现有数据资源进行数据服务。供应商应针对本项目的数据现状进行分析（包括但不限于现有数据库表结构、当前数据质量问题），专家根据数据现状分析进行评分：数据现状分析具体、准确的得</w:t>
            </w:r>
            <w:r>
              <w:rPr>
                <w:rFonts w:hint="eastAsia" w:hAnsi="宋体" w:eastAsia="黑体" w:cs="黑体"/>
                <w:color w:val="000000"/>
                <w:kern w:val="0"/>
                <w:sz w:val="21"/>
                <w:szCs w:val="21"/>
                <w:lang w:bidi="ar"/>
              </w:rPr>
              <w:t>8</w:t>
            </w:r>
            <w:r>
              <w:rPr>
                <w:rFonts w:hint="eastAsia" w:ascii="宋体" w:hAnsi="宋体" w:cs="宋体"/>
                <w:color w:val="000000"/>
                <w:kern w:val="0"/>
                <w:sz w:val="21"/>
                <w:szCs w:val="21"/>
                <w:lang w:bidi="ar"/>
              </w:rPr>
              <w:t>分；数据现状分析一般，并符合实际业务情况的得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分；数据现状分析部分符合实际情况的得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分；无数据现状分析或分析内容不符合实际情况的不得分。</w:t>
            </w:r>
          </w:p>
        </w:tc>
      </w:tr>
      <w:tr w14:paraId="76E66E37">
        <w:tblPrEx>
          <w:tblCellMar>
            <w:top w:w="0" w:type="dxa"/>
            <w:left w:w="108" w:type="dxa"/>
            <w:bottom w:w="0" w:type="dxa"/>
            <w:right w:w="108" w:type="dxa"/>
          </w:tblCellMar>
        </w:tblPrEx>
        <w:trPr>
          <w:trHeight w:val="213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12968A0F">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3</w:t>
            </w:r>
          </w:p>
        </w:tc>
        <w:tc>
          <w:tcPr>
            <w:tcW w:w="1134" w:type="dxa"/>
            <w:tcBorders>
              <w:top w:val="nil"/>
              <w:left w:val="nil"/>
              <w:bottom w:val="single" w:color="000000" w:sz="8" w:space="0"/>
              <w:right w:val="single" w:color="000000" w:sz="8" w:space="0"/>
            </w:tcBorders>
            <w:shd w:val="clear" w:color="auto" w:fill="auto"/>
            <w:vAlign w:val="center"/>
          </w:tcPr>
          <w:p w14:paraId="343B09D6">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数据核查规则设计</w:t>
            </w:r>
          </w:p>
        </w:tc>
        <w:tc>
          <w:tcPr>
            <w:tcW w:w="1134" w:type="dxa"/>
            <w:tcBorders>
              <w:top w:val="nil"/>
              <w:left w:val="nil"/>
              <w:bottom w:val="single" w:color="000000" w:sz="8" w:space="0"/>
              <w:right w:val="single" w:color="000000" w:sz="8" w:space="0"/>
            </w:tcBorders>
            <w:shd w:val="clear" w:color="auto" w:fill="auto"/>
            <w:vAlign w:val="center"/>
          </w:tcPr>
          <w:p w14:paraId="57F52CE9">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73C8BC23">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需基于市场监管总局下发的企业信用监管数据质量标准及评分规则进行数据核查规则设计。根据供应商需结合福建省信用数据的实际质量问题和总局下发的评分规则进行数据核查规则设计，核查规则设计全面、与总局下发规则相符、内容完善且能够适用于本项目的得8分；核查规则设计全面、与总局下发规则相符，但仅有纲要内容简略，未展开阐述的得4分；核查规则设计有缺漏或无实质性内容的得2分，未提供的不得分。</w:t>
            </w:r>
          </w:p>
        </w:tc>
      </w:tr>
      <w:tr w14:paraId="099097CA">
        <w:tblPrEx>
          <w:tblCellMar>
            <w:top w:w="0" w:type="dxa"/>
            <w:left w:w="108" w:type="dxa"/>
            <w:bottom w:w="0" w:type="dxa"/>
            <w:right w:w="108" w:type="dxa"/>
          </w:tblCellMar>
        </w:tblPrEx>
        <w:trPr>
          <w:trHeight w:val="893" w:hRule="atLeast"/>
          <w:jc w:val="center"/>
        </w:trPr>
        <w:tc>
          <w:tcPr>
            <w:tcW w:w="972" w:type="dxa"/>
            <w:tcBorders>
              <w:top w:val="nil"/>
              <w:left w:val="single" w:color="000000" w:sz="8" w:space="0"/>
              <w:bottom w:val="single" w:color="auto" w:sz="4" w:space="0"/>
              <w:right w:val="single" w:color="000000" w:sz="8" w:space="0"/>
            </w:tcBorders>
            <w:shd w:val="clear" w:color="auto" w:fill="auto"/>
            <w:vAlign w:val="center"/>
          </w:tcPr>
          <w:p w14:paraId="011F3C94">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4</w:t>
            </w:r>
          </w:p>
        </w:tc>
        <w:tc>
          <w:tcPr>
            <w:tcW w:w="1134" w:type="dxa"/>
            <w:tcBorders>
              <w:top w:val="nil"/>
              <w:left w:val="nil"/>
              <w:bottom w:val="single" w:color="auto" w:sz="4" w:space="0"/>
              <w:right w:val="single" w:color="000000" w:sz="8" w:space="0"/>
            </w:tcBorders>
            <w:shd w:val="clear" w:color="auto" w:fill="auto"/>
            <w:vAlign w:val="center"/>
          </w:tcPr>
          <w:p w14:paraId="2663B257">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源头系统整改能力</w:t>
            </w:r>
          </w:p>
        </w:tc>
        <w:tc>
          <w:tcPr>
            <w:tcW w:w="1134" w:type="dxa"/>
            <w:tcBorders>
              <w:top w:val="nil"/>
              <w:left w:val="nil"/>
              <w:bottom w:val="single" w:color="auto" w:sz="4" w:space="0"/>
              <w:right w:val="single" w:color="000000" w:sz="8" w:space="0"/>
            </w:tcBorders>
            <w:shd w:val="clear" w:color="auto" w:fill="auto"/>
            <w:vAlign w:val="center"/>
          </w:tcPr>
          <w:p w14:paraId="59BD6C67">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8</w:t>
            </w:r>
          </w:p>
        </w:tc>
        <w:tc>
          <w:tcPr>
            <w:tcW w:w="5965" w:type="dxa"/>
            <w:tcBorders>
              <w:top w:val="nil"/>
              <w:left w:val="nil"/>
              <w:bottom w:val="single" w:color="auto" w:sz="4" w:space="0"/>
              <w:right w:val="single" w:color="000000" w:sz="8" w:space="0"/>
            </w:tcBorders>
            <w:shd w:val="clear" w:color="auto" w:fill="auto"/>
            <w:vAlign w:val="center"/>
          </w:tcPr>
          <w:p w14:paraId="52F4849F">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本项目需对信用数据涉及</w:t>
            </w:r>
            <w:bookmarkStart w:id="58" w:name="_GoBack"/>
            <w:bookmarkEnd w:id="58"/>
            <w:r>
              <w:rPr>
                <w:rFonts w:hint="eastAsia" w:ascii="宋体" w:hAnsi="宋体" w:cs="宋体"/>
                <w:color w:val="000000"/>
                <w:kern w:val="0"/>
                <w:sz w:val="21"/>
                <w:szCs w:val="21"/>
                <w:lang w:bidi="ar"/>
              </w:rPr>
              <w:t>的源头系统（包括市场监管智慧应用一体化项目建设的注册登记系统、企业信用公示系统、双随机系统、信用修复系统）进行系统整改以确保数据质量长效提升。供应商须提供完善的系统整改方案，并能提供有效的整改能力证明（整改能力证明须包括市场监管智慧应用一体化类项目的合同复印件或业主证明文件复印件等，证明材料应提供关键页，如合同应提供可体现项目相关信息的页面、各方单位名称、签署时间、签章页等）。根据供应商提供的系统整改进行评分。整改方案涉及系统全面，整改内容与数据质量问题完全吻合的得8分；整改方案涉及系统不够全面，整改内容与数据质量问题部分吻合的得4分；无法提供证明材料或未提供整改方案或整改内容与数据质量问题不符合的不得分。</w:t>
            </w:r>
          </w:p>
        </w:tc>
      </w:tr>
      <w:tr w14:paraId="0C843533">
        <w:tblPrEx>
          <w:tblCellMar>
            <w:top w:w="0" w:type="dxa"/>
            <w:left w:w="108" w:type="dxa"/>
            <w:bottom w:w="0" w:type="dxa"/>
            <w:right w:w="108" w:type="dxa"/>
          </w:tblCellMar>
        </w:tblPrEx>
        <w:trPr>
          <w:trHeight w:val="2135"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B1BD390">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58FF11C">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资质</w:t>
            </w:r>
          </w:p>
          <w:p w14:paraId="3E21A90C">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证书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C5EFE16">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8</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14:paraId="53466BD5">
            <w:pPr>
              <w:widowControl/>
              <w:spacing w:line="360" w:lineRule="exact"/>
              <w:ind w:firstLine="0" w:firstLineChars="0"/>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具有</w:t>
            </w:r>
            <w:r>
              <w:rPr>
                <w:rFonts w:hint="eastAsia" w:hAnsi="宋体" w:eastAsia="黑体" w:cs="黑体"/>
                <w:color w:val="000000"/>
                <w:kern w:val="0"/>
                <w:sz w:val="21"/>
                <w:szCs w:val="21"/>
                <w:lang w:bidi="ar"/>
              </w:rPr>
              <w:t>DCMM3</w:t>
            </w:r>
            <w:r>
              <w:rPr>
                <w:rFonts w:hint="eastAsia" w:ascii="宋体" w:hAnsi="宋体" w:cs="宋体"/>
                <w:color w:val="000000"/>
                <w:kern w:val="0"/>
                <w:sz w:val="21"/>
                <w:szCs w:val="21"/>
                <w:lang w:bidi="ar"/>
              </w:rPr>
              <w:t>级及以上认证证书；</w:t>
            </w:r>
          </w:p>
          <w:p w14:paraId="4FA39C0D">
            <w:pPr>
              <w:widowControl/>
              <w:spacing w:line="360" w:lineRule="exact"/>
              <w:ind w:firstLine="0" w:firstLineChars="0"/>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具有CMMMI5级认证证书；</w:t>
            </w:r>
          </w:p>
          <w:p w14:paraId="52A6781C">
            <w:pPr>
              <w:widowControl/>
              <w:spacing w:line="360" w:lineRule="exact"/>
              <w:ind w:firstLine="0" w:firstLineChars="0"/>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具有信息安全管理体系认证证书；</w:t>
            </w:r>
          </w:p>
          <w:p w14:paraId="575ABEC2">
            <w:pPr>
              <w:widowControl/>
              <w:spacing w:line="360" w:lineRule="exact"/>
              <w:ind w:firstLine="0" w:firstLineChars="0"/>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具有信息系统安全集成服务资质一级证书；</w:t>
            </w:r>
          </w:p>
          <w:p w14:paraId="4F550A97">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 xml:space="preserve">每提供一项的2分，满分8分。（须提供有效的认证证书复印件并加盖供应商公章，原件备查。） </w:t>
            </w:r>
          </w:p>
        </w:tc>
      </w:tr>
      <w:tr w14:paraId="224C6065">
        <w:tblPrEx>
          <w:tblCellMar>
            <w:top w:w="0" w:type="dxa"/>
            <w:left w:w="108" w:type="dxa"/>
            <w:bottom w:w="0" w:type="dxa"/>
            <w:right w:w="108" w:type="dxa"/>
          </w:tblCellMar>
        </w:tblPrEx>
        <w:trPr>
          <w:trHeight w:val="90" w:hRule="atLeast"/>
          <w:jc w:val="center"/>
        </w:trPr>
        <w:tc>
          <w:tcPr>
            <w:tcW w:w="972" w:type="dxa"/>
            <w:tcBorders>
              <w:top w:val="single" w:color="auto" w:sz="4" w:space="0"/>
              <w:left w:val="single" w:color="000000" w:sz="8" w:space="0"/>
              <w:bottom w:val="single" w:color="000000" w:sz="8" w:space="0"/>
              <w:right w:val="single" w:color="000000" w:sz="8" w:space="0"/>
            </w:tcBorders>
            <w:shd w:val="clear" w:color="auto" w:fill="auto"/>
            <w:vAlign w:val="center"/>
          </w:tcPr>
          <w:p w14:paraId="46F9A00C">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7</w:t>
            </w:r>
          </w:p>
        </w:tc>
        <w:tc>
          <w:tcPr>
            <w:tcW w:w="1134" w:type="dxa"/>
            <w:tcBorders>
              <w:top w:val="single" w:color="auto" w:sz="4" w:space="0"/>
              <w:left w:val="nil"/>
              <w:bottom w:val="single" w:color="000000" w:sz="8" w:space="0"/>
              <w:right w:val="single" w:color="000000" w:sz="8" w:space="0"/>
            </w:tcBorders>
            <w:shd w:val="clear" w:color="auto" w:fill="auto"/>
            <w:vAlign w:val="center"/>
          </w:tcPr>
          <w:p w14:paraId="717DC0E0">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业绩</w:t>
            </w:r>
          </w:p>
          <w:p w14:paraId="005D4D63">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情况</w:t>
            </w:r>
          </w:p>
        </w:tc>
        <w:tc>
          <w:tcPr>
            <w:tcW w:w="1134" w:type="dxa"/>
            <w:tcBorders>
              <w:top w:val="single" w:color="auto" w:sz="4" w:space="0"/>
              <w:left w:val="nil"/>
              <w:bottom w:val="single" w:color="000000" w:sz="8" w:space="0"/>
              <w:right w:val="single" w:color="000000" w:sz="8" w:space="0"/>
            </w:tcBorders>
            <w:shd w:val="clear" w:color="auto" w:fill="auto"/>
            <w:vAlign w:val="center"/>
          </w:tcPr>
          <w:p w14:paraId="166E73C2">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6</w:t>
            </w:r>
          </w:p>
        </w:tc>
        <w:tc>
          <w:tcPr>
            <w:tcW w:w="5965" w:type="dxa"/>
            <w:tcBorders>
              <w:top w:val="single" w:color="auto" w:sz="4" w:space="0"/>
              <w:left w:val="nil"/>
              <w:bottom w:val="single" w:color="000000" w:sz="8" w:space="0"/>
              <w:right w:val="single" w:color="000000" w:sz="8" w:space="0"/>
            </w:tcBorders>
            <w:shd w:val="clear" w:color="auto" w:fill="auto"/>
            <w:vAlign w:val="center"/>
          </w:tcPr>
          <w:p w14:paraId="265B9413">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根据供应商提供自</w:t>
            </w:r>
            <w:r>
              <w:rPr>
                <w:rFonts w:hint="eastAsia" w:hAnsi="宋体" w:eastAsia="黑体" w:cs="黑体"/>
                <w:color w:val="000000"/>
                <w:kern w:val="0"/>
                <w:sz w:val="21"/>
                <w:szCs w:val="21"/>
                <w:lang w:bidi="ar"/>
              </w:rPr>
              <w:t>2020</w:t>
            </w:r>
            <w:r>
              <w:rPr>
                <w:rFonts w:hint="eastAsia" w:ascii="宋体" w:hAnsi="宋体" w:cs="宋体"/>
                <w:color w:val="000000"/>
                <w:kern w:val="0"/>
                <w:sz w:val="21"/>
                <w:szCs w:val="21"/>
                <w:lang w:bidi="ar"/>
              </w:rPr>
              <w:t>年</w:t>
            </w:r>
            <w:r>
              <w:rPr>
                <w:rFonts w:hint="eastAsia" w:hAnsi="宋体" w:eastAsia="黑体" w:cs="黑体"/>
                <w:color w:val="000000"/>
                <w:kern w:val="0"/>
                <w:sz w:val="21"/>
                <w:szCs w:val="21"/>
                <w:lang w:bidi="ar"/>
              </w:rPr>
              <w:t>1</w:t>
            </w:r>
            <w:r>
              <w:rPr>
                <w:rFonts w:hint="eastAsia" w:ascii="宋体" w:hAnsi="宋体" w:cs="宋体"/>
                <w:color w:val="000000"/>
                <w:kern w:val="0"/>
                <w:sz w:val="21"/>
                <w:szCs w:val="21"/>
                <w:lang w:bidi="ar"/>
              </w:rPr>
              <w:t>月</w:t>
            </w:r>
            <w:r>
              <w:rPr>
                <w:rFonts w:hint="eastAsia" w:hAnsi="宋体" w:eastAsia="黑体" w:cs="黑体"/>
                <w:color w:val="000000"/>
                <w:kern w:val="0"/>
                <w:sz w:val="21"/>
                <w:szCs w:val="21"/>
                <w:lang w:bidi="ar"/>
              </w:rPr>
              <w:t>1</w:t>
            </w:r>
            <w:r>
              <w:rPr>
                <w:rFonts w:hint="eastAsia" w:ascii="宋体" w:hAnsi="宋体" w:cs="宋体"/>
                <w:color w:val="000000"/>
                <w:kern w:val="0"/>
                <w:sz w:val="21"/>
                <w:szCs w:val="21"/>
                <w:lang w:bidi="ar"/>
              </w:rPr>
              <w:t>日起至本项目磋商截</w:t>
            </w:r>
            <w:r>
              <w:rPr>
                <w:rFonts w:hint="eastAsia" w:ascii="宋体" w:hAnsi="宋体" w:cs="宋体"/>
                <w:color w:val="000000"/>
                <w:kern w:val="0"/>
                <w:sz w:val="21"/>
                <w:szCs w:val="21"/>
                <w:lang w:val="en-US" w:eastAsia="zh-CN" w:bidi="ar"/>
              </w:rPr>
              <w:t>止</w:t>
            </w:r>
            <w:r>
              <w:rPr>
                <w:rFonts w:hint="eastAsia" w:ascii="宋体" w:hAnsi="宋体" w:cs="宋体"/>
                <w:color w:val="000000"/>
                <w:kern w:val="0"/>
                <w:sz w:val="21"/>
                <w:szCs w:val="21"/>
                <w:lang w:bidi="ar"/>
              </w:rPr>
              <w:t>时间止</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日期以合同签订日期为准</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，供应商自身完成的同类项目情况进行评分</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每提供一份完整业绩证明材料得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分，满分</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分。须同时提供中标</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成交公告</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提供相关网站中标</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成交公告的下载网页并注明网址</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、中标成交通知书复印件、采购合同文本复印件，以及能够证明该业绩项目已经采购人验收合格的相关证明文复印件，未同时提供以上证明材料的本项不得分。（满分</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w:t>
            </w:r>
          </w:p>
        </w:tc>
      </w:tr>
      <w:tr w14:paraId="2BA7B376">
        <w:tblPrEx>
          <w:tblCellMar>
            <w:top w:w="0" w:type="dxa"/>
            <w:left w:w="108" w:type="dxa"/>
            <w:bottom w:w="0" w:type="dxa"/>
            <w:right w:w="108" w:type="dxa"/>
          </w:tblCellMar>
        </w:tblPrEx>
        <w:trPr>
          <w:trHeight w:val="924"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671AD749">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8</w:t>
            </w:r>
          </w:p>
        </w:tc>
        <w:tc>
          <w:tcPr>
            <w:tcW w:w="1134" w:type="dxa"/>
            <w:tcBorders>
              <w:top w:val="nil"/>
              <w:left w:val="nil"/>
              <w:bottom w:val="single" w:color="000000" w:sz="8" w:space="0"/>
              <w:right w:val="single" w:color="000000" w:sz="8" w:space="0"/>
            </w:tcBorders>
            <w:shd w:val="clear" w:color="auto" w:fill="auto"/>
            <w:vAlign w:val="center"/>
          </w:tcPr>
          <w:p w14:paraId="0BC1E822">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人员</w:t>
            </w:r>
          </w:p>
          <w:p w14:paraId="28F3274F">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资质</w:t>
            </w:r>
          </w:p>
        </w:tc>
        <w:tc>
          <w:tcPr>
            <w:tcW w:w="1134" w:type="dxa"/>
            <w:tcBorders>
              <w:top w:val="nil"/>
              <w:left w:val="nil"/>
              <w:bottom w:val="single" w:color="000000" w:sz="8" w:space="0"/>
              <w:right w:val="single" w:color="000000" w:sz="8" w:space="0"/>
            </w:tcBorders>
            <w:shd w:val="clear" w:color="auto" w:fill="auto"/>
            <w:vAlign w:val="center"/>
          </w:tcPr>
          <w:p w14:paraId="1337DC11">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8</w:t>
            </w:r>
          </w:p>
        </w:tc>
        <w:tc>
          <w:tcPr>
            <w:tcW w:w="5965" w:type="dxa"/>
            <w:tcBorders>
              <w:top w:val="nil"/>
              <w:left w:val="nil"/>
              <w:bottom w:val="single" w:color="000000" w:sz="8" w:space="0"/>
              <w:right w:val="single" w:color="000000" w:sz="8" w:space="0"/>
            </w:tcBorders>
            <w:shd w:val="clear" w:color="auto" w:fill="auto"/>
            <w:vAlign w:val="center"/>
          </w:tcPr>
          <w:p w14:paraId="61022DE6">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供应商拟投入本项目团队成员具有系统架构设计师、软件评测师、软件设计师、网络工程师，具有四类人员资质证书</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计算机技术与软件专业技术资格考试</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的，任意具有其中一类人员资质证书的得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分，满分</w:t>
            </w:r>
            <w:r>
              <w:rPr>
                <w:rFonts w:hint="eastAsia" w:hAnsi="宋体" w:eastAsia="黑体" w:cs="黑体"/>
                <w:color w:val="000000"/>
                <w:kern w:val="0"/>
                <w:sz w:val="21"/>
                <w:szCs w:val="21"/>
                <w:lang w:bidi="ar"/>
              </w:rPr>
              <w:t>8</w:t>
            </w:r>
            <w:r>
              <w:rPr>
                <w:rFonts w:hint="eastAsia" w:ascii="宋体" w:hAnsi="宋体" w:cs="宋体"/>
                <w:color w:val="000000"/>
                <w:kern w:val="0"/>
                <w:sz w:val="21"/>
                <w:szCs w:val="21"/>
                <w:lang w:bidi="ar"/>
              </w:rPr>
              <w:t>分。【同一个人拥有两个及以上证书的按一个计算，须提供人员资质证书复印件、须提供本项目招标公告发布日前六个月</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不含磋商文件要求当月</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中的任意一个月的社保证明材料。未提供的不得分。】</w:t>
            </w:r>
          </w:p>
        </w:tc>
      </w:tr>
      <w:tr w14:paraId="16B28031">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5B9C86B7">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9</w:t>
            </w:r>
          </w:p>
        </w:tc>
        <w:tc>
          <w:tcPr>
            <w:tcW w:w="1134" w:type="dxa"/>
            <w:tcBorders>
              <w:top w:val="nil"/>
              <w:left w:val="nil"/>
              <w:bottom w:val="single" w:color="000000" w:sz="8" w:space="0"/>
              <w:right w:val="single" w:color="000000" w:sz="8" w:space="0"/>
            </w:tcBorders>
            <w:shd w:val="clear" w:color="auto" w:fill="auto"/>
            <w:vAlign w:val="center"/>
          </w:tcPr>
          <w:p w14:paraId="1EE8F3F2">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项目组人员</w:t>
            </w:r>
          </w:p>
        </w:tc>
        <w:tc>
          <w:tcPr>
            <w:tcW w:w="1134" w:type="dxa"/>
            <w:tcBorders>
              <w:top w:val="nil"/>
              <w:left w:val="nil"/>
              <w:bottom w:val="single" w:color="000000" w:sz="8" w:space="0"/>
              <w:right w:val="single" w:color="000000" w:sz="8" w:space="0"/>
            </w:tcBorders>
            <w:shd w:val="clear" w:color="auto" w:fill="auto"/>
            <w:vAlign w:val="center"/>
          </w:tcPr>
          <w:p w14:paraId="69E3601B">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52EAD9CD">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供应商拟派的本项目经理具备信息系统项目管理师证书的得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分，否则不得分。</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须提供人员证书复印件</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须提供本项目招标公告发布日前六个月</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不含磋商文件要求当月</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中的任意一个月的社保证明材料。未提供的不得分</w:t>
            </w:r>
            <w:r>
              <w:rPr>
                <w:rFonts w:hint="eastAsia" w:hAnsi="宋体" w:eastAsia="黑体" w:cs="黑体"/>
                <w:color w:val="000000"/>
                <w:kern w:val="0"/>
                <w:sz w:val="21"/>
                <w:szCs w:val="21"/>
                <w:lang w:bidi="ar"/>
              </w:rPr>
              <w:t>)</w:t>
            </w:r>
          </w:p>
        </w:tc>
      </w:tr>
      <w:tr w14:paraId="62A95256">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58EC8ECC">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10</w:t>
            </w:r>
          </w:p>
        </w:tc>
        <w:tc>
          <w:tcPr>
            <w:tcW w:w="1134" w:type="dxa"/>
            <w:tcBorders>
              <w:top w:val="nil"/>
              <w:left w:val="nil"/>
              <w:bottom w:val="single" w:color="000000" w:sz="8" w:space="0"/>
              <w:right w:val="single" w:color="000000" w:sz="8" w:space="0"/>
            </w:tcBorders>
            <w:shd w:val="clear" w:color="auto" w:fill="auto"/>
            <w:vAlign w:val="center"/>
          </w:tcPr>
          <w:p w14:paraId="062F0E64">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服务</w:t>
            </w:r>
          </w:p>
          <w:p w14:paraId="5647C37B">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热线</w:t>
            </w:r>
          </w:p>
        </w:tc>
        <w:tc>
          <w:tcPr>
            <w:tcW w:w="1134" w:type="dxa"/>
            <w:tcBorders>
              <w:top w:val="nil"/>
              <w:left w:val="nil"/>
              <w:bottom w:val="single" w:color="000000" w:sz="8" w:space="0"/>
              <w:right w:val="single" w:color="000000" w:sz="8" w:space="0"/>
            </w:tcBorders>
            <w:shd w:val="clear" w:color="auto" w:fill="auto"/>
            <w:vAlign w:val="center"/>
          </w:tcPr>
          <w:p w14:paraId="1A232585">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51631F01">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供应商同时具有</w:t>
            </w:r>
            <w:r>
              <w:rPr>
                <w:rFonts w:hint="eastAsia" w:hAnsi="宋体" w:eastAsia="黑体" w:cs="黑体"/>
                <w:color w:val="000000"/>
                <w:kern w:val="0"/>
                <w:sz w:val="21"/>
                <w:szCs w:val="21"/>
                <w:lang w:bidi="ar"/>
              </w:rPr>
              <w:t>800</w:t>
            </w:r>
            <w:r>
              <w:rPr>
                <w:rFonts w:hint="eastAsia" w:ascii="宋体" w:hAnsi="宋体" w:cs="宋体"/>
                <w:color w:val="000000"/>
                <w:kern w:val="0"/>
                <w:sz w:val="21"/>
                <w:szCs w:val="21"/>
                <w:lang w:bidi="ar"/>
              </w:rPr>
              <w:t>和</w:t>
            </w:r>
            <w:r>
              <w:rPr>
                <w:rFonts w:hint="eastAsia" w:hAnsi="宋体" w:eastAsia="黑体" w:cs="黑体"/>
                <w:color w:val="000000"/>
                <w:kern w:val="0"/>
                <w:sz w:val="21"/>
                <w:szCs w:val="21"/>
                <w:lang w:bidi="ar"/>
              </w:rPr>
              <w:t>400</w:t>
            </w:r>
            <w:r>
              <w:rPr>
                <w:rFonts w:hint="eastAsia" w:ascii="宋体" w:hAnsi="宋体" w:cs="宋体"/>
                <w:color w:val="000000"/>
                <w:kern w:val="0"/>
                <w:sz w:val="21"/>
                <w:szCs w:val="21"/>
                <w:lang w:bidi="ar"/>
              </w:rPr>
              <w:t>免费服务热线的得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分，具有</w:t>
            </w:r>
            <w:r>
              <w:rPr>
                <w:rFonts w:hint="eastAsia" w:hAnsi="宋体" w:eastAsia="黑体" w:cs="黑体"/>
                <w:color w:val="000000"/>
                <w:kern w:val="0"/>
                <w:sz w:val="21"/>
                <w:szCs w:val="21"/>
                <w:lang w:bidi="ar"/>
              </w:rPr>
              <w:t>800</w:t>
            </w:r>
            <w:r>
              <w:rPr>
                <w:rFonts w:hint="eastAsia" w:ascii="宋体" w:hAnsi="宋体" w:cs="宋体"/>
                <w:color w:val="000000"/>
                <w:kern w:val="0"/>
                <w:sz w:val="21"/>
                <w:szCs w:val="21"/>
                <w:lang w:bidi="ar"/>
              </w:rPr>
              <w:t>或</w:t>
            </w:r>
            <w:r>
              <w:rPr>
                <w:rFonts w:hint="eastAsia" w:hAnsi="宋体" w:eastAsia="黑体" w:cs="黑体"/>
                <w:color w:val="000000"/>
                <w:kern w:val="0"/>
                <w:sz w:val="21"/>
                <w:szCs w:val="21"/>
                <w:lang w:bidi="ar"/>
              </w:rPr>
              <w:t>400</w:t>
            </w:r>
            <w:r>
              <w:rPr>
                <w:rFonts w:hint="eastAsia" w:ascii="宋体" w:hAnsi="宋体" w:cs="宋体"/>
                <w:color w:val="000000"/>
                <w:kern w:val="0"/>
                <w:sz w:val="21"/>
                <w:szCs w:val="21"/>
                <w:lang w:bidi="ar"/>
              </w:rPr>
              <w:t>免费服务热线的得</w:t>
            </w:r>
            <w:r>
              <w:rPr>
                <w:rFonts w:hint="eastAsia" w:hAnsi="宋体" w:eastAsia="黑体" w:cs="黑体"/>
                <w:color w:val="000000"/>
                <w:kern w:val="0"/>
                <w:sz w:val="21"/>
                <w:szCs w:val="21"/>
                <w:lang w:bidi="ar"/>
              </w:rPr>
              <w:t>3</w:t>
            </w:r>
            <w:r>
              <w:rPr>
                <w:rFonts w:hint="eastAsia" w:ascii="宋体" w:hAnsi="宋体" w:cs="宋体"/>
                <w:color w:val="000000"/>
                <w:kern w:val="0"/>
                <w:sz w:val="21"/>
                <w:szCs w:val="21"/>
                <w:lang w:bidi="ar"/>
              </w:rPr>
              <w:t>分，否则不得分。</w:t>
            </w:r>
            <w:r>
              <w:rPr>
                <w:rFonts w:hint="eastAsia" w:hAnsi="宋体" w:eastAsia="黑体" w:cs="黑体"/>
                <w:color w:val="000000"/>
                <w:kern w:val="0"/>
                <w:sz w:val="21"/>
                <w:szCs w:val="21"/>
                <w:lang w:bidi="ar"/>
              </w:rPr>
              <w:t xml:space="preserve"> (</w:t>
            </w:r>
            <w:r>
              <w:rPr>
                <w:rFonts w:hint="eastAsia" w:ascii="宋体" w:hAnsi="宋体" w:cs="宋体"/>
                <w:color w:val="000000"/>
                <w:kern w:val="0"/>
                <w:sz w:val="21"/>
                <w:szCs w:val="21"/>
                <w:lang w:bidi="ar"/>
              </w:rPr>
              <w:t>供应商须提供运营商</w:t>
            </w:r>
            <w:r>
              <w:rPr>
                <w:rFonts w:hint="eastAsia" w:hAnsi="宋体" w:eastAsia="黑体" w:cs="黑体"/>
                <w:color w:val="000000"/>
                <w:kern w:val="0"/>
                <w:sz w:val="21"/>
                <w:szCs w:val="21"/>
                <w:lang w:bidi="ar"/>
              </w:rPr>
              <w:t>800</w:t>
            </w:r>
            <w:r>
              <w:rPr>
                <w:rFonts w:hint="eastAsia" w:ascii="宋体" w:hAnsi="宋体" w:cs="宋体"/>
                <w:color w:val="000000"/>
                <w:kern w:val="0"/>
                <w:sz w:val="21"/>
                <w:szCs w:val="21"/>
                <w:lang w:bidi="ar"/>
              </w:rPr>
              <w:t>业务用户登记表复印件、</w:t>
            </w:r>
            <w:r>
              <w:rPr>
                <w:rFonts w:hint="eastAsia" w:hAnsi="宋体" w:eastAsia="黑体" w:cs="黑体"/>
                <w:color w:val="000000"/>
                <w:kern w:val="0"/>
                <w:sz w:val="21"/>
                <w:szCs w:val="21"/>
                <w:lang w:bidi="ar"/>
              </w:rPr>
              <w:t>400</w:t>
            </w:r>
            <w:r>
              <w:rPr>
                <w:rFonts w:hint="eastAsia" w:ascii="宋体" w:hAnsi="宋体" w:cs="宋体"/>
                <w:color w:val="000000"/>
                <w:kern w:val="0"/>
                <w:sz w:val="21"/>
                <w:szCs w:val="21"/>
                <w:lang w:bidi="ar"/>
              </w:rPr>
              <w:t>业务受理单复印件，加盖供应商单位公章，未提供的不得分</w:t>
            </w:r>
            <w:r>
              <w:rPr>
                <w:rFonts w:hint="eastAsia" w:hAnsi="宋体" w:eastAsia="黑体" w:cs="黑体"/>
                <w:color w:val="000000"/>
                <w:kern w:val="0"/>
                <w:sz w:val="21"/>
                <w:szCs w:val="21"/>
                <w:lang w:bidi="ar"/>
              </w:rPr>
              <w:t>)</w:t>
            </w:r>
          </w:p>
        </w:tc>
      </w:tr>
      <w:tr w14:paraId="29E82B2D">
        <w:tblPrEx>
          <w:tblCellMar>
            <w:top w:w="0" w:type="dxa"/>
            <w:left w:w="108" w:type="dxa"/>
            <w:bottom w:w="0" w:type="dxa"/>
            <w:right w:w="108" w:type="dxa"/>
          </w:tblCellMar>
        </w:tblPrEx>
        <w:trPr>
          <w:trHeight w:val="17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14C89971">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11</w:t>
            </w:r>
          </w:p>
        </w:tc>
        <w:tc>
          <w:tcPr>
            <w:tcW w:w="1134" w:type="dxa"/>
            <w:tcBorders>
              <w:top w:val="nil"/>
              <w:left w:val="nil"/>
              <w:bottom w:val="single" w:color="000000" w:sz="8" w:space="0"/>
              <w:right w:val="single" w:color="000000" w:sz="8" w:space="0"/>
            </w:tcBorders>
            <w:shd w:val="clear" w:color="auto" w:fill="auto"/>
            <w:vAlign w:val="center"/>
          </w:tcPr>
          <w:p w14:paraId="6EB3429D">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服务</w:t>
            </w:r>
          </w:p>
          <w:p w14:paraId="6E0F7492">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方案</w:t>
            </w:r>
          </w:p>
        </w:tc>
        <w:tc>
          <w:tcPr>
            <w:tcW w:w="1134" w:type="dxa"/>
            <w:tcBorders>
              <w:top w:val="nil"/>
              <w:left w:val="nil"/>
              <w:bottom w:val="single" w:color="000000" w:sz="8" w:space="0"/>
              <w:right w:val="single" w:color="000000" w:sz="8" w:space="0"/>
            </w:tcBorders>
            <w:shd w:val="clear" w:color="auto" w:fill="auto"/>
            <w:vAlign w:val="center"/>
          </w:tcPr>
          <w:p w14:paraId="61F808D6">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0377E711">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为本项目提供的整体服务方案进行评分，包括但不限于底数清单服务、数据校验服务、数据上报服务、数据维护服务。方案包含的要点齐全无缺漏项、内容与要点相符、内容完善且能够适用于本项目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分；方案所包含的要点齐全、内容与要点相符，但仅有纲要内容简略，未展开阐述的得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分；方案所包含的要点有缺漏或无实质性内容的得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分，未提供的不得分。</w:t>
            </w:r>
          </w:p>
        </w:tc>
      </w:tr>
      <w:tr w14:paraId="0F12F092">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4ACD396F">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12</w:t>
            </w:r>
          </w:p>
        </w:tc>
        <w:tc>
          <w:tcPr>
            <w:tcW w:w="1134" w:type="dxa"/>
            <w:tcBorders>
              <w:top w:val="nil"/>
              <w:left w:val="nil"/>
              <w:bottom w:val="single" w:color="000000" w:sz="8" w:space="0"/>
              <w:right w:val="single" w:color="000000" w:sz="8" w:space="0"/>
            </w:tcBorders>
            <w:shd w:val="clear" w:color="auto" w:fill="auto"/>
            <w:vAlign w:val="center"/>
          </w:tcPr>
          <w:p w14:paraId="3E213A3B">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服务</w:t>
            </w:r>
          </w:p>
          <w:p w14:paraId="1BC3BA49">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响应</w:t>
            </w:r>
          </w:p>
          <w:p w14:paraId="3ECE359F">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要求</w:t>
            </w:r>
          </w:p>
        </w:tc>
        <w:tc>
          <w:tcPr>
            <w:tcW w:w="1134" w:type="dxa"/>
            <w:tcBorders>
              <w:top w:val="nil"/>
              <w:left w:val="nil"/>
              <w:bottom w:val="single" w:color="000000" w:sz="8" w:space="0"/>
              <w:right w:val="single" w:color="000000" w:sz="8" w:space="0"/>
            </w:tcBorders>
            <w:shd w:val="clear" w:color="auto" w:fill="auto"/>
            <w:vAlign w:val="center"/>
          </w:tcPr>
          <w:p w14:paraId="07EBE9F5">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007B23A4">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在供应商承诺的软件免费质保服务期间，提供2小时内到达现场服务的得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分；4小时内到达现场服务的得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分；超过4小时但不超过</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小时的得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分；不提供现场服务或</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小时内不能到达现场服务的不得分。满分</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w:t>
            </w:r>
          </w:p>
        </w:tc>
      </w:tr>
      <w:tr w14:paraId="68DF670D">
        <w:tblPrEx>
          <w:tblCellMar>
            <w:top w:w="0" w:type="dxa"/>
            <w:left w:w="108" w:type="dxa"/>
            <w:bottom w:w="0" w:type="dxa"/>
            <w:right w:w="108" w:type="dxa"/>
          </w:tblCellMar>
        </w:tblPrEx>
        <w:trPr>
          <w:trHeight w:val="863"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64A3C809">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13</w:t>
            </w:r>
          </w:p>
        </w:tc>
        <w:tc>
          <w:tcPr>
            <w:tcW w:w="1134" w:type="dxa"/>
            <w:tcBorders>
              <w:top w:val="nil"/>
              <w:left w:val="nil"/>
              <w:bottom w:val="single" w:color="000000" w:sz="8" w:space="0"/>
              <w:right w:val="single" w:color="000000" w:sz="8" w:space="0"/>
            </w:tcBorders>
            <w:shd w:val="clear" w:color="auto" w:fill="auto"/>
            <w:vAlign w:val="center"/>
          </w:tcPr>
          <w:p w14:paraId="7A3DF30B">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质量</w:t>
            </w:r>
          </w:p>
          <w:p w14:paraId="35A1F990">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方案</w:t>
            </w:r>
          </w:p>
        </w:tc>
        <w:tc>
          <w:tcPr>
            <w:tcW w:w="1134" w:type="dxa"/>
            <w:tcBorders>
              <w:top w:val="nil"/>
              <w:left w:val="nil"/>
              <w:bottom w:val="single" w:color="000000" w:sz="8" w:space="0"/>
              <w:right w:val="single" w:color="000000" w:sz="8" w:space="0"/>
            </w:tcBorders>
            <w:shd w:val="clear" w:color="auto" w:fill="auto"/>
            <w:vAlign w:val="center"/>
          </w:tcPr>
          <w:p w14:paraId="21EFD9DD">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0985B0E1">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根据供应商为本项目提供的整体实施方案进行评分，包括但不限于项目实施计划、人员组成、工期进度、质量管理等方面。方案包含的要点齐全无缺漏项、内容与要点相符、内容完善且能够适用于本项目的得</w:t>
            </w:r>
            <w:r>
              <w:rPr>
                <w:rFonts w:hint="eastAsia" w:hAnsi="宋体" w:eastAsia="黑体" w:cs="黑体"/>
                <w:color w:val="000000"/>
                <w:kern w:val="0"/>
                <w:sz w:val="21"/>
                <w:szCs w:val="21"/>
                <w:lang w:bidi="ar"/>
              </w:rPr>
              <w:t>6</w:t>
            </w:r>
            <w:r>
              <w:rPr>
                <w:rFonts w:hint="eastAsia" w:ascii="宋体" w:hAnsi="宋体" w:cs="宋体"/>
                <w:color w:val="000000"/>
                <w:kern w:val="0"/>
                <w:sz w:val="21"/>
                <w:szCs w:val="21"/>
                <w:lang w:bidi="ar"/>
              </w:rPr>
              <w:t>分；方案所包含的要点齐全、内容与要点相符，但仅有纲要内容简略，未展开阐述的得</w:t>
            </w:r>
            <w:r>
              <w:rPr>
                <w:rFonts w:hint="eastAsia" w:hAnsi="宋体" w:eastAsia="黑体" w:cs="黑体"/>
                <w:color w:val="000000"/>
                <w:kern w:val="0"/>
                <w:sz w:val="21"/>
                <w:szCs w:val="21"/>
                <w:lang w:bidi="ar"/>
              </w:rPr>
              <w:t>4</w:t>
            </w:r>
            <w:r>
              <w:rPr>
                <w:rFonts w:hint="eastAsia" w:ascii="宋体" w:hAnsi="宋体" w:cs="宋体"/>
                <w:color w:val="000000"/>
                <w:kern w:val="0"/>
                <w:sz w:val="21"/>
                <w:szCs w:val="21"/>
                <w:lang w:bidi="ar"/>
              </w:rPr>
              <w:t>分；方案所包含的要点有缺漏或无实质性内容的得</w:t>
            </w:r>
            <w:r>
              <w:rPr>
                <w:rFonts w:hint="eastAsia" w:hAnsi="宋体" w:eastAsia="黑体" w:cs="黑体"/>
                <w:color w:val="000000"/>
                <w:kern w:val="0"/>
                <w:sz w:val="21"/>
                <w:szCs w:val="21"/>
                <w:lang w:bidi="ar"/>
              </w:rPr>
              <w:t>2</w:t>
            </w:r>
            <w:r>
              <w:rPr>
                <w:rFonts w:hint="eastAsia" w:ascii="宋体" w:hAnsi="宋体" w:cs="宋体"/>
                <w:color w:val="000000"/>
                <w:kern w:val="0"/>
                <w:sz w:val="21"/>
                <w:szCs w:val="21"/>
                <w:lang w:bidi="ar"/>
              </w:rPr>
              <w:t>分，未提供的不得分。</w:t>
            </w:r>
          </w:p>
        </w:tc>
      </w:tr>
      <w:tr w14:paraId="209F1624">
        <w:tblPrEx>
          <w:tblCellMar>
            <w:top w:w="0" w:type="dxa"/>
            <w:left w:w="108" w:type="dxa"/>
            <w:bottom w:w="0" w:type="dxa"/>
            <w:right w:w="108" w:type="dxa"/>
          </w:tblCellMar>
        </w:tblPrEx>
        <w:trPr>
          <w:trHeight w:val="143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5D814A38">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14</w:t>
            </w:r>
          </w:p>
        </w:tc>
        <w:tc>
          <w:tcPr>
            <w:tcW w:w="1134" w:type="dxa"/>
            <w:tcBorders>
              <w:top w:val="nil"/>
              <w:left w:val="nil"/>
              <w:bottom w:val="single" w:color="000000" w:sz="8" w:space="0"/>
              <w:right w:val="single" w:color="000000" w:sz="8" w:space="0"/>
            </w:tcBorders>
            <w:shd w:val="clear" w:color="auto" w:fill="auto"/>
            <w:vAlign w:val="center"/>
          </w:tcPr>
          <w:p w14:paraId="440920C8">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项目培训方案</w:t>
            </w:r>
          </w:p>
        </w:tc>
        <w:tc>
          <w:tcPr>
            <w:tcW w:w="1134" w:type="dxa"/>
            <w:tcBorders>
              <w:top w:val="single" w:color="000000" w:sz="8" w:space="0"/>
              <w:left w:val="nil"/>
              <w:bottom w:val="single" w:color="000000" w:sz="8" w:space="0"/>
              <w:right w:val="single" w:color="000000" w:sz="8" w:space="0"/>
            </w:tcBorders>
            <w:shd w:val="clear" w:color="auto" w:fill="FFFFFF"/>
            <w:vAlign w:val="center"/>
          </w:tcPr>
          <w:p w14:paraId="2D3B7BB7">
            <w:pPr>
              <w:widowControl/>
              <w:spacing w:line="360" w:lineRule="exact"/>
              <w:ind w:firstLine="0" w:firstLineChars="0"/>
              <w:jc w:val="center"/>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kern w:val="0"/>
                <w:sz w:val="21"/>
                <w:szCs w:val="21"/>
                <w:lang w:bidi="ar"/>
              </w:rPr>
              <w:t>6</w:t>
            </w:r>
          </w:p>
        </w:tc>
        <w:tc>
          <w:tcPr>
            <w:tcW w:w="5965" w:type="dxa"/>
            <w:tcBorders>
              <w:top w:val="nil"/>
              <w:left w:val="nil"/>
              <w:bottom w:val="single" w:color="000000" w:sz="8" w:space="0"/>
              <w:right w:val="single" w:color="000000" w:sz="8" w:space="0"/>
            </w:tcBorders>
            <w:shd w:val="clear" w:color="auto" w:fill="auto"/>
            <w:vAlign w:val="center"/>
          </w:tcPr>
          <w:p w14:paraId="5E05D3E6">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根据供应商对采购人的管理人员、操作人员及维护人员培训计划方案进行评分，包含但不限于人员安排、时间安排等。计划完善、丰富，完全达到用户要求的得6分；计划齐全，基本达到用户要求的得4分；计划有遗漏或缺陷的得2分，未提供的不得分。</w:t>
            </w:r>
          </w:p>
        </w:tc>
      </w:tr>
      <w:tr w14:paraId="6CD2576D">
        <w:tblPrEx>
          <w:tblCellMar>
            <w:top w:w="0" w:type="dxa"/>
            <w:left w:w="108" w:type="dxa"/>
            <w:bottom w:w="0" w:type="dxa"/>
            <w:right w:w="108" w:type="dxa"/>
          </w:tblCellMar>
        </w:tblPrEx>
        <w:trPr>
          <w:trHeight w:val="1075" w:hRule="atLeast"/>
          <w:jc w:val="center"/>
        </w:trPr>
        <w:tc>
          <w:tcPr>
            <w:tcW w:w="972" w:type="dxa"/>
            <w:tcBorders>
              <w:top w:val="nil"/>
              <w:left w:val="single" w:color="000000" w:sz="8" w:space="0"/>
              <w:bottom w:val="single" w:color="000000" w:sz="8" w:space="0"/>
              <w:right w:val="single" w:color="000000" w:sz="8" w:space="0"/>
            </w:tcBorders>
            <w:shd w:val="clear" w:color="auto" w:fill="auto"/>
            <w:vAlign w:val="center"/>
          </w:tcPr>
          <w:p w14:paraId="12213906">
            <w:pPr>
              <w:widowControl/>
              <w:spacing w:line="360" w:lineRule="exact"/>
              <w:ind w:firstLine="0" w:firstLineChars="0"/>
              <w:jc w:val="center"/>
              <w:textAlignment w:val="center"/>
              <w:rPr>
                <w:rFonts w:hAnsi="宋体" w:eastAsia="黑体" w:cs="黑体"/>
                <w:color w:val="000000"/>
                <w:sz w:val="21"/>
                <w:szCs w:val="21"/>
              </w:rPr>
            </w:pPr>
            <w:r>
              <w:rPr>
                <w:rFonts w:hint="eastAsia" w:hAnsi="宋体" w:eastAsia="黑体" w:cs="黑体"/>
                <w:color w:val="000000"/>
                <w:kern w:val="0"/>
                <w:sz w:val="21"/>
                <w:szCs w:val="21"/>
                <w:lang w:bidi="ar"/>
              </w:rPr>
              <w:t>15</w:t>
            </w:r>
          </w:p>
        </w:tc>
        <w:tc>
          <w:tcPr>
            <w:tcW w:w="1134" w:type="dxa"/>
            <w:tcBorders>
              <w:top w:val="nil"/>
              <w:left w:val="nil"/>
              <w:bottom w:val="single" w:color="000000" w:sz="8" w:space="0"/>
              <w:right w:val="single" w:color="000000" w:sz="8" w:space="0"/>
            </w:tcBorders>
            <w:shd w:val="clear" w:color="auto" w:fill="auto"/>
            <w:vAlign w:val="center"/>
          </w:tcPr>
          <w:p w14:paraId="1F955BC5">
            <w:pPr>
              <w:widowControl/>
              <w:spacing w:line="360" w:lineRule="exact"/>
              <w:ind w:firstLine="0" w:firstLineChars="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报价</w:t>
            </w:r>
          </w:p>
          <w:p w14:paraId="3FEE5E12">
            <w:pPr>
              <w:widowControl/>
              <w:spacing w:line="360" w:lineRule="exact"/>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情况</w:t>
            </w:r>
          </w:p>
        </w:tc>
        <w:tc>
          <w:tcPr>
            <w:tcW w:w="1134" w:type="dxa"/>
            <w:tcBorders>
              <w:top w:val="nil"/>
              <w:left w:val="nil"/>
              <w:bottom w:val="single" w:color="000000" w:sz="8" w:space="0"/>
              <w:right w:val="single" w:color="000000" w:sz="8" w:space="0"/>
            </w:tcBorders>
            <w:shd w:val="clear" w:color="auto" w:fill="auto"/>
            <w:vAlign w:val="center"/>
          </w:tcPr>
          <w:p w14:paraId="369BB9A6">
            <w:pPr>
              <w:widowControl/>
              <w:spacing w:line="360" w:lineRule="exact"/>
              <w:ind w:firstLine="0" w:firstLineChars="0"/>
              <w:jc w:val="center"/>
              <w:textAlignment w:val="center"/>
              <w:rPr>
                <w:rFonts w:cs="黑体" w:asciiTheme="minorEastAsia" w:hAnsiTheme="minorEastAsia" w:eastAsiaTheme="minorEastAsia"/>
                <w:color w:val="000000"/>
                <w:sz w:val="21"/>
                <w:szCs w:val="21"/>
              </w:rPr>
            </w:pPr>
            <w:r>
              <w:rPr>
                <w:rFonts w:hint="eastAsia" w:cs="黑体" w:asciiTheme="minorEastAsia" w:hAnsiTheme="minorEastAsia" w:eastAsiaTheme="minorEastAsia"/>
                <w:color w:val="000000"/>
                <w:kern w:val="0"/>
                <w:sz w:val="21"/>
                <w:szCs w:val="21"/>
                <w:lang w:bidi="ar"/>
              </w:rPr>
              <w:t>10</w:t>
            </w:r>
          </w:p>
        </w:tc>
        <w:tc>
          <w:tcPr>
            <w:tcW w:w="5965" w:type="dxa"/>
            <w:tcBorders>
              <w:top w:val="nil"/>
              <w:left w:val="nil"/>
              <w:bottom w:val="single" w:color="000000" w:sz="8" w:space="0"/>
              <w:right w:val="single" w:color="000000" w:sz="8" w:space="0"/>
            </w:tcBorders>
            <w:shd w:val="clear" w:color="auto" w:fill="auto"/>
            <w:vAlign w:val="center"/>
          </w:tcPr>
          <w:p w14:paraId="0F2DD85E">
            <w:pPr>
              <w:widowControl/>
              <w:spacing w:line="360" w:lineRule="exact"/>
              <w:ind w:firstLine="0" w:firstLineChars="0"/>
              <w:textAlignment w:val="center"/>
              <w:rPr>
                <w:rFonts w:ascii="宋体" w:hAnsi="宋体" w:cs="宋体"/>
                <w:color w:val="000000"/>
                <w:sz w:val="21"/>
                <w:szCs w:val="21"/>
              </w:rPr>
            </w:pPr>
            <w:r>
              <w:rPr>
                <w:rFonts w:hint="eastAsia" w:ascii="宋体" w:hAnsi="宋体" w:cs="宋体"/>
                <w:color w:val="000000"/>
                <w:kern w:val="0"/>
                <w:sz w:val="21"/>
                <w:szCs w:val="21"/>
                <w:lang w:bidi="ar"/>
              </w:rPr>
              <w:t>采用低价优先法计算，即满足采购文件要求且报价最低的供应商的价格为基准价，其价格分为满分。其他供应商的价格分统一按照下列公式计算：报价得分</w:t>
            </w:r>
            <w:r>
              <w:rPr>
                <w:rFonts w:hint="eastAsia" w:hAnsi="宋体" w:eastAsia="黑体" w:cs="黑体"/>
                <w:color w:val="000000"/>
                <w:kern w:val="0"/>
                <w:sz w:val="21"/>
                <w:szCs w:val="21"/>
                <w:lang w:bidi="ar"/>
              </w:rPr>
              <w:t>=</w:t>
            </w:r>
            <w:r>
              <w:rPr>
                <w:rFonts w:hint="eastAsia" w:ascii="宋体" w:hAnsi="宋体" w:cs="宋体"/>
                <w:color w:val="000000"/>
                <w:kern w:val="0"/>
                <w:sz w:val="21"/>
                <w:szCs w:val="21"/>
                <w:lang w:bidi="ar"/>
              </w:rPr>
              <w:t>（基准价／报价）×价格权值（</w:t>
            </w:r>
            <w:r>
              <w:rPr>
                <w:rFonts w:hint="eastAsia" w:hAnsi="宋体" w:eastAsia="黑体" w:cs="黑体"/>
                <w:color w:val="000000"/>
                <w:kern w:val="0"/>
                <w:sz w:val="21"/>
                <w:szCs w:val="21"/>
                <w:lang w:bidi="ar"/>
              </w:rPr>
              <w:t>0.10</w:t>
            </w:r>
            <w:r>
              <w:rPr>
                <w:rFonts w:hint="eastAsia" w:ascii="宋体" w:hAnsi="宋体" w:cs="宋体"/>
                <w:color w:val="000000"/>
                <w:kern w:val="0"/>
                <w:sz w:val="21"/>
                <w:szCs w:val="21"/>
                <w:lang w:bidi="ar"/>
              </w:rPr>
              <w:t>）×</w:t>
            </w:r>
            <w:r>
              <w:rPr>
                <w:rFonts w:hint="eastAsia" w:hAnsi="宋体" w:eastAsia="黑体" w:cs="黑体"/>
                <w:color w:val="000000"/>
                <w:kern w:val="0"/>
                <w:sz w:val="21"/>
                <w:szCs w:val="21"/>
                <w:lang w:bidi="ar"/>
              </w:rPr>
              <w:t>100</w:t>
            </w:r>
            <w:r>
              <w:rPr>
                <w:rFonts w:hint="eastAsia" w:ascii="宋体" w:hAnsi="宋体" w:cs="宋体"/>
                <w:color w:val="000000"/>
                <w:kern w:val="0"/>
                <w:sz w:val="21"/>
                <w:szCs w:val="21"/>
                <w:lang w:bidi="ar"/>
              </w:rPr>
              <w:t>。</w:t>
            </w:r>
          </w:p>
        </w:tc>
      </w:tr>
    </w:tbl>
    <w:p w14:paraId="5C70E329">
      <w:pPr>
        <w:ind w:firstLine="480"/>
      </w:pPr>
    </w:p>
    <w:p w14:paraId="71C791C1">
      <w:pPr>
        <w:widowControl/>
        <w:ind w:firstLine="482"/>
        <w:jc w:val="center"/>
        <w:rPr>
          <w:rFonts w:ascii="宋体" w:hAnsi="宋体" w:cs="宋体"/>
          <w:b/>
          <w:bCs/>
          <w:kern w:val="0"/>
          <w:sz w:val="32"/>
          <w:szCs w:val="32"/>
          <w:lang w:bidi="ar"/>
        </w:rPr>
      </w:pPr>
      <w:r>
        <w:rPr>
          <w:rFonts w:hint="eastAsia" w:ascii="宋体" w:hAnsi="宋体"/>
          <w:b/>
          <w:color w:val="000000"/>
        </w:rPr>
        <w:br w:type="page"/>
      </w:r>
      <w:r>
        <w:rPr>
          <w:rFonts w:ascii="宋体" w:hAnsi="宋体" w:cs="宋体"/>
          <w:b/>
          <w:bCs/>
          <w:kern w:val="0"/>
          <w:sz w:val="32"/>
          <w:szCs w:val="32"/>
          <w:lang w:bidi="ar"/>
        </w:rPr>
        <w:t>资格承诺函</w:t>
      </w:r>
    </w:p>
    <w:p w14:paraId="102F8E9B">
      <w:pPr>
        <w:ind w:firstLine="480"/>
        <w:rPr>
          <w:lang w:bidi="ar"/>
        </w:rPr>
      </w:pPr>
      <w:r>
        <w:rPr>
          <w:lang w:bidi="ar"/>
        </w:rPr>
        <w:t xml:space="preserve">致： （采购人、采购代理机构） </w:t>
      </w:r>
    </w:p>
    <w:p w14:paraId="0B7E7C98">
      <w:pPr>
        <w:ind w:firstLine="480"/>
        <w:rPr>
          <w:lang w:bidi="ar"/>
        </w:rPr>
      </w:pPr>
      <w:r>
        <w:rPr>
          <w:lang w:bidi="ar"/>
        </w:rPr>
        <w:t>我单位参与 （项目名称）项目的政府采购活动，现承诺如下：</w:t>
      </w:r>
    </w:p>
    <w:p w14:paraId="0E7E941C">
      <w:pPr>
        <w:ind w:firstLine="480"/>
        <w:rPr>
          <w:lang w:bidi="ar"/>
        </w:rPr>
      </w:pPr>
      <w:r>
        <w:rPr>
          <w:rFonts w:hint="eastAsia"/>
          <w:lang w:bidi="ar"/>
        </w:rPr>
        <w:t>1.</w:t>
      </w:r>
      <w:r>
        <w:rPr>
          <w:lang w:bidi="ar"/>
        </w:rPr>
        <w:t>我单位具有符合采购文件资格要求的财务状况报告。</w:t>
      </w:r>
    </w:p>
    <w:p w14:paraId="2904B530">
      <w:pPr>
        <w:ind w:firstLine="480"/>
        <w:rPr>
          <w:lang w:bidi="ar"/>
        </w:rPr>
      </w:pPr>
      <w:r>
        <w:rPr>
          <w:rFonts w:hint="eastAsia"/>
          <w:lang w:bidi="ar"/>
        </w:rPr>
        <w:t>2.</w:t>
      </w:r>
      <w:r>
        <w:rPr>
          <w:lang w:bidi="ar"/>
        </w:rPr>
        <w:t>我单位具有符合采购文件资格要求的依法缴纳税收</w:t>
      </w:r>
      <w:r>
        <w:rPr>
          <w:rFonts w:hint="eastAsia"/>
          <w:lang w:bidi="ar"/>
        </w:rPr>
        <w:t>的相关</w:t>
      </w:r>
      <w:r>
        <w:rPr>
          <w:lang w:bidi="ar"/>
        </w:rPr>
        <w:t xml:space="preserve">证明材料。 </w:t>
      </w:r>
    </w:p>
    <w:p w14:paraId="34A7C310">
      <w:pPr>
        <w:ind w:firstLine="480"/>
      </w:pPr>
      <w:r>
        <w:rPr>
          <w:rFonts w:hint="eastAsia"/>
          <w:lang w:bidi="ar"/>
        </w:rPr>
        <w:t>3.</w:t>
      </w:r>
      <w:r>
        <w:rPr>
          <w:lang w:bidi="ar"/>
        </w:rPr>
        <w:t>我单位具有符合采购文件资格要求的依法缴纳社会保障资金</w:t>
      </w:r>
      <w:r>
        <w:rPr>
          <w:rFonts w:hint="eastAsia"/>
          <w:lang w:bidi="ar"/>
        </w:rPr>
        <w:t>的相关</w:t>
      </w:r>
      <w:r>
        <w:rPr>
          <w:lang w:bidi="ar"/>
        </w:rPr>
        <w:t xml:space="preserve">证明材料。 </w:t>
      </w:r>
    </w:p>
    <w:p w14:paraId="22F30160">
      <w:pPr>
        <w:ind w:firstLine="480"/>
      </w:pPr>
      <w:r>
        <w:rPr>
          <w:rFonts w:hint="eastAsia"/>
          <w:lang w:bidi="ar"/>
        </w:rPr>
        <w:t>4.</w:t>
      </w:r>
      <w:r>
        <w:rPr>
          <w:lang w:bidi="ar"/>
        </w:rPr>
        <w:t xml:space="preserve">若我单位承诺不实，自愿承担提供虚假材料谋取中标、 成交的法律责任。 </w:t>
      </w:r>
    </w:p>
    <w:p w14:paraId="5F887B11">
      <w:pPr>
        <w:ind w:firstLine="480"/>
        <w:rPr>
          <w:lang w:bidi="ar"/>
        </w:rPr>
      </w:pPr>
    </w:p>
    <w:p w14:paraId="11E6280D">
      <w:pPr>
        <w:ind w:firstLine="480"/>
        <w:rPr>
          <w:lang w:bidi="ar"/>
        </w:rPr>
      </w:pPr>
      <w:r>
        <w:rPr>
          <w:lang w:bidi="ar"/>
        </w:rPr>
        <w:t>承诺供应商（全称并加盖公章）：</w:t>
      </w:r>
      <w:r>
        <w:rPr>
          <w:rFonts w:hint="eastAsia"/>
          <w:lang w:bidi="ar"/>
        </w:rPr>
        <w:t xml:space="preserve">                    </w:t>
      </w:r>
      <w:r>
        <w:rPr>
          <w:lang w:bidi="ar"/>
        </w:rPr>
        <w:t xml:space="preserve"> </w:t>
      </w:r>
    </w:p>
    <w:p w14:paraId="459B2B47">
      <w:pPr>
        <w:ind w:firstLine="480"/>
        <w:rPr>
          <w:lang w:bidi="ar"/>
        </w:rPr>
      </w:pPr>
      <w:r>
        <w:rPr>
          <w:lang w:bidi="ar"/>
        </w:rPr>
        <w:t>单位负责人或授权代表（签字）：</w:t>
      </w:r>
      <w:r>
        <w:rPr>
          <w:rFonts w:hint="eastAsia"/>
          <w:lang w:bidi="ar"/>
        </w:rPr>
        <w:t xml:space="preserve">                    </w:t>
      </w:r>
      <w:r>
        <w:rPr>
          <w:lang w:bidi="ar"/>
        </w:rPr>
        <w:t xml:space="preserve"> </w:t>
      </w:r>
    </w:p>
    <w:p w14:paraId="6CD8113E">
      <w:pPr>
        <w:ind w:firstLine="480"/>
        <w:rPr>
          <w:lang w:bidi="ar"/>
        </w:rPr>
      </w:pPr>
      <w:r>
        <w:rPr>
          <w:lang w:bidi="ar"/>
        </w:rPr>
        <w:t>日期：</w:t>
      </w:r>
      <w:r>
        <w:rPr>
          <w:rFonts w:hint="eastAsia"/>
          <w:lang w:bidi="ar"/>
        </w:rPr>
        <w:t xml:space="preserve">                    </w:t>
      </w:r>
      <w:r>
        <w:rPr>
          <w:lang w:bidi="ar"/>
        </w:rPr>
        <w:t xml:space="preserve"> </w:t>
      </w:r>
    </w:p>
    <w:p w14:paraId="381A582F">
      <w:pPr>
        <w:ind w:firstLine="480"/>
        <w:rPr>
          <w:lang w:bidi="ar"/>
        </w:rPr>
      </w:pPr>
      <w:r>
        <w:rPr>
          <w:lang w:bidi="ar"/>
        </w:rPr>
        <w:t>﹍﹍﹍﹍﹍﹍﹍﹍﹍﹍﹍﹍﹍﹍﹍﹍﹍﹍﹍﹍﹍﹍﹍﹍﹍﹍﹍﹍﹍﹍﹍﹍﹍﹍</w:t>
      </w:r>
      <w:r>
        <w:rPr>
          <w:rFonts w:hint="eastAsia"/>
          <w:lang w:bidi="ar"/>
        </w:rPr>
        <w:t xml:space="preserve">       </w:t>
      </w:r>
    </w:p>
    <w:p w14:paraId="65B5C2D6">
      <w:pPr>
        <w:ind w:firstLine="480"/>
      </w:pPr>
      <w:r>
        <w:rPr>
          <w:lang w:bidi="ar"/>
        </w:rPr>
        <w:t>说明：1.供应商可自行选择是否提供本承诺函，若不提供本承诺函的，应按采购文件要求提供相应的证明材料。 2.供应商可删减承诺事项，如删去承诺第 1 项的，则应按采购文件要求提供财务状况报告。</w:t>
      </w:r>
    </w:p>
    <w:p w14:paraId="09007BB0">
      <w:pPr>
        <w:ind w:firstLine="560"/>
        <w:rPr>
          <w:rFonts w:ascii="仿宋" w:hAnsi="仿宋" w:eastAsia="仿宋" w:cs="仿宋"/>
          <w:kern w:val="0"/>
          <w:sz w:val="28"/>
          <w:szCs w:val="28"/>
          <w:shd w:val="clear" w:color="auto" w:fill="FFFFFF"/>
          <w:lang w:bidi="ar"/>
        </w:rPr>
      </w:pPr>
    </w:p>
    <w:p w14:paraId="7295D0A6">
      <w:pPr>
        <w:ind w:firstLine="560"/>
        <w:rPr>
          <w:rFonts w:ascii="仿宋" w:hAnsi="仿宋" w:eastAsia="仿宋" w:cs="仿宋"/>
          <w:kern w:val="0"/>
          <w:sz w:val="28"/>
          <w:szCs w:val="28"/>
          <w:shd w:val="clear" w:color="auto" w:fill="FFFFFF"/>
          <w:lang w:bidi="ar"/>
        </w:rPr>
      </w:pPr>
    </w:p>
    <w:p w14:paraId="7872559B">
      <w:pPr>
        <w:ind w:firstLine="560"/>
        <w:rPr>
          <w:rFonts w:ascii="仿宋" w:hAnsi="仿宋" w:eastAsia="仿宋" w:cs="仿宋"/>
          <w:kern w:val="0"/>
          <w:sz w:val="28"/>
          <w:szCs w:val="28"/>
          <w:shd w:val="clear" w:color="auto" w:fill="FFFFFF"/>
          <w:lang w:bidi="ar"/>
        </w:rPr>
      </w:pPr>
    </w:p>
    <w:p w14:paraId="554B0B53">
      <w:pPr>
        <w:ind w:firstLine="560"/>
        <w:rPr>
          <w:rFonts w:ascii="仿宋" w:hAnsi="仿宋" w:eastAsia="仿宋" w:cs="仿宋"/>
          <w:kern w:val="0"/>
          <w:sz w:val="28"/>
          <w:szCs w:val="28"/>
          <w:shd w:val="clear" w:color="auto" w:fill="FFFFFF"/>
          <w:lang w:bidi="ar"/>
        </w:rPr>
      </w:pPr>
    </w:p>
    <w:p w14:paraId="3AFE5E46">
      <w:pPr>
        <w:ind w:firstLine="560"/>
        <w:rPr>
          <w:rFonts w:ascii="仿宋" w:hAnsi="仿宋" w:eastAsia="仿宋" w:cs="仿宋"/>
          <w:kern w:val="0"/>
          <w:sz w:val="28"/>
          <w:szCs w:val="28"/>
          <w:shd w:val="clear" w:color="auto" w:fill="FFFFFF"/>
          <w:lang w:bidi="ar"/>
        </w:rPr>
      </w:pPr>
    </w:p>
    <w:p w14:paraId="4B736537">
      <w:pPr>
        <w:ind w:firstLine="560"/>
        <w:rPr>
          <w:rFonts w:ascii="仿宋" w:hAnsi="仿宋" w:eastAsia="仿宋" w:cs="仿宋"/>
          <w:kern w:val="0"/>
          <w:sz w:val="28"/>
          <w:szCs w:val="28"/>
          <w:shd w:val="clear" w:color="auto" w:fill="FFFFFF"/>
          <w:lang w:bidi="ar"/>
        </w:rPr>
      </w:pPr>
    </w:p>
    <w:p w14:paraId="24FEDB41">
      <w:pPr>
        <w:ind w:firstLine="560"/>
        <w:rPr>
          <w:rFonts w:ascii="仿宋" w:hAnsi="仿宋" w:eastAsia="仿宋" w:cs="仿宋"/>
          <w:kern w:val="0"/>
          <w:sz w:val="28"/>
          <w:szCs w:val="28"/>
          <w:shd w:val="clear" w:color="auto" w:fill="FFFFFF"/>
          <w:lang w:bidi="ar"/>
        </w:rPr>
      </w:pPr>
    </w:p>
    <w:p w14:paraId="602E1225">
      <w:pPr>
        <w:ind w:firstLine="560"/>
        <w:rPr>
          <w:rFonts w:ascii="仿宋" w:hAnsi="仿宋" w:eastAsia="仿宋" w:cs="仿宋"/>
          <w:kern w:val="0"/>
          <w:sz w:val="28"/>
          <w:szCs w:val="28"/>
          <w:shd w:val="clear" w:color="auto" w:fill="FFFFFF"/>
          <w:lang w:bidi="ar"/>
        </w:rPr>
      </w:pPr>
    </w:p>
    <w:p w14:paraId="627B04DC">
      <w:pPr>
        <w:ind w:firstLine="560"/>
        <w:rPr>
          <w:rFonts w:ascii="仿宋" w:hAnsi="仿宋" w:eastAsia="仿宋" w:cs="仿宋"/>
          <w:kern w:val="0"/>
          <w:sz w:val="28"/>
          <w:szCs w:val="28"/>
          <w:shd w:val="clear" w:color="auto" w:fill="FFFFFF"/>
          <w:lang w:bidi="ar"/>
        </w:rPr>
      </w:pPr>
    </w:p>
    <w:p w14:paraId="24764996">
      <w:pPr>
        <w:ind w:firstLine="560"/>
        <w:rPr>
          <w:rFonts w:ascii="仿宋" w:hAnsi="仿宋" w:eastAsia="仿宋" w:cs="仿宋"/>
          <w:kern w:val="0"/>
          <w:sz w:val="28"/>
          <w:szCs w:val="28"/>
          <w:shd w:val="clear" w:color="auto" w:fill="FFFFFF"/>
          <w:lang w:bidi="ar"/>
        </w:rPr>
      </w:pPr>
    </w:p>
    <w:p w14:paraId="68F1B4EA">
      <w:pPr>
        <w:ind w:firstLine="560"/>
        <w:rPr>
          <w:rFonts w:ascii="仿宋" w:hAnsi="仿宋" w:eastAsia="仿宋" w:cs="仿宋"/>
          <w:kern w:val="0"/>
          <w:sz w:val="28"/>
          <w:szCs w:val="28"/>
          <w:shd w:val="clear" w:color="auto" w:fill="FFFFFF"/>
          <w:lang w:bidi="ar"/>
        </w:rPr>
      </w:pPr>
    </w:p>
    <w:p w14:paraId="1BB66268">
      <w:pPr>
        <w:ind w:firstLine="0" w:firstLineChars="0"/>
        <w:rPr>
          <w:rFonts w:ascii="宋体" w:hAnsi="宋体"/>
          <w:b/>
          <w:color w:val="000000"/>
        </w:rPr>
      </w:pPr>
    </w:p>
    <w:p w14:paraId="3EE9EAC0">
      <w:pPr>
        <w:pStyle w:val="6"/>
        <w:widowControl/>
        <w:spacing w:beforeAutospacing="0" w:afterAutospacing="0" w:line="480" w:lineRule="atLeast"/>
        <w:ind w:firstLine="643"/>
        <w:jc w:val="center"/>
        <w:rPr>
          <w:rFonts w:hint="default" w:cs="宋体"/>
          <w:sz w:val="32"/>
          <w:szCs w:val="32"/>
          <w:lang w:bidi="ar"/>
        </w:rPr>
      </w:pPr>
      <w:r>
        <w:rPr>
          <w:rFonts w:cs="宋体"/>
          <w:sz w:val="32"/>
          <w:szCs w:val="32"/>
          <w:lang w:bidi="ar"/>
        </w:rPr>
        <w:t xml:space="preserve"> 具备履行合同所必需设备和专业技术能力证明材料</w:t>
      </w:r>
    </w:p>
    <w:p w14:paraId="2EDF9FB8">
      <w:pPr>
        <w:pStyle w:val="6"/>
        <w:widowControl/>
        <w:spacing w:beforeAutospacing="0" w:afterAutospacing="0" w:line="480" w:lineRule="atLeast"/>
        <w:ind w:firstLine="643"/>
        <w:jc w:val="center"/>
        <w:rPr>
          <w:rFonts w:hint="default" w:cs="宋体"/>
          <w:sz w:val="32"/>
          <w:szCs w:val="32"/>
          <w:lang w:bidi="ar"/>
        </w:rPr>
      </w:pPr>
      <w:r>
        <w:rPr>
          <w:rFonts w:cs="宋体"/>
          <w:sz w:val="32"/>
          <w:szCs w:val="32"/>
          <w:lang w:bidi="ar"/>
        </w:rPr>
        <w:t>声明函</w:t>
      </w:r>
    </w:p>
    <w:p w14:paraId="53FF12C2">
      <w:pPr>
        <w:pStyle w:val="13"/>
        <w:widowControl/>
        <w:spacing w:before="0" w:beforeAutospacing="0" w:after="0" w:afterAutospacing="0" w:line="480" w:lineRule="atLeast"/>
        <w:ind w:firstLine="480"/>
        <w:rPr>
          <w:rFonts w:ascii="宋体" w:hAnsi="宋体" w:cs="宋体"/>
        </w:rPr>
      </w:pPr>
      <w:r>
        <w:rPr>
          <w:rFonts w:hint="eastAsia" w:ascii="宋体" w:hAnsi="宋体" w:cs="宋体"/>
        </w:rPr>
        <w:t>致：</w:t>
      </w:r>
      <w:r>
        <w:rPr>
          <w:rFonts w:hint="eastAsia" w:ascii="宋体" w:hAnsi="宋体" w:cs="宋体"/>
          <w:u w:val="single"/>
        </w:rPr>
        <w:t> （采购人或采购代理机构）</w:t>
      </w:r>
    </w:p>
    <w:p w14:paraId="7B7F902A">
      <w:pPr>
        <w:pStyle w:val="13"/>
        <w:widowControl/>
        <w:spacing w:before="0" w:beforeAutospacing="0" w:after="0" w:afterAutospacing="0" w:line="480" w:lineRule="atLeast"/>
        <w:ind w:firstLine="480"/>
        <w:rPr>
          <w:rFonts w:ascii="宋体" w:hAnsi="宋体" w:cs="宋体"/>
        </w:rPr>
      </w:pPr>
      <w:r>
        <w:rPr>
          <w:rFonts w:hint="eastAsia" w:ascii="宋体" w:hAnsi="宋体" w:cs="宋体"/>
        </w:rPr>
        <w:t>我方具备履行合同所必需的设备和专业技术能力，并对本声明承诺的真实性负责，否则产生不利后果由我方承担责任。</w:t>
      </w:r>
    </w:p>
    <w:p w14:paraId="67CA867A">
      <w:pPr>
        <w:pStyle w:val="13"/>
        <w:widowControl/>
        <w:spacing w:before="0" w:beforeAutospacing="0" w:after="0" w:afterAutospacing="0" w:line="480" w:lineRule="atLeast"/>
        <w:ind w:firstLine="480"/>
        <w:rPr>
          <w:rFonts w:ascii="宋体" w:hAnsi="宋体" w:cs="宋体"/>
        </w:rPr>
      </w:pPr>
      <w:r>
        <w:rPr>
          <w:rFonts w:hint="eastAsia" w:ascii="宋体" w:hAnsi="宋体" w:cs="宋体"/>
        </w:rPr>
        <w:t>特此声明。</w:t>
      </w:r>
    </w:p>
    <w:p w14:paraId="5F95F3D3">
      <w:pPr>
        <w:widowControl/>
        <w:spacing w:after="240"/>
        <w:ind w:firstLine="480"/>
      </w:pPr>
    </w:p>
    <w:p w14:paraId="16B7C903">
      <w:pPr>
        <w:pStyle w:val="13"/>
        <w:widowControl/>
        <w:spacing w:before="0" w:beforeAutospacing="0" w:after="0" w:afterAutospacing="0" w:line="480" w:lineRule="atLeast"/>
        <w:ind w:firstLine="480"/>
        <w:rPr>
          <w:rFonts w:ascii="宋体" w:hAnsi="宋体" w:cs="宋体"/>
        </w:rPr>
      </w:pPr>
      <w:r>
        <w:rPr>
          <w:rFonts w:hint="eastAsia" w:ascii="宋体" w:hAnsi="宋体" w:cs="宋体"/>
        </w:rPr>
        <w:t>※注意：</w:t>
      </w:r>
    </w:p>
    <w:p w14:paraId="23A72606">
      <w:pPr>
        <w:pStyle w:val="13"/>
        <w:widowControl/>
        <w:spacing w:before="0" w:beforeAutospacing="0" w:after="0" w:afterAutospacing="0" w:line="480" w:lineRule="atLeast"/>
        <w:ind w:firstLine="480"/>
        <w:rPr>
          <w:rFonts w:ascii="宋体" w:hAnsi="宋体" w:cs="宋体"/>
        </w:rPr>
      </w:pPr>
      <w:r>
        <w:rPr>
          <w:rFonts w:hint="eastAsia" w:ascii="宋体" w:hAnsi="宋体" w:cs="宋体"/>
        </w:rPr>
        <w:t>1.采购文件“供应商的资格”中特定资格条件如果没有特别规定，则由供应商在响应文件中按上述格式提供其具备履行合同所必需的设备和专业技术能力的声明即可，声明函应加盖供应商单位公章。。</w:t>
      </w:r>
    </w:p>
    <w:p w14:paraId="5E6A74EB">
      <w:pPr>
        <w:pStyle w:val="13"/>
        <w:widowControl/>
        <w:spacing w:before="0" w:beforeAutospacing="0" w:after="0" w:afterAutospacing="0" w:line="480" w:lineRule="atLeast"/>
        <w:ind w:firstLine="480"/>
        <w:rPr>
          <w:rFonts w:ascii="宋体" w:hAnsi="宋体" w:cs="宋体"/>
        </w:rPr>
      </w:pPr>
      <w:r>
        <w:rPr>
          <w:rFonts w:hint="eastAsia" w:ascii="宋体" w:hAnsi="宋体" w:cs="宋体"/>
        </w:rPr>
        <w:t>2.如果根据项目的特点和需要，对履行合同所必需的设备和专业技术能力的证明材料有特别专项要求的，则采购人或采购代理机构应当在采购文件“供应商的资格”中特定资格条件进行明确约定，供应商可以不用提供上述格式要求的声明函，但必须按特定资格条件的规定提供相应专项证明材料，并对相应证明材料的真实性负责。</w:t>
      </w:r>
    </w:p>
    <w:p w14:paraId="351432D0">
      <w:pPr>
        <w:widowControl/>
        <w:spacing w:after="240"/>
        <w:ind w:firstLine="480"/>
      </w:pPr>
    </w:p>
    <w:p w14:paraId="62EE2E6D">
      <w:pPr>
        <w:pStyle w:val="13"/>
        <w:widowControl/>
        <w:spacing w:before="0" w:beforeAutospacing="0" w:after="0" w:afterAutospacing="0" w:line="480" w:lineRule="atLeast"/>
        <w:ind w:firstLine="480"/>
        <w:rPr>
          <w:rFonts w:ascii="宋体" w:hAnsi="宋体" w:cs="宋体"/>
        </w:rPr>
      </w:pPr>
      <w:r>
        <w:rPr>
          <w:rFonts w:hint="eastAsia" w:ascii="宋体" w:hAnsi="宋体" w:cs="宋体"/>
        </w:rPr>
        <w:t>供应商代表</w:t>
      </w:r>
      <w:r>
        <w:rPr>
          <w:rFonts w:hint="eastAsia" w:ascii="宋体" w:hAnsi="宋体" w:cs="宋体"/>
          <w:u w:val="single"/>
        </w:rPr>
        <w:t>　　　　　（签字）</w:t>
      </w:r>
    </w:p>
    <w:p w14:paraId="6677F5C5">
      <w:pPr>
        <w:pStyle w:val="13"/>
        <w:widowControl/>
        <w:spacing w:before="0" w:beforeAutospacing="0" w:after="0" w:afterAutospacing="0" w:line="480" w:lineRule="atLeast"/>
        <w:ind w:firstLine="480"/>
        <w:rPr>
          <w:rFonts w:ascii="宋体" w:hAnsi="宋体" w:cs="宋体"/>
        </w:rPr>
      </w:pPr>
      <w:r>
        <w:rPr>
          <w:rFonts w:hint="eastAsia" w:ascii="宋体" w:hAnsi="宋体" w:cs="宋体"/>
        </w:rPr>
        <w:t>供应商名称</w:t>
      </w:r>
      <w:r>
        <w:rPr>
          <w:rFonts w:hint="eastAsia" w:ascii="宋体" w:hAnsi="宋体" w:cs="宋体"/>
          <w:u w:val="single"/>
        </w:rPr>
        <w:t>　　　　　（全称并加盖公章）</w:t>
      </w:r>
    </w:p>
    <w:p w14:paraId="231C6F2B">
      <w:pPr>
        <w:pStyle w:val="13"/>
        <w:widowControl/>
        <w:spacing w:before="0" w:beforeAutospacing="0" w:after="0" w:afterAutospacing="0" w:line="480" w:lineRule="atLeast"/>
        <w:ind w:firstLine="480"/>
        <w:rPr>
          <w:rFonts w:ascii="宋体" w:hAnsi="宋体" w:cs="宋体"/>
        </w:rPr>
      </w:pPr>
      <w:r>
        <w:rPr>
          <w:rFonts w:hint="eastAsia" w:ascii="宋体" w:hAnsi="宋体" w:cs="宋体"/>
        </w:rPr>
        <w:t>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14E18DFB">
      <w:pPr>
        <w:ind w:firstLine="482"/>
        <w:jc w:val="center"/>
        <w:rPr>
          <w:rFonts w:ascii="宋体" w:hAnsi="宋体"/>
          <w:b/>
          <w:color w:val="000000"/>
        </w:rPr>
      </w:pPr>
    </w:p>
    <w:p w14:paraId="2C1082FE">
      <w:pPr>
        <w:ind w:firstLine="482"/>
        <w:jc w:val="center"/>
        <w:rPr>
          <w:rFonts w:ascii="宋体" w:hAnsi="宋体"/>
          <w:b/>
          <w:color w:val="000000"/>
        </w:rPr>
      </w:pPr>
    </w:p>
    <w:p w14:paraId="107E1594">
      <w:pPr>
        <w:ind w:firstLine="482"/>
        <w:jc w:val="center"/>
        <w:rPr>
          <w:rFonts w:ascii="宋体" w:hAnsi="宋体"/>
          <w:b/>
          <w:color w:val="000000"/>
        </w:rPr>
      </w:pPr>
    </w:p>
    <w:p w14:paraId="500E974C">
      <w:pPr>
        <w:ind w:firstLine="482"/>
        <w:jc w:val="center"/>
        <w:rPr>
          <w:rFonts w:ascii="宋体" w:hAnsi="宋体"/>
          <w:b/>
          <w:color w:val="000000"/>
        </w:rPr>
      </w:pPr>
    </w:p>
    <w:p w14:paraId="5ACF11DA">
      <w:pPr>
        <w:ind w:firstLine="482"/>
        <w:jc w:val="center"/>
        <w:rPr>
          <w:rFonts w:ascii="宋体" w:hAnsi="宋体"/>
          <w:b/>
          <w:color w:val="000000"/>
        </w:rPr>
      </w:pPr>
    </w:p>
    <w:p w14:paraId="54ECD0D4">
      <w:pPr>
        <w:ind w:firstLine="482"/>
        <w:jc w:val="center"/>
        <w:rPr>
          <w:rFonts w:ascii="宋体" w:hAnsi="宋体"/>
          <w:b/>
          <w:color w:val="000000"/>
        </w:rPr>
      </w:pPr>
    </w:p>
    <w:p w14:paraId="1C143FCA">
      <w:pPr>
        <w:ind w:firstLine="482"/>
        <w:jc w:val="center"/>
        <w:rPr>
          <w:rFonts w:ascii="宋体" w:hAnsi="宋体"/>
          <w:b/>
          <w:color w:val="000000"/>
        </w:rPr>
      </w:pPr>
    </w:p>
    <w:p w14:paraId="4FDFFC01">
      <w:pPr>
        <w:pStyle w:val="6"/>
        <w:widowControl/>
        <w:spacing w:beforeAutospacing="0" w:afterAutospacing="0" w:line="480" w:lineRule="atLeast"/>
        <w:ind w:firstLine="643"/>
        <w:jc w:val="center"/>
        <w:rPr>
          <w:rFonts w:hint="default" w:cs="宋体"/>
          <w:sz w:val="32"/>
          <w:szCs w:val="32"/>
          <w:lang w:bidi="ar"/>
        </w:rPr>
      </w:pPr>
      <w:r>
        <w:rPr>
          <w:rFonts w:cs="宋体"/>
          <w:sz w:val="32"/>
          <w:szCs w:val="32"/>
          <w:lang w:bidi="ar"/>
        </w:rPr>
        <w:t>参加采购活动前三年内在经营活动中没有重大违法记录书面声明</w:t>
      </w:r>
    </w:p>
    <w:p w14:paraId="5ED3811D">
      <w:pPr>
        <w:pStyle w:val="13"/>
        <w:widowControl/>
        <w:spacing w:before="0" w:beforeAutospacing="0" w:after="0" w:afterAutospacing="0" w:line="480" w:lineRule="atLeast"/>
        <w:ind w:firstLine="480"/>
        <w:rPr>
          <w:rFonts w:ascii="宋体" w:hAnsi="宋体" w:cs="宋体"/>
        </w:rPr>
      </w:pPr>
      <w:r>
        <w:rPr>
          <w:rFonts w:hint="eastAsia" w:ascii="宋体" w:hAnsi="宋体" w:cs="宋体"/>
        </w:rPr>
        <w:t>致：</w:t>
      </w:r>
      <w:r>
        <w:rPr>
          <w:rFonts w:hint="eastAsia" w:ascii="宋体" w:hAnsi="宋体" w:cs="宋体"/>
          <w:u w:val="single"/>
        </w:rPr>
        <w:t>（采购人或采购代理机构）</w:t>
      </w:r>
    </w:p>
    <w:p w14:paraId="730D0BB3">
      <w:pPr>
        <w:pStyle w:val="13"/>
        <w:widowControl/>
        <w:spacing w:before="0" w:beforeAutospacing="0" w:after="0" w:afterAutospacing="0" w:line="480" w:lineRule="atLeast"/>
        <w:ind w:firstLine="480"/>
        <w:rPr>
          <w:rFonts w:ascii="宋体" w:hAnsi="宋体" w:cs="宋体"/>
        </w:rPr>
      </w:pPr>
      <w:r>
        <w:rPr>
          <w:rFonts w:hint="eastAsia" w:ascii="宋体" w:hAnsi="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5686CDE2">
      <w:pPr>
        <w:widowControl/>
        <w:ind w:firstLine="480"/>
      </w:pPr>
    </w:p>
    <w:p w14:paraId="0C953AAF">
      <w:pPr>
        <w:pStyle w:val="13"/>
        <w:widowControl/>
        <w:spacing w:before="0" w:beforeAutospacing="0" w:after="0" w:afterAutospacing="0" w:line="480" w:lineRule="atLeast"/>
        <w:ind w:firstLine="480"/>
        <w:rPr>
          <w:rFonts w:ascii="宋体" w:hAnsi="宋体" w:cs="宋体"/>
        </w:rPr>
      </w:pPr>
      <w:r>
        <w:rPr>
          <w:rFonts w:hint="eastAsia" w:ascii="宋体" w:hAnsi="宋体" w:cs="宋体"/>
        </w:rPr>
        <w:t>特此申明。</w:t>
      </w:r>
    </w:p>
    <w:p w14:paraId="53F90E69">
      <w:pPr>
        <w:widowControl/>
        <w:ind w:firstLine="480"/>
      </w:pPr>
    </w:p>
    <w:p w14:paraId="14AAACE3">
      <w:pPr>
        <w:pStyle w:val="13"/>
        <w:widowControl/>
        <w:spacing w:before="0" w:beforeAutospacing="0" w:after="0" w:afterAutospacing="0" w:line="480" w:lineRule="atLeast"/>
        <w:ind w:firstLine="480"/>
        <w:rPr>
          <w:rFonts w:ascii="宋体" w:hAnsi="宋体" w:cs="宋体"/>
        </w:rPr>
      </w:pPr>
      <w:r>
        <w:rPr>
          <w:rFonts w:hint="eastAsia" w:ascii="宋体" w:hAnsi="宋体" w:cs="宋体"/>
        </w:rPr>
        <w:t>供应商名称</w:t>
      </w:r>
      <w:r>
        <w:rPr>
          <w:rFonts w:hint="eastAsia" w:ascii="宋体" w:hAnsi="宋体" w:cs="宋体"/>
          <w:u w:val="single"/>
        </w:rPr>
        <w:t>　　　　　（全称并加盖公章）</w:t>
      </w:r>
    </w:p>
    <w:p w14:paraId="72B732AA">
      <w:pPr>
        <w:pStyle w:val="13"/>
        <w:widowControl/>
        <w:spacing w:before="0" w:beforeAutospacing="0" w:after="0" w:afterAutospacing="0" w:line="480" w:lineRule="atLeast"/>
        <w:ind w:firstLine="480"/>
        <w:rPr>
          <w:rFonts w:ascii="宋体" w:hAnsi="宋体" w:cs="宋体"/>
        </w:rPr>
      </w:pPr>
      <w:r>
        <w:rPr>
          <w:rFonts w:hint="eastAsia" w:ascii="宋体" w:hAnsi="宋体" w:cs="宋体"/>
        </w:rPr>
        <w:t>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14:paraId="791F986B">
      <w:pPr>
        <w:pStyle w:val="13"/>
        <w:widowControl/>
        <w:spacing w:before="0" w:beforeAutospacing="0" w:after="0" w:afterAutospacing="0" w:line="480" w:lineRule="atLeast"/>
        <w:ind w:firstLine="480"/>
        <w:rPr>
          <w:rFonts w:ascii="宋体" w:hAnsi="宋体" w:cs="宋体"/>
        </w:rPr>
      </w:pPr>
      <w:r>
        <w:rPr>
          <w:rFonts w:hint="eastAsia" w:ascii="宋体" w:hAnsi="宋体" w:cs="宋体"/>
        </w:rPr>
        <w:t>※注意：</w:t>
      </w:r>
    </w:p>
    <w:p w14:paraId="4C273A08">
      <w:pPr>
        <w:pStyle w:val="13"/>
        <w:widowControl/>
        <w:spacing w:before="0" w:beforeAutospacing="0" w:after="0" w:afterAutospacing="0" w:line="480" w:lineRule="atLeast"/>
        <w:ind w:firstLine="480"/>
        <w:rPr>
          <w:rFonts w:ascii="宋体" w:hAnsi="宋体" w:cs="宋体"/>
        </w:rPr>
      </w:pPr>
      <w:r>
        <w:rPr>
          <w:rFonts w:hint="eastAsia" w:ascii="宋体" w:hAnsi="宋体" w:cs="宋体"/>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EA13CF">
      <w:pPr>
        <w:pStyle w:val="13"/>
        <w:widowControl/>
        <w:spacing w:before="0" w:beforeAutospacing="0" w:after="0" w:afterAutospacing="0" w:line="480" w:lineRule="atLeast"/>
        <w:ind w:firstLine="480"/>
        <w:rPr>
          <w:rFonts w:ascii="宋体" w:hAnsi="宋体" w:cs="宋体"/>
        </w:rPr>
      </w:pPr>
      <w:r>
        <w:rPr>
          <w:rFonts w:hint="eastAsia" w:ascii="宋体" w:hAnsi="宋体" w:cs="宋体"/>
        </w:rPr>
        <w:t>2、请供应商根据实际情况如实声明，否则视为提供虚假材料。</w:t>
      </w:r>
    </w:p>
    <w:p w14:paraId="0A06A9F2">
      <w:pPr>
        <w:ind w:firstLine="482"/>
        <w:jc w:val="center"/>
        <w:rPr>
          <w:rFonts w:ascii="宋体" w:hAnsi="宋体"/>
          <w:b/>
          <w:color w:val="000000"/>
        </w:rPr>
      </w:pPr>
    </w:p>
    <w:sectPr>
      <w:headerReference r:id="rId11" w:type="first"/>
      <w:footerReference r:id="rId12" w:type="first"/>
      <w:headerReference r:id="rId10" w:type="default"/>
      <w:pgSz w:w="11906" w:h="16838"/>
      <w:pgMar w:top="1644" w:right="1418" w:bottom="1418" w:left="1418" w:header="851" w:footer="794"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DDA3">
    <w:pPr>
      <w:pStyle w:val="11"/>
      <w:ind w:firstLine="420"/>
      <w:jc w:val="center"/>
      <w:rPr>
        <w:sz w:val="21"/>
        <w:szCs w:val="21"/>
      </w:rPr>
    </w:pPr>
    <w:r>
      <w:rPr>
        <w:rFonts w:hint="eastAsia"/>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8</w:t>
    </w:r>
    <w:r>
      <w:rPr>
        <w:sz w:val="21"/>
        <w:szCs w:val="21"/>
      </w:rPr>
      <w:fldChar w:fldCharType="end"/>
    </w:r>
    <w:r>
      <w:rPr>
        <w:rFonts w:hint="eastAsia"/>
        <w:sz w:val="21"/>
        <w:szCs w:val="21"/>
      </w:rPr>
      <w:t xml:space="preserve"> —</w:t>
    </w:r>
  </w:p>
  <w:p w14:paraId="323E684F">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CF13D">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560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D3CB">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EA1A3">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CB05">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65D0">
    <w:pPr>
      <w:pStyle w:val="12"/>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292D">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2F896"/>
    <w:multiLevelType w:val="singleLevel"/>
    <w:tmpl w:val="EED2F89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YzA1NTJkMWVkZGUyZTdmNDAxNjBhOGUzNTlhNjEifQ=="/>
  </w:docVars>
  <w:rsids>
    <w:rsidRoot w:val="006704DA"/>
    <w:rsid w:val="000007C9"/>
    <w:rsid w:val="00010526"/>
    <w:rsid w:val="000309CF"/>
    <w:rsid w:val="000625D7"/>
    <w:rsid w:val="00071ACD"/>
    <w:rsid w:val="00096365"/>
    <w:rsid w:val="000A6B20"/>
    <w:rsid w:val="000A7C8B"/>
    <w:rsid w:val="000B534C"/>
    <w:rsid w:val="000C7B54"/>
    <w:rsid w:val="001061AC"/>
    <w:rsid w:val="00167714"/>
    <w:rsid w:val="00176889"/>
    <w:rsid w:val="001A28F8"/>
    <w:rsid w:val="001C47ED"/>
    <w:rsid w:val="00260A6D"/>
    <w:rsid w:val="002C2C87"/>
    <w:rsid w:val="002F2001"/>
    <w:rsid w:val="003036CA"/>
    <w:rsid w:val="00312FFE"/>
    <w:rsid w:val="003244BC"/>
    <w:rsid w:val="00330D83"/>
    <w:rsid w:val="003526F4"/>
    <w:rsid w:val="0035696D"/>
    <w:rsid w:val="003A5594"/>
    <w:rsid w:val="003E27B5"/>
    <w:rsid w:val="003E2839"/>
    <w:rsid w:val="00401BCD"/>
    <w:rsid w:val="00417F5C"/>
    <w:rsid w:val="00437B17"/>
    <w:rsid w:val="00442DED"/>
    <w:rsid w:val="004C426C"/>
    <w:rsid w:val="004C70E0"/>
    <w:rsid w:val="004D69DD"/>
    <w:rsid w:val="005620CC"/>
    <w:rsid w:val="00591BB6"/>
    <w:rsid w:val="005F6D98"/>
    <w:rsid w:val="00604CD2"/>
    <w:rsid w:val="00656A57"/>
    <w:rsid w:val="00662A7B"/>
    <w:rsid w:val="006704DA"/>
    <w:rsid w:val="00692AA6"/>
    <w:rsid w:val="00702B19"/>
    <w:rsid w:val="007532B7"/>
    <w:rsid w:val="007567AE"/>
    <w:rsid w:val="007B7525"/>
    <w:rsid w:val="007C35C0"/>
    <w:rsid w:val="007C79F9"/>
    <w:rsid w:val="008233B5"/>
    <w:rsid w:val="008926F4"/>
    <w:rsid w:val="0090035D"/>
    <w:rsid w:val="00904AFF"/>
    <w:rsid w:val="00946098"/>
    <w:rsid w:val="00986119"/>
    <w:rsid w:val="009D1F76"/>
    <w:rsid w:val="00A00BFB"/>
    <w:rsid w:val="00A55CA4"/>
    <w:rsid w:val="00A764A7"/>
    <w:rsid w:val="00AD2217"/>
    <w:rsid w:val="00B21DDD"/>
    <w:rsid w:val="00B47761"/>
    <w:rsid w:val="00B603AB"/>
    <w:rsid w:val="00B63524"/>
    <w:rsid w:val="00BE280E"/>
    <w:rsid w:val="00BF4F17"/>
    <w:rsid w:val="00C31ADD"/>
    <w:rsid w:val="00C42DD1"/>
    <w:rsid w:val="00C56B28"/>
    <w:rsid w:val="00C631AB"/>
    <w:rsid w:val="00CA2789"/>
    <w:rsid w:val="00CA28C9"/>
    <w:rsid w:val="00CB0A93"/>
    <w:rsid w:val="00D56882"/>
    <w:rsid w:val="00DE342D"/>
    <w:rsid w:val="00DF67BA"/>
    <w:rsid w:val="00E534F9"/>
    <w:rsid w:val="00E57E1C"/>
    <w:rsid w:val="00E83D60"/>
    <w:rsid w:val="00EB1DFA"/>
    <w:rsid w:val="00EC744F"/>
    <w:rsid w:val="00F16DA3"/>
    <w:rsid w:val="00F337F9"/>
    <w:rsid w:val="00F5028B"/>
    <w:rsid w:val="00FB4B4B"/>
    <w:rsid w:val="00FD753F"/>
    <w:rsid w:val="02C00505"/>
    <w:rsid w:val="04DE7803"/>
    <w:rsid w:val="08B935A5"/>
    <w:rsid w:val="0956710C"/>
    <w:rsid w:val="0F0E18EA"/>
    <w:rsid w:val="123141F1"/>
    <w:rsid w:val="130478F5"/>
    <w:rsid w:val="15F1786F"/>
    <w:rsid w:val="16F92E7F"/>
    <w:rsid w:val="17152626"/>
    <w:rsid w:val="1AFFFF45"/>
    <w:rsid w:val="1BD54DB6"/>
    <w:rsid w:val="1D2F455A"/>
    <w:rsid w:val="1D405C07"/>
    <w:rsid w:val="1F182311"/>
    <w:rsid w:val="20016901"/>
    <w:rsid w:val="22C74E67"/>
    <w:rsid w:val="22DB168B"/>
    <w:rsid w:val="27D0027B"/>
    <w:rsid w:val="29F37D22"/>
    <w:rsid w:val="2A4915D0"/>
    <w:rsid w:val="2C384437"/>
    <w:rsid w:val="36584F5E"/>
    <w:rsid w:val="37935191"/>
    <w:rsid w:val="38332C02"/>
    <w:rsid w:val="3ACE56FE"/>
    <w:rsid w:val="3BC12404"/>
    <w:rsid w:val="3E0D6DA7"/>
    <w:rsid w:val="3EC21FFE"/>
    <w:rsid w:val="3F2E188C"/>
    <w:rsid w:val="40C84C81"/>
    <w:rsid w:val="41407615"/>
    <w:rsid w:val="42862F6A"/>
    <w:rsid w:val="432689D6"/>
    <w:rsid w:val="444B730F"/>
    <w:rsid w:val="46AA2F9F"/>
    <w:rsid w:val="4BEE5DA7"/>
    <w:rsid w:val="50921C70"/>
    <w:rsid w:val="529332AA"/>
    <w:rsid w:val="53536E98"/>
    <w:rsid w:val="54F98863"/>
    <w:rsid w:val="573EAFE5"/>
    <w:rsid w:val="58072B4C"/>
    <w:rsid w:val="5AFD593B"/>
    <w:rsid w:val="5B6D8437"/>
    <w:rsid w:val="5C9912B5"/>
    <w:rsid w:val="5CF754F1"/>
    <w:rsid w:val="5DE132F2"/>
    <w:rsid w:val="5F055F6A"/>
    <w:rsid w:val="5FFE7428"/>
    <w:rsid w:val="63927568"/>
    <w:rsid w:val="641F29EB"/>
    <w:rsid w:val="680B1E14"/>
    <w:rsid w:val="6817003C"/>
    <w:rsid w:val="6A22099A"/>
    <w:rsid w:val="6BF15048"/>
    <w:rsid w:val="700E441B"/>
    <w:rsid w:val="70F78FA4"/>
    <w:rsid w:val="71B903B6"/>
    <w:rsid w:val="726D2E2B"/>
    <w:rsid w:val="75DB5770"/>
    <w:rsid w:val="76312C11"/>
    <w:rsid w:val="777B8A47"/>
    <w:rsid w:val="79343A7A"/>
    <w:rsid w:val="7B5F308F"/>
    <w:rsid w:val="7D788422"/>
    <w:rsid w:val="7EBFB37E"/>
    <w:rsid w:val="7F1DA803"/>
    <w:rsid w:val="7F49C8ED"/>
    <w:rsid w:val="7FDFDCAA"/>
    <w:rsid w:val="7FF9FE44"/>
    <w:rsid w:val="8FDD6F5E"/>
    <w:rsid w:val="AFF6F845"/>
    <w:rsid w:val="DFF67C36"/>
    <w:rsid w:val="E3D5DFEE"/>
    <w:rsid w:val="F5D24747"/>
    <w:rsid w:val="F77D42D6"/>
    <w:rsid w:val="FEDB431E"/>
    <w:rsid w:val="FF764C0F"/>
    <w:rsid w:val="FFD9BCAC"/>
    <w:rsid w:val="FFF7475A"/>
    <w:rsid w:val="FFFBCC82"/>
    <w:rsid w:val="FFFD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pPr>
    <w:rPr>
      <w:rFonts w:ascii="黑体" w:hAnsi="黑体" w:eastAsia="宋体" w:cs="Times New Roman"/>
      <w:kern w:val="2"/>
      <w:sz w:val="24"/>
      <w:szCs w:val="24"/>
      <w:lang w:val="en-US" w:eastAsia="zh-CN" w:bidi="ar-SA"/>
    </w:rPr>
  </w:style>
  <w:style w:type="paragraph" w:styleId="2">
    <w:name w:val="heading 1"/>
    <w:basedOn w:val="1"/>
    <w:next w:val="1"/>
    <w:link w:val="22"/>
    <w:qFormat/>
    <w:uiPriority w:val="9"/>
    <w:pPr>
      <w:keepNext/>
      <w:keepLines/>
      <w:spacing w:before="120" w:beforeLines="50" w:after="120" w:afterLines="50" w:line="580" w:lineRule="exact"/>
      <w:ind w:firstLine="720"/>
      <w:outlineLvl w:val="0"/>
    </w:pPr>
    <w:rPr>
      <w:rFonts w:ascii="方正黑体简体"/>
      <w:b/>
      <w:bCs/>
      <w:kern w:val="44"/>
      <w:sz w:val="28"/>
      <w:szCs w:val="44"/>
    </w:rPr>
  </w:style>
  <w:style w:type="paragraph" w:styleId="3">
    <w:name w:val="heading 2"/>
    <w:basedOn w:val="1"/>
    <w:next w:val="4"/>
    <w:link w:val="23"/>
    <w:qFormat/>
    <w:uiPriority w:val="9"/>
    <w:pPr>
      <w:keepNext/>
      <w:keepLines/>
      <w:ind w:firstLine="640"/>
      <w:outlineLvl w:val="1"/>
    </w:pPr>
    <w:rPr>
      <w:rFonts w:ascii="Arial Black" w:hAnsi="Arial Black"/>
      <w:b/>
    </w:rPr>
  </w:style>
  <w:style w:type="paragraph" w:styleId="5">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spacing w:beforeAutospacing="1" w:afterAutospacing="1"/>
      <w:outlineLvl w:val="3"/>
    </w:pPr>
    <w:rPr>
      <w:rFonts w:hint="eastAsia" w:ascii="宋体" w:hAnsi="宋体"/>
      <w:b/>
      <w:bCs/>
      <w:kern w:val="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7">
    <w:name w:val="annotation text"/>
    <w:basedOn w:val="1"/>
    <w:link w:val="24"/>
    <w:unhideWhenUsed/>
    <w:qFormat/>
    <w:uiPriority w:val="99"/>
  </w:style>
  <w:style w:type="paragraph" w:styleId="8">
    <w:name w:val="Body Text"/>
    <w:basedOn w:val="1"/>
    <w:next w:val="1"/>
    <w:unhideWhenUsed/>
    <w:qFormat/>
    <w:uiPriority w:val="0"/>
    <w:pPr>
      <w:spacing w:after="120" w:line="240" w:lineRule="auto"/>
      <w:ind w:firstLine="0" w:firstLineChars="0"/>
    </w:pPr>
  </w:style>
  <w:style w:type="paragraph" w:styleId="9">
    <w:name w:val="Body Text Indent"/>
    <w:basedOn w:val="1"/>
    <w:next w:val="8"/>
    <w:qFormat/>
    <w:uiPriority w:val="0"/>
    <w:pPr>
      <w:spacing w:after="120"/>
      <w:ind w:left="420" w:leftChars="200"/>
    </w:pPr>
  </w:style>
  <w:style w:type="paragraph" w:styleId="10">
    <w:name w:val="Balloon Text"/>
    <w:basedOn w:val="1"/>
    <w:unhideWhenUsed/>
    <w:qFormat/>
    <w:uiPriority w:val="99"/>
    <w:rPr>
      <w:sz w:val="18"/>
      <w:szCs w:val="18"/>
    </w:rPr>
  </w:style>
  <w:style w:type="paragraph" w:styleId="11">
    <w:name w:val="footer"/>
    <w:basedOn w:val="1"/>
    <w:link w:val="19"/>
    <w:qFormat/>
    <w:uiPriority w:val="99"/>
    <w:pPr>
      <w:tabs>
        <w:tab w:val="center" w:pos="4153"/>
        <w:tab w:val="right" w:pos="8306"/>
      </w:tabs>
    </w:pPr>
    <w:rPr>
      <w:rFonts w:ascii="Calibri" w:hAnsi="Calibri"/>
      <w:kern w:val="0"/>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3">
    <w:name w:val="Normal (Web)"/>
    <w:basedOn w:val="1"/>
    <w:qFormat/>
    <w:uiPriority w:val="0"/>
    <w:pPr>
      <w:spacing w:before="100" w:beforeAutospacing="1" w:after="100" w:afterAutospacing="1"/>
    </w:pPr>
    <w:rPr>
      <w:kern w:val="0"/>
    </w:rPr>
  </w:style>
  <w:style w:type="paragraph" w:styleId="14">
    <w:name w:val="annotation subject"/>
    <w:basedOn w:val="7"/>
    <w:next w:val="7"/>
    <w:link w:val="25"/>
    <w:semiHidden/>
    <w:unhideWhenUsed/>
    <w:qFormat/>
    <w:uiPriority w:val="99"/>
    <w:rPr>
      <w:b/>
      <w:bCs/>
    </w:rPr>
  </w:style>
  <w:style w:type="paragraph" w:styleId="15">
    <w:name w:val="Body Text First Indent 2"/>
    <w:basedOn w:val="9"/>
    <w:qFormat/>
    <w:uiPriority w:val="0"/>
    <w:pPr>
      <w:ind w:firstLine="420"/>
    </w:pPr>
    <w:rPr>
      <w:rFonts w:ascii="Calibri" w:hAnsi="Calibri" w:cs="宋体"/>
    </w:rPr>
  </w:style>
  <w:style w:type="character" w:styleId="18">
    <w:name w:val="annotation reference"/>
    <w:semiHidden/>
    <w:unhideWhenUsed/>
    <w:qFormat/>
    <w:uiPriority w:val="99"/>
    <w:rPr>
      <w:sz w:val="21"/>
      <w:szCs w:val="21"/>
    </w:rPr>
  </w:style>
  <w:style w:type="character" w:customStyle="1" w:styleId="19">
    <w:name w:val="页脚 字符"/>
    <w:link w:val="11"/>
    <w:qFormat/>
    <w:uiPriority w:val="99"/>
    <w:rPr>
      <w:rFonts w:ascii="黑体" w:hAnsi="黑体" w:eastAsia="方正仿宋简体" w:cs="Times New Roman"/>
      <w:sz w:val="18"/>
      <w:szCs w:val="18"/>
    </w:rPr>
  </w:style>
  <w:style w:type="character" w:customStyle="1" w:styleId="20">
    <w:name w:val="页脚 Char"/>
    <w:qFormat/>
    <w:locked/>
    <w:uiPriority w:val="99"/>
    <w:rPr>
      <w:rFonts w:cs="Times New Roman"/>
      <w:sz w:val="18"/>
      <w:szCs w:val="18"/>
    </w:rPr>
  </w:style>
  <w:style w:type="character" w:customStyle="1" w:styleId="21">
    <w:name w:val="页眉 字符"/>
    <w:link w:val="12"/>
    <w:qFormat/>
    <w:uiPriority w:val="99"/>
    <w:rPr>
      <w:rFonts w:ascii="黑体" w:hAnsi="黑体" w:eastAsia="方正仿宋简体"/>
      <w:kern w:val="2"/>
      <w:sz w:val="18"/>
      <w:szCs w:val="18"/>
    </w:rPr>
  </w:style>
  <w:style w:type="character" w:customStyle="1" w:styleId="22">
    <w:name w:val="标题 1 字符"/>
    <w:link w:val="2"/>
    <w:qFormat/>
    <w:uiPriority w:val="9"/>
    <w:rPr>
      <w:rFonts w:ascii="方正黑体简体" w:hAnsi="黑体"/>
      <w:b/>
      <w:bCs/>
      <w:kern w:val="44"/>
      <w:sz w:val="28"/>
      <w:szCs w:val="44"/>
    </w:rPr>
  </w:style>
  <w:style w:type="character" w:customStyle="1" w:styleId="23">
    <w:name w:val="标题 2 字符"/>
    <w:link w:val="3"/>
    <w:qFormat/>
    <w:uiPriority w:val="9"/>
    <w:rPr>
      <w:rFonts w:ascii="Arial Black" w:hAnsi="Arial Black"/>
      <w:b/>
      <w:kern w:val="2"/>
      <w:sz w:val="24"/>
      <w:szCs w:val="24"/>
    </w:rPr>
  </w:style>
  <w:style w:type="character" w:customStyle="1" w:styleId="24">
    <w:name w:val="批注文字 字符"/>
    <w:link w:val="7"/>
    <w:qFormat/>
    <w:uiPriority w:val="99"/>
    <w:rPr>
      <w:rFonts w:ascii="黑体" w:hAnsi="黑体"/>
      <w:kern w:val="2"/>
      <w:sz w:val="24"/>
      <w:szCs w:val="24"/>
    </w:rPr>
  </w:style>
  <w:style w:type="character" w:customStyle="1" w:styleId="25">
    <w:name w:val="批注主题 字符"/>
    <w:link w:val="14"/>
    <w:semiHidden/>
    <w:qFormat/>
    <w:uiPriority w:val="99"/>
    <w:rPr>
      <w:rFonts w:ascii="黑体" w:hAnsi="黑体"/>
      <w:b/>
      <w:bCs/>
      <w:kern w:val="2"/>
      <w:sz w:val="24"/>
      <w:szCs w:val="24"/>
    </w:rPr>
  </w:style>
  <w:style w:type="character" w:customStyle="1" w:styleId="26">
    <w:name w:val="标题 3 字符"/>
    <w:link w:val="5"/>
    <w:qFormat/>
    <w:uiPriority w:val="9"/>
    <w:rPr>
      <w:rFonts w:ascii="黑体" w:hAnsi="黑体"/>
      <w:b/>
      <w:bCs/>
      <w:kern w:val="2"/>
      <w:sz w:val="32"/>
      <w:szCs w:val="32"/>
    </w:rPr>
  </w:style>
  <w:style w:type="character" w:customStyle="1" w:styleId="27">
    <w:name w:val="font11"/>
    <w:basedOn w:val="17"/>
    <w:qFormat/>
    <w:uiPriority w:val="0"/>
    <w:rPr>
      <w:rFonts w:hint="eastAsia" w:ascii="宋体" w:hAnsi="宋体" w:eastAsia="宋体" w:cs="宋体"/>
      <w:b/>
      <w:bCs/>
      <w:color w:val="262626"/>
      <w:sz w:val="21"/>
      <w:szCs w:val="21"/>
      <w:u w:val="none"/>
    </w:rPr>
  </w:style>
  <w:style w:type="character" w:customStyle="1" w:styleId="28">
    <w:name w:val="font21"/>
    <w:basedOn w:val="17"/>
    <w:qFormat/>
    <w:uiPriority w:val="0"/>
    <w:rPr>
      <w:rFonts w:hint="eastAsia" w:ascii="宋体" w:hAnsi="宋体" w:eastAsia="宋体" w:cs="宋体"/>
      <w:b/>
      <w:bCs/>
      <w:color w:val="000000"/>
      <w:sz w:val="21"/>
      <w:szCs w:val="21"/>
      <w:u w:val="none"/>
    </w:rPr>
  </w:style>
  <w:style w:type="character" w:customStyle="1" w:styleId="29">
    <w:name w:val="font31"/>
    <w:basedOn w:val="17"/>
    <w:qFormat/>
    <w:uiPriority w:val="0"/>
    <w:rPr>
      <w:rFonts w:hint="default" w:ascii="Times New Roman" w:hAnsi="Times New Roman" w:cs="Times New Roman"/>
      <w:color w:val="000000"/>
      <w:sz w:val="21"/>
      <w:szCs w:val="21"/>
      <w:u w:val="none"/>
    </w:rPr>
  </w:style>
  <w:style w:type="character" w:customStyle="1" w:styleId="30">
    <w:name w:val="font41"/>
    <w:basedOn w:val="17"/>
    <w:qFormat/>
    <w:uiPriority w:val="0"/>
    <w:rPr>
      <w:rFonts w:hint="eastAsia" w:ascii="宋体" w:hAnsi="宋体" w:eastAsia="宋体" w:cs="宋体"/>
      <w:color w:val="000000"/>
      <w:sz w:val="21"/>
      <w:szCs w:val="21"/>
      <w:u w:val="none"/>
    </w:rPr>
  </w:style>
  <w:style w:type="paragraph" w:styleId="3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4494</Words>
  <Characters>4636</Characters>
  <Lines>58</Lines>
  <Paragraphs>16</Paragraphs>
  <TotalTime>142</TotalTime>
  <ScaleCrop>false</ScaleCrop>
  <LinksUpToDate>false</LinksUpToDate>
  <CharactersWithSpaces>4636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2020-09-29T09:20:00Z</dcterms:created>
  <dc:creator>汪清才</dc:creator>
  <cp:lastModifiedBy>苏林伟</cp:lastModifiedBy>
  <cp:lastPrinted>2024-10-12T08:49:00Z</cp:lastPrinted>
  <dcterms:modified xsi:type="dcterms:W3CDTF">2025-07-22T01:33:21Z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C07BCCF7467B55C7BC6D7A6580E6A9F2_43</vt:lpwstr>
  </property>
  <property fmtid="{D5CDD505-2E9C-101B-9397-08002B2CF9AE}" pid="4" name="KSOTemplateDocerSaveRecord">
    <vt:lpwstr>eyJoZGlkIjoiY2YyMzBiMTJkYzgwMmM4NmRkZWZmYzQ3ZDNjZDQwNTMiLCJ1c2VySWQiOiIzMjk5MDc3NzIifQ==</vt:lpwstr>
  </property>
</Properties>
</file>