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411CC">
      <w:pPr>
        <w:pStyle w:val="11"/>
        <w:jc w:val="center"/>
        <w:outlineLvl w:val="0"/>
        <w:rPr>
          <w:rFonts w:hint="default" w:ascii="方正小标宋简体" w:eastAsia="方正小标宋简体"/>
          <w:spacing w:val="-20"/>
          <w:sz w:val="72"/>
          <w:szCs w:val="72"/>
        </w:rPr>
      </w:pPr>
    </w:p>
    <w:p w14:paraId="09B2B058">
      <w:pPr>
        <w:pStyle w:val="11"/>
        <w:jc w:val="center"/>
        <w:outlineLvl w:val="0"/>
        <w:rPr>
          <w:rFonts w:hint="default" w:ascii="方正小标宋简体" w:eastAsia="方正小标宋简体"/>
          <w:b/>
          <w:spacing w:val="-20"/>
          <w:sz w:val="72"/>
          <w:szCs w:val="72"/>
        </w:rPr>
      </w:pPr>
      <w:r>
        <w:rPr>
          <w:rFonts w:ascii="方正小标宋简体" w:eastAsia="方正小标宋简体"/>
          <w:spacing w:val="-20"/>
          <w:sz w:val="72"/>
          <w:szCs w:val="72"/>
        </w:rPr>
        <w:t>2024年</w:t>
      </w:r>
      <w:r>
        <w:rPr>
          <w:rFonts w:hint="eastAsia" w:ascii="方正小标宋简体" w:eastAsia="方正小标宋简体"/>
          <w:spacing w:val="-20"/>
          <w:sz w:val="72"/>
          <w:szCs w:val="72"/>
        </w:rPr>
        <w:t>福建省市场监管局省直一体化协同办公平台</w:t>
      </w:r>
      <w:r>
        <w:rPr>
          <w:rFonts w:ascii="方正小标宋简体" w:eastAsia="方正小标宋简体"/>
          <w:spacing w:val="-20"/>
          <w:sz w:val="72"/>
          <w:szCs w:val="72"/>
        </w:rPr>
        <w:t>运维</w:t>
      </w:r>
    </w:p>
    <w:p w14:paraId="5B25F021">
      <w:pPr>
        <w:jc w:val="center"/>
        <w:rPr>
          <w:rFonts w:ascii="方正小标宋简体" w:eastAsia="方正小标宋简体"/>
          <w:sz w:val="24"/>
        </w:rPr>
      </w:pPr>
    </w:p>
    <w:p w14:paraId="5EB50441">
      <w:pPr>
        <w:jc w:val="center"/>
        <w:rPr>
          <w:rFonts w:ascii="方正小标宋简体" w:eastAsia="方正小标宋简体"/>
          <w:sz w:val="84"/>
          <w:szCs w:val="84"/>
        </w:rPr>
      </w:pPr>
      <w:r>
        <w:rPr>
          <w:rFonts w:hint="eastAsia" w:ascii="方正小标宋简体" w:eastAsia="方正小标宋简体"/>
          <w:sz w:val="84"/>
          <w:szCs w:val="84"/>
        </w:rPr>
        <w:t>项</w:t>
      </w:r>
    </w:p>
    <w:p w14:paraId="1AF5DB34">
      <w:pPr>
        <w:jc w:val="center"/>
        <w:rPr>
          <w:rFonts w:ascii="方正小标宋简体" w:eastAsia="方正小标宋简体"/>
          <w:sz w:val="84"/>
          <w:szCs w:val="84"/>
        </w:rPr>
      </w:pPr>
      <w:r>
        <w:rPr>
          <w:rFonts w:hint="eastAsia" w:ascii="方正小标宋简体" w:eastAsia="方正小标宋简体"/>
          <w:sz w:val="84"/>
          <w:szCs w:val="84"/>
        </w:rPr>
        <w:t>目</w:t>
      </w:r>
    </w:p>
    <w:p w14:paraId="3A686243">
      <w:pPr>
        <w:jc w:val="center"/>
        <w:rPr>
          <w:rFonts w:ascii="方正小标宋简体" w:eastAsia="方正小标宋简体"/>
          <w:sz w:val="84"/>
          <w:szCs w:val="84"/>
        </w:rPr>
      </w:pPr>
      <w:r>
        <w:rPr>
          <w:rFonts w:hint="eastAsia" w:ascii="方正小标宋简体" w:eastAsia="方正小标宋简体"/>
          <w:sz w:val="84"/>
          <w:szCs w:val="84"/>
        </w:rPr>
        <w:t>采</w:t>
      </w:r>
    </w:p>
    <w:p w14:paraId="52F08A09">
      <w:pPr>
        <w:jc w:val="center"/>
        <w:rPr>
          <w:rFonts w:ascii="方正小标宋简体" w:eastAsia="方正小标宋简体"/>
          <w:sz w:val="84"/>
          <w:szCs w:val="84"/>
        </w:rPr>
      </w:pPr>
      <w:r>
        <w:rPr>
          <w:rFonts w:hint="eastAsia" w:ascii="方正小标宋简体" w:eastAsia="方正小标宋简体"/>
          <w:sz w:val="84"/>
          <w:szCs w:val="84"/>
        </w:rPr>
        <w:t>购</w:t>
      </w:r>
    </w:p>
    <w:p w14:paraId="7DA6DD59">
      <w:pPr>
        <w:jc w:val="center"/>
        <w:rPr>
          <w:rFonts w:ascii="方正小标宋简体" w:eastAsia="方正小标宋简体"/>
          <w:sz w:val="84"/>
          <w:szCs w:val="84"/>
        </w:rPr>
      </w:pPr>
      <w:r>
        <w:rPr>
          <w:rFonts w:hint="eastAsia" w:ascii="方正小标宋简体" w:eastAsia="方正小标宋简体"/>
          <w:sz w:val="84"/>
          <w:szCs w:val="84"/>
        </w:rPr>
        <w:t>文</w:t>
      </w:r>
    </w:p>
    <w:p w14:paraId="06E729FF">
      <w:pPr>
        <w:jc w:val="center"/>
        <w:rPr>
          <w:rFonts w:ascii="方正小标宋简体" w:eastAsia="方正小标宋简体"/>
          <w:sz w:val="84"/>
          <w:szCs w:val="84"/>
        </w:rPr>
      </w:pPr>
      <w:r>
        <w:rPr>
          <w:rFonts w:hint="eastAsia" w:ascii="方正小标宋简体" w:eastAsia="方正小标宋简体"/>
          <w:sz w:val="84"/>
          <w:szCs w:val="84"/>
        </w:rPr>
        <w:t>件</w:t>
      </w:r>
    </w:p>
    <w:p w14:paraId="6098BFD9">
      <w:pPr>
        <w:pStyle w:val="11"/>
        <w:jc w:val="center"/>
        <w:outlineLvl w:val="0"/>
        <w:rPr>
          <w:rFonts w:hint="default" w:ascii="方正小标宋简体" w:eastAsia="方正小标宋简体"/>
          <w:sz w:val="84"/>
          <w:szCs w:val="84"/>
        </w:rPr>
      </w:pPr>
    </w:p>
    <w:p w14:paraId="589AFC6A">
      <w:pPr>
        <w:widowControl/>
        <w:jc w:val="center"/>
        <w:rPr>
          <w:rFonts w:ascii="方正小标宋简体" w:eastAsia="方正小标宋简体"/>
          <w:kern w:val="0"/>
          <w:sz w:val="32"/>
          <w:szCs w:val="32"/>
        </w:rPr>
      </w:pPr>
      <w:r>
        <w:rPr>
          <w:rFonts w:hint="eastAsia" w:ascii="方正小标宋简体" w:eastAsia="方正小标宋简体"/>
          <w:kern w:val="0"/>
          <w:sz w:val="32"/>
          <w:szCs w:val="32"/>
        </w:rPr>
        <w:t>福建省市场监督管理局行政服务中心</w:t>
      </w:r>
    </w:p>
    <w:p w14:paraId="6B8D46EA">
      <w:pPr>
        <w:widowControl/>
        <w:jc w:val="center"/>
        <w:rPr>
          <w:rFonts w:eastAsia="黑体" w:cs="黑体"/>
          <w:sz w:val="24"/>
        </w:rPr>
      </w:pPr>
      <w:r>
        <w:rPr>
          <w:rFonts w:hint="eastAsia" w:ascii="方正小标宋简体" w:eastAsia="方正小标宋简体"/>
          <w:kern w:val="0"/>
          <w:sz w:val="32"/>
          <w:szCs w:val="32"/>
        </w:rPr>
        <w:t>2024年</w:t>
      </w:r>
      <w:r>
        <w:rPr>
          <w:rFonts w:hint="eastAsia" w:ascii="方正小标宋简体" w:eastAsia="方正小标宋简体"/>
          <w:kern w:val="0"/>
          <w:sz w:val="32"/>
          <w:szCs w:val="32"/>
          <w:lang w:val="en-US" w:eastAsia="zh-CN"/>
        </w:rPr>
        <w:t>8</w:t>
      </w:r>
      <w:r>
        <w:rPr>
          <w:rFonts w:hint="eastAsia" w:ascii="方正小标宋简体" w:eastAsia="方正小标宋简体"/>
          <w:kern w:val="0"/>
          <w:sz w:val="32"/>
          <w:szCs w:val="32"/>
        </w:rPr>
        <w:t>月</w:t>
      </w:r>
    </w:p>
    <w:p w14:paraId="2F807C77">
      <w:pPr>
        <w:widowControl/>
        <w:jc w:val="left"/>
        <w:rPr>
          <w:rFonts w:eastAsia="黑体" w:cs="黑体"/>
          <w:szCs w:val="32"/>
        </w:rPr>
      </w:pPr>
      <w:r>
        <w:rPr>
          <w:rFonts w:eastAsia="黑体" w:cs="黑体"/>
          <w:szCs w:val="32"/>
        </w:rPr>
        <w:br w:type="page"/>
      </w:r>
    </w:p>
    <w:p w14:paraId="74677893">
      <w:pPr>
        <w:spacing w:line="560" w:lineRule="exact"/>
        <w:jc w:val="center"/>
        <w:rPr>
          <w:rFonts w:ascii="仿宋_GB2312" w:hAnsi="黑体" w:eastAsia="仿宋_GB2312" w:cs="黑体"/>
          <w:b/>
          <w:sz w:val="32"/>
          <w:szCs w:val="32"/>
        </w:rPr>
      </w:pPr>
      <w:r>
        <w:rPr>
          <w:rFonts w:hint="eastAsia" w:ascii="仿宋_GB2312" w:hAnsi="黑体" w:eastAsia="仿宋_GB2312" w:cs="黑体"/>
          <w:b/>
          <w:sz w:val="32"/>
          <w:szCs w:val="32"/>
        </w:rPr>
        <w:t>第一章 项目说明</w:t>
      </w:r>
    </w:p>
    <w:p w14:paraId="24C7DEDD">
      <w:pPr>
        <w:spacing w:line="560" w:lineRule="exact"/>
        <w:ind w:firstLine="643" w:firstLineChars="200"/>
        <w:jc w:val="center"/>
        <w:rPr>
          <w:rFonts w:ascii="仿宋_GB2312" w:hAnsi="黑体" w:eastAsia="仿宋_GB2312" w:cs="黑体"/>
          <w:b/>
          <w:sz w:val="32"/>
          <w:szCs w:val="32"/>
        </w:rPr>
      </w:pPr>
    </w:p>
    <w:p w14:paraId="4E899F20">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ascii="仿宋_GB2312" w:hAnsi="楷体" w:eastAsia="仿宋_GB2312" w:cs="楷体"/>
          <w:b/>
          <w:bCs/>
          <w:sz w:val="32"/>
          <w:szCs w:val="32"/>
        </w:rPr>
      </w:pPr>
      <w:r>
        <w:rPr>
          <w:rFonts w:hint="eastAsia" w:ascii="仿宋_GB2312" w:hAnsi="楷体" w:eastAsia="仿宋_GB2312" w:cs="楷体"/>
          <w:b/>
          <w:bCs/>
          <w:sz w:val="32"/>
          <w:szCs w:val="32"/>
          <w:lang w:val="en-US" w:eastAsia="zh-CN"/>
        </w:rPr>
        <w:t>一、</w:t>
      </w:r>
      <w:r>
        <w:rPr>
          <w:rFonts w:hint="eastAsia" w:ascii="仿宋_GB2312" w:hAnsi="楷体" w:eastAsia="仿宋_GB2312" w:cs="楷体"/>
          <w:b/>
          <w:bCs/>
          <w:sz w:val="32"/>
          <w:szCs w:val="32"/>
        </w:rPr>
        <w:t>项目名称</w:t>
      </w:r>
    </w:p>
    <w:p w14:paraId="5D9BA55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2024年福建省市场监管局省直一体化协同办公平台运维项目</w:t>
      </w:r>
    </w:p>
    <w:p w14:paraId="54E4E336">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楷体" w:eastAsia="仿宋_GB2312" w:cs="楷体"/>
          <w:b/>
          <w:bCs/>
          <w:sz w:val="32"/>
          <w:szCs w:val="32"/>
        </w:rPr>
      </w:pPr>
      <w:bookmarkStart w:id="0" w:name="_Toc498001358"/>
      <w:bookmarkStart w:id="1" w:name="_Toc498001259"/>
      <w:r>
        <w:rPr>
          <w:rFonts w:hint="eastAsia" w:ascii="仿宋_GB2312" w:hAnsi="楷体" w:eastAsia="仿宋_GB2312" w:cs="楷体"/>
          <w:b/>
          <w:bCs/>
          <w:sz w:val="32"/>
          <w:szCs w:val="32"/>
        </w:rPr>
        <w:t>二、资格要求</w:t>
      </w:r>
      <w:bookmarkEnd w:id="0"/>
      <w:bookmarkEnd w:id="1"/>
    </w:p>
    <w:p w14:paraId="02876779">
      <w:pPr>
        <w:pStyle w:val="11"/>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rPr>
      </w:pPr>
      <w:r>
        <w:rPr>
          <w:rFonts w:ascii="仿宋_GB2312" w:eastAsia="仿宋_GB2312"/>
          <w:sz w:val="32"/>
          <w:szCs w:val="32"/>
        </w:rPr>
        <w:t>1.法定条件</w:t>
      </w:r>
    </w:p>
    <w:p w14:paraId="48FD8DF1">
      <w:pPr>
        <w:pStyle w:val="11"/>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 w:eastAsia="仿宋_GB2312" w:cs="仿宋_GB2312"/>
          <w:sz w:val="32"/>
          <w:szCs w:val="32"/>
        </w:rPr>
      </w:pPr>
      <w:r>
        <w:rPr>
          <w:rFonts w:ascii="仿宋_GB2312" w:eastAsia="仿宋_GB2312"/>
          <w:sz w:val="32"/>
          <w:szCs w:val="32"/>
        </w:rPr>
        <w:t>符合政府采购法第二十二条规定的条件</w:t>
      </w:r>
      <w:r>
        <w:rPr>
          <w:rFonts w:ascii="仿宋_GB2312" w:hAnsi="仿宋" w:eastAsia="仿宋_GB2312" w:cs="仿宋_GB2312"/>
          <w:sz w:val="32"/>
          <w:szCs w:val="32"/>
        </w:rPr>
        <w:t>。</w:t>
      </w:r>
    </w:p>
    <w:p w14:paraId="43C69FA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2.特定条件</w:t>
      </w:r>
    </w:p>
    <w:p w14:paraId="067D9DF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本项目属于专门面向中小企业采购，投标人应为中型或小型或微型企业。</w:t>
      </w:r>
    </w:p>
    <w:p w14:paraId="027EBE7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投标人须提供《中小企业声明函》（工程、服务类），并声明投标人为中型或小型或微型企业。本采购标的对应的中小企业划分标准所属行业为软件和信息技术服务业。若投标人提供的《中小企业声明函》中填写的所属行业与此不一致，投标无效。投标人应认真对照《工业和信息化部、国家统计局、国家发展和改革委员会、财政部关于印发中小企业划型标准规定的通知》（工信部联企业〔2011〕300号）规定的划分标准，准确划分企业类型。</w:t>
      </w:r>
    </w:p>
    <w:p w14:paraId="096CC27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楷体" w:eastAsia="仿宋_GB2312" w:cs="楷体"/>
          <w:b/>
          <w:bCs/>
          <w:sz w:val="32"/>
          <w:szCs w:val="32"/>
        </w:rPr>
      </w:pPr>
      <w:r>
        <w:rPr>
          <w:rFonts w:hint="eastAsia" w:ascii="仿宋_GB2312" w:eastAsia="仿宋_GB2312"/>
          <w:sz w:val="32"/>
          <w:szCs w:val="32"/>
        </w:rPr>
        <w:t>（2）监狱企业、残疾人福利性单位视同小型、微型企业。</w:t>
      </w:r>
    </w:p>
    <w:p w14:paraId="08D4DED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3.本项目不接受下列供应商：</w:t>
      </w:r>
    </w:p>
    <w:p w14:paraId="4AEAA6C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（1）联合体形式的供应商。</w:t>
      </w:r>
    </w:p>
    <w:p w14:paraId="35B0B77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（2）供应商被“信用中国”网站（www.creditchina.gov.cn）、“中国政府采购网”</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www.ccgp.gov.cn</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列入失信被执行人、重大税收违法案件当事人名单、政府采购严重违法失信行为记录名单。</w:t>
      </w:r>
    </w:p>
    <w:p w14:paraId="334F37C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（3）供应商存在其他失信情况的。</w:t>
      </w:r>
    </w:p>
    <w:p w14:paraId="0C7C08AD">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楷体" w:eastAsia="仿宋_GB2312" w:cs="楷体"/>
          <w:b/>
          <w:bCs/>
          <w:sz w:val="32"/>
          <w:szCs w:val="32"/>
        </w:rPr>
      </w:pPr>
      <w:bookmarkStart w:id="2" w:name="_Toc498001359"/>
      <w:bookmarkStart w:id="3" w:name="_Toc498001260"/>
      <w:r>
        <w:rPr>
          <w:rFonts w:hint="eastAsia" w:ascii="仿宋_GB2312" w:hAnsi="楷体" w:eastAsia="仿宋_GB2312" w:cs="楷体"/>
          <w:b/>
          <w:bCs/>
          <w:sz w:val="32"/>
          <w:szCs w:val="32"/>
        </w:rPr>
        <w:t>三、投标须知</w:t>
      </w:r>
      <w:bookmarkEnd w:id="2"/>
      <w:bookmarkEnd w:id="3"/>
    </w:p>
    <w:p w14:paraId="713197B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1.投标人填列价格以人民币为单位，须包括完成本项目所涉及的一切费用。</w:t>
      </w:r>
    </w:p>
    <w:p w14:paraId="16A8836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2.</w:t>
      </w:r>
      <w:bookmarkStart w:id="4" w:name="_Toc498001261"/>
      <w:bookmarkStart w:id="5" w:name="_Toc498001360"/>
      <w:r>
        <w:rPr>
          <w:rFonts w:hint="eastAsia" w:ascii="仿宋_GB2312" w:hAnsi="仿宋" w:eastAsia="仿宋_GB2312" w:cs="仿宋_GB2312"/>
          <w:sz w:val="32"/>
          <w:szCs w:val="32"/>
        </w:rPr>
        <w:t>本项目最高限价</w:t>
      </w:r>
      <w:r>
        <w:rPr>
          <w:rFonts w:hint="eastAsia" w:ascii="仿宋_GB2312" w:hAnsi="仿宋" w:eastAsia="仿宋_GB2312" w:cs="仿宋_GB2312"/>
          <w:sz w:val="32"/>
          <w:szCs w:val="32"/>
          <w:u w:val="single"/>
        </w:rPr>
        <w:t>34</w:t>
      </w:r>
      <w:r>
        <w:rPr>
          <w:rFonts w:hint="eastAsia" w:ascii="仿宋_GB2312" w:hAnsi="仿宋" w:eastAsia="仿宋_GB2312" w:cs="仿宋_GB2312"/>
          <w:sz w:val="32"/>
          <w:szCs w:val="32"/>
        </w:rPr>
        <w:t>万元。</w:t>
      </w:r>
    </w:p>
    <w:p w14:paraId="08F5B39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3.本项目按最低评标价法评定。</w:t>
      </w:r>
    </w:p>
    <w:p w14:paraId="586B6266">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楷体" w:eastAsia="仿宋_GB2312" w:cs="楷体"/>
          <w:b/>
          <w:bCs/>
          <w:sz w:val="32"/>
          <w:szCs w:val="32"/>
        </w:rPr>
        <w:t>四、投标</w:t>
      </w:r>
      <w:bookmarkEnd w:id="4"/>
      <w:bookmarkEnd w:id="5"/>
      <w:r>
        <w:rPr>
          <w:rFonts w:hint="eastAsia" w:ascii="仿宋_GB2312" w:hAnsi="楷体" w:eastAsia="仿宋_GB2312" w:cs="楷体"/>
          <w:b/>
          <w:bCs/>
          <w:sz w:val="32"/>
          <w:szCs w:val="32"/>
        </w:rPr>
        <w:t>要求</w:t>
      </w:r>
    </w:p>
    <w:p w14:paraId="234B823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供应商应仔细阅读本项目说明及要求的所有内容，按照要求提交响应文件。响应文件应对本项目的要求作出实质性响应，并对所提供的证明或佐证材料真实性负责，提供虚假材料谋取成交的其报价无效。响应文件应当包括但不限于以下内容：</w:t>
      </w:r>
    </w:p>
    <w:p w14:paraId="4C8977F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1.商务文件：</w:t>
      </w:r>
    </w:p>
    <w:p w14:paraId="33299A0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w:t>
      </w:r>
      <w:r>
        <w:rPr>
          <w:rFonts w:ascii="仿宋_GB2312" w:hAnsi="仿宋" w:eastAsia="仿宋_GB2312" w:cs="仿宋_GB2312"/>
          <w:sz w:val="32"/>
          <w:szCs w:val="32"/>
        </w:rPr>
        <w:t>1）报价单。</w:t>
      </w:r>
    </w:p>
    <w:p w14:paraId="7EDB96C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（2）单位授权书。</w:t>
      </w:r>
    </w:p>
    <w:p w14:paraId="4C22881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lang w:val="en-US" w:eastAsia="zh-CN"/>
        </w:rPr>
        <w:t>a.</w:t>
      </w:r>
      <w:r>
        <w:rPr>
          <w:rFonts w:hint="eastAsia" w:ascii="仿宋_GB2312" w:hAnsi="仿宋" w:eastAsia="仿宋_GB2312" w:cs="仿宋_GB2312"/>
          <w:sz w:val="32"/>
          <w:szCs w:val="32"/>
        </w:rPr>
        <w:t>投标人（自然人除外）：若投标人代表为单位授权的委托代理人，应提供本授权书；若投标人代表为单位负责人，应在此项下提交其身份证正反面复印件，可不提供本授权书。</w:t>
      </w:r>
    </w:p>
    <w:p w14:paraId="06BB515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lang w:val="en-US" w:eastAsia="zh-CN"/>
        </w:rPr>
        <w:t>b.</w:t>
      </w:r>
      <w:r>
        <w:rPr>
          <w:rFonts w:hint="eastAsia" w:ascii="仿宋_GB2312" w:hAnsi="仿宋" w:eastAsia="仿宋_GB2312" w:cs="仿宋_GB2312"/>
          <w:sz w:val="32"/>
          <w:szCs w:val="32"/>
        </w:rPr>
        <w:t>投标人为自然人的，可不提供本授权书。</w:t>
      </w:r>
    </w:p>
    <w:p w14:paraId="612A830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（3）营业执照等证明文件。</w:t>
      </w:r>
    </w:p>
    <w:p w14:paraId="01F6686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05A7833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（4）提供财务状况报告</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财务报告或资信证明）。</w:t>
      </w:r>
    </w:p>
    <w:p w14:paraId="756EBCB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投标人提供的财务报告复印件（成立年限按照投标截止时间推算）应符合下列规定：</w:t>
      </w:r>
    </w:p>
    <w:p w14:paraId="62BDF92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a.成立年限满1年及以上的投标人，提供经审计的上一年度的年度财务报告。</w:t>
      </w:r>
    </w:p>
    <w:p w14:paraId="70C609A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b.成立年限满半年但不足1年的投标人，提供该半年度中任一季度的季度财务报告或该半年度的半年度财务报告。</w:t>
      </w:r>
    </w:p>
    <w:p w14:paraId="670323F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c.无法按照以上a、b项规定提供财务报告复印件的投标人（包括但不限于：成立年限满1年及以上的投标人、成立年限满半年但不足1年的投标人、成立年限不足半年的投标人），应选择提供资信证明复印件。</w:t>
      </w:r>
    </w:p>
    <w:p w14:paraId="598FD05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（5）依法缴纳税收证明材料。</w:t>
      </w:r>
    </w:p>
    <w:p w14:paraId="3630A55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投标人提供的税收缴纳凭据复印件应符合下列规定：</w:t>
      </w:r>
    </w:p>
    <w:p w14:paraId="588D1F6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a.投标截止时间前（不含投标截止时间的当月）已依法缴纳税收的投标人，提供投标截止时间前六个月（不含投标截止时间的当月）中任一月份的税收缴纳凭据复印件。</w:t>
      </w:r>
    </w:p>
    <w:p w14:paraId="65ECA2B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b.投标截止时间的当月成立的投标人，视同满足本项资格条件要求。</w:t>
      </w:r>
    </w:p>
    <w:p w14:paraId="73E6285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c.若为依法免税范围的投标人，提供依法免税证明材料的，视同满足本项资格条件要求。</w:t>
      </w:r>
    </w:p>
    <w:p w14:paraId="328C91A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（6）依法缴纳社会保障资金证明材料。</w:t>
      </w:r>
    </w:p>
    <w:p w14:paraId="758FE68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投标人提供的社会保障资金缴纳凭据复印件应符合下列规定：</w:t>
      </w:r>
    </w:p>
    <w:p w14:paraId="51B63FA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a.投标截止时间前（不含投标截止时间的当月）已依法缴纳社会保障资金的投标人，提供投标截止时间前六个月（不含投标截止时间的当月）中任一月份的社会保障资金缴纳凭据复印件。</w:t>
      </w:r>
    </w:p>
    <w:p w14:paraId="70AEC9E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b.投标截止时间的当月成立的投标人，视同满足本项资格条件要求。</w:t>
      </w:r>
    </w:p>
    <w:p w14:paraId="29467A3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c.若为依法不需要缴纳或暂缓缴纳社会保障资金的投标人，提供依法不需要缴纳或暂缓缴纳社会保障资金证明材料的，视同满足本项资格条件要求。</w:t>
      </w:r>
    </w:p>
    <w:p w14:paraId="4294886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（7）具备履行合同所必需设备和专业技术能力的声明函。</w:t>
      </w:r>
    </w:p>
    <w:p w14:paraId="17225B8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（8）参加采购活动前三年内在经营活动中没有重大违法记录的声明。</w:t>
      </w:r>
    </w:p>
    <w:p w14:paraId="48CBCDF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6CDD484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（9）信用记录查询结果。</w:t>
      </w:r>
    </w:p>
    <w:p w14:paraId="7750BE0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lang w:val="en-US" w:eastAsia="zh-CN"/>
        </w:rPr>
        <w:t>a.</w:t>
      </w:r>
      <w:r>
        <w:rPr>
          <w:rFonts w:hint="eastAsia" w:ascii="仿宋_GB2312" w:hAnsi="仿宋" w:eastAsia="仿宋_GB2312" w:cs="仿宋_GB2312"/>
          <w:sz w:val="32"/>
          <w:szCs w:val="32"/>
        </w:rPr>
        <w:t>信用记录查询的截止时点：信用记录查询的截止时点为本项目投标截止当日。</w:t>
      </w:r>
    </w:p>
    <w:p w14:paraId="426A612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lang w:val="en-US" w:eastAsia="zh-CN"/>
        </w:rPr>
        <w:t>b.</w:t>
      </w:r>
      <w:r>
        <w:rPr>
          <w:rFonts w:hint="eastAsia" w:ascii="仿宋_GB2312" w:hAnsi="仿宋" w:eastAsia="仿宋_GB2312" w:cs="仿宋_GB2312"/>
          <w:sz w:val="32"/>
          <w:szCs w:val="32"/>
        </w:rPr>
        <w:t>信用记录查询渠道：信用中国（www.creditchina.gov.cn）、中国政府采购网（www.ccgp.gov.cn）。</w:t>
      </w:r>
    </w:p>
    <w:p w14:paraId="7DA7E0F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（10）中小企业声明函。</w:t>
      </w:r>
    </w:p>
    <w:p w14:paraId="4B7202E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lang w:val="en-US" w:eastAsia="zh-CN"/>
        </w:rPr>
        <w:t>a.</w:t>
      </w:r>
      <w:r>
        <w:rPr>
          <w:rFonts w:hint="eastAsia" w:ascii="仿宋_GB2312" w:hAnsi="仿宋" w:eastAsia="仿宋_GB2312" w:cs="仿宋_GB2312"/>
          <w:sz w:val="32"/>
          <w:szCs w:val="32"/>
        </w:rPr>
        <w:t>投标人为监狱企业的，可不填写本声明函，根据其提供的由省级以上监狱管理局、戒毒管理局（含新疆生产建设兵团）出具的属于监狱企业的证明文件进行认定，监狱企业视同小型、微型企业。</w:t>
      </w:r>
    </w:p>
    <w:p w14:paraId="4B245DF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lang w:val="en-US" w:eastAsia="zh-CN"/>
        </w:rPr>
        <w:t>b.</w:t>
      </w:r>
      <w:r>
        <w:rPr>
          <w:rFonts w:hint="eastAsia" w:ascii="仿宋_GB2312" w:hAnsi="仿宋" w:eastAsia="仿宋_GB2312" w:cs="仿宋_GB2312"/>
          <w:sz w:val="32"/>
          <w:szCs w:val="32"/>
        </w:rPr>
        <w:t>投标人为残疾人福利性单位的，可不填写本声明函，根据其提供的《残疾人福利性单位声明函》进行认定，残疾人福利性单位视同小型、微型企业。</w:t>
      </w:r>
    </w:p>
    <w:p w14:paraId="4693804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2.技术文件：</w:t>
      </w:r>
    </w:p>
    <w:p w14:paraId="035392C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（1）提交项目整体服务方案和项目实施计划，对本采购文件“第二章 项目内容和要求”进行回应。</w:t>
      </w:r>
    </w:p>
    <w:p w14:paraId="14815A9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微软雅黑"/>
          <w:sz w:val="32"/>
          <w:szCs w:val="32"/>
        </w:rPr>
      </w:pPr>
      <w:r>
        <w:rPr>
          <w:rFonts w:hint="eastAsia" w:ascii="仿宋_GB2312" w:hAnsi="仿宋" w:eastAsia="仿宋_GB2312" w:cs="微软雅黑"/>
          <w:sz w:val="32"/>
          <w:szCs w:val="32"/>
        </w:rPr>
        <w:t>（2）供应商认为应提交的其他文件。</w:t>
      </w:r>
    </w:p>
    <w:p w14:paraId="760727EA">
      <w:pPr>
        <w:spacing w:line="514" w:lineRule="exact"/>
        <w:ind w:firstLine="640" w:firstLineChars="200"/>
        <w:rPr>
          <w:rFonts w:ascii="仿宋_GB2312" w:hAnsi="仿宋_GB2312" w:eastAsia="仿宋_GB2312" w:cs="仿宋_GB2312"/>
          <w:sz w:val="32"/>
          <w:szCs w:val="32"/>
        </w:rPr>
        <w:sectPr>
          <w:footerReference r:id="rId3" w:type="default"/>
          <w:pgSz w:w="11906" w:h="16838"/>
          <w:pgMar w:top="1985" w:right="1418" w:bottom="1418" w:left="1418" w:header="850" w:footer="850" w:gutter="0"/>
          <w:cols w:space="720" w:num="1"/>
          <w:titlePg/>
          <w:docGrid w:linePitch="435" w:charSpace="0"/>
        </w:sectPr>
      </w:pPr>
    </w:p>
    <w:p w14:paraId="6832BA40">
      <w:pPr>
        <w:spacing w:line="514" w:lineRule="exact"/>
        <w:jc w:val="center"/>
        <w:rPr>
          <w:rFonts w:ascii="仿宋_GB2312" w:eastAsia="仿宋_GB2312"/>
          <w:b/>
          <w:sz w:val="32"/>
          <w:szCs w:val="32"/>
        </w:rPr>
      </w:pPr>
      <w:bookmarkStart w:id="6" w:name="_Toc498001263"/>
      <w:bookmarkStart w:id="7" w:name="_Toc498001362"/>
      <w:r>
        <w:rPr>
          <w:rFonts w:hint="eastAsia" w:ascii="仿宋_GB2312" w:eastAsia="仿宋_GB2312" w:cs="黑体"/>
          <w:b/>
          <w:sz w:val="32"/>
          <w:szCs w:val="32"/>
        </w:rPr>
        <w:t>第二章 项目内容和要求</w:t>
      </w:r>
      <w:bookmarkEnd w:id="6"/>
      <w:bookmarkEnd w:id="7"/>
      <w:bookmarkStart w:id="8" w:name="_Toc498001364"/>
      <w:bookmarkStart w:id="9" w:name="_Toc498001265"/>
      <w:bookmarkStart w:id="10" w:name="_Toc351982587"/>
      <w:bookmarkStart w:id="11" w:name="_Toc363110617"/>
      <w:bookmarkStart w:id="12" w:name="_Toc362425411"/>
    </w:p>
    <w:bookmarkEnd w:id="8"/>
    <w:bookmarkEnd w:id="9"/>
    <w:bookmarkEnd w:id="10"/>
    <w:bookmarkEnd w:id="11"/>
    <w:bookmarkEnd w:id="12"/>
    <w:p w14:paraId="2692E815">
      <w:pPr>
        <w:spacing w:line="360" w:lineRule="auto"/>
        <w:ind w:firstLine="643" w:firstLineChars="200"/>
        <w:outlineLvl w:val="0"/>
        <w:rPr>
          <w:rFonts w:ascii="仿宋_GB2312" w:hAnsi="宋体" w:eastAsia="仿宋_GB2312"/>
          <w:b/>
          <w:sz w:val="32"/>
          <w:szCs w:val="32"/>
        </w:rPr>
      </w:pPr>
    </w:p>
    <w:p w14:paraId="54D3BAA4">
      <w:pPr>
        <w:spacing w:line="360" w:lineRule="auto"/>
        <w:ind w:firstLine="643" w:firstLineChars="200"/>
        <w:outlineLvl w:val="0"/>
        <w:rPr>
          <w:rFonts w:ascii="仿宋_GB2312" w:hAnsi="宋体" w:eastAsia="仿宋_GB2312"/>
          <w:b/>
          <w:sz w:val="32"/>
          <w:szCs w:val="32"/>
        </w:rPr>
      </w:pPr>
      <w:r>
        <w:rPr>
          <w:rFonts w:hint="eastAsia" w:ascii="仿宋_GB2312" w:hAnsi="宋体" w:eastAsia="仿宋_GB2312"/>
          <w:b/>
          <w:sz w:val="32"/>
          <w:szCs w:val="32"/>
        </w:rPr>
        <w:t>一、项目概况</w:t>
      </w:r>
    </w:p>
    <w:p w14:paraId="07CFC726">
      <w:pPr>
        <w:spacing w:line="360" w:lineRule="auto"/>
        <w:ind w:firstLine="640" w:firstLineChars="200"/>
        <w:outlineLvl w:val="0"/>
        <w:rPr>
          <w:rFonts w:hint="eastAsia" w:ascii="仿宋_GB2312" w:hAnsi="宋体" w:eastAsia="仿宋_GB2312" w:cs="宋体"/>
          <w:bCs/>
          <w:kern w:val="0"/>
          <w:sz w:val="32"/>
          <w:szCs w:val="32"/>
          <w:shd w:val="clear" w:color="auto" w:fill="FFFFFF"/>
        </w:rPr>
      </w:pPr>
      <w:r>
        <w:rPr>
          <w:rFonts w:hint="eastAsia" w:ascii="仿宋_GB2312" w:hAnsi="宋体" w:eastAsia="仿宋_GB2312" w:cs="宋体"/>
          <w:bCs/>
          <w:kern w:val="0"/>
          <w:sz w:val="32"/>
          <w:szCs w:val="32"/>
          <w:shd w:val="clear" w:color="auto" w:fill="FFFFFF"/>
        </w:rPr>
        <w:t>福建省市场监管局省直一体化协同办公平台由省数字办统一建设部署，于2021年上线运行，提供公文管理和其他协同办公管理等信息化支撑服务。由各省直单位自行采购驻场维护和优化保障服务。为保证系统平稳、安全、可靠运行，现向社会公开采购2024年运维服务。</w:t>
      </w:r>
    </w:p>
    <w:p w14:paraId="6853E0DA">
      <w:pPr>
        <w:spacing w:line="360" w:lineRule="auto"/>
        <w:ind w:firstLine="643" w:firstLineChars="200"/>
        <w:outlineLvl w:val="0"/>
        <w:rPr>
          <w:rFonts w:ascii="仿宋_GB2312" w:hAnsi="宋体" w:eastAsia="仿宋_GB2312"/>
          <w:b/>
          <w:sz w:val="32"/>
          <w:szCs w:val="32"/>
        </w:rPr>
      </w:pPr>
      <w:r>
        <w:rPr>
          <w:rFonts w:hint="eastAsia" w:ascii="仿宋_GB2312" w:hAnsi="宋体" w:eastAsia="仿宋_GB2312"/>
          <w:b/>
          <w:sz w:val="32"/>
          <w:szCs w:val="32"/>
        </w:rPr>
        <w:t>二、服务内容和要求</w:t>
      </w:r>
    </w:p>
    <w:p w14:paraId="0E4EA75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（一）服务内容</w:t>
      </w:r>
    </w:p>
    <w:p w14:paraId="0550BE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为福建省市场监管局提供公文管理和其他协同办公管理等信息化支撑服务。主要包括系统运行维护、系统数据维护、网络安全保障和系统应用支持等内容。</w:t>
      </w:r>
    </w:p>
    <w:p w14:paraId="7D20C9E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1.系统运行维护</w:t>
      </w:r>
    </w:p>
    <w:p w14:paraId="277B30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（1）系统日常维护</w:t>
      </w:r>
    </w:p>
    <w:p w14:paraId="73CB8B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对系统进行改正性、适应性、完善性和预防性维护，并开展系统日常巡检，及时处置发现的问题和故障，保障系统整体平稳运行。</w:t>
      </w:r>
    </w:p>
    <w:p w14:paraId="55C74A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（2）性能优化和调试</w:t>
      </w:r>
    </w:p>
    <w:p w14:paraId="4AB7DF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对系统运行情况进行监控，确保系统资源占用情况得到合理控制，必要时进行性能调优，以提高系统的响应速度和吞吐量。</w:t>
      </w:r>
    </w:p>
    <w:p w14:paraId="0D2790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（3）软件更新和维护</w:t>
      </w:r>
    </w:p>
    <w:p w14:paraId="358E57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对操作系统、数据库、中间件等软件进行更新和维护工作，确保其处于最新或最适用的版本。</w:t>
      </w:r>
    </w:p>
    <w:p w14:paraId="442A4FD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2.系统数据维护</w:t>
      </w:r>
    </w:p>
    <w:p w14:paraId="4E3C89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（1）日常数据服务</w:t>
      </w:r>
    </w:p>
    <w:p w14:paraId="6C1464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提供日常办公数据的查询、统计和纠正服务，配合省局以及各设区市、县（区）、所等基层单位定期或临时的其他数据服务。</w:t>
      </w:r>
    </w:p>
    <w:p w14:paraId="5A1BDA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（2）数据备份和恢复服务</w:t>
      </w:r>
    </w:p>
    <w:p w14:paraId="64D858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制定备份策略，并按策略要求进行数据备份，同时不定期开展数据恢复测试。</w:t>
      </w:r>
    </w:p>
    <w:p w14:paraId="03E5881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sz w:val="32"/>
          <w:szCs w:val="32"/>
        </w:rPr>
      </w:pPr>
      <w:bookmarkStart w:id="13" w:name="OLE_LINK1"/>
      <w:r>
        <w:rPr>
          <w:rFonts w:hint="eastAsia" w:ascii="仿宋_GB2312" w:hAnsi="仿宋_GB2312" w:eastAsia="仿宋_GB2312" w:cs="仿宋_GB2312"/>
          <w:b/>
          <w:sz w:val="32"/>
          <w:szCs w:val="32"/>
        </w:rPr>
        <w:t>3.网络安全保障</w:t>
      </w:r>
    </w:p>
    <w:p w14:paraId="4448A8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做好系统日常网络安全保障，包括但不仅限于用户权限管理、访问控制、网络安全等方面。同时中标人须无条件配合采购人根据网络安全主管部门通报、等级保护测评以及日常安全巡检等发现的安全漏洞对系统进行整改（包括但不仅限于应用、源代码、主机等各方面）。</w:t>
      </w:r>
    </w:p>
    <w:bookmarkEnd w:id="13"/>
    <w:p w14:paraId="5BAD1A5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4.系统应用支持</w:t>
      </w:r>
    </w:p>
    <w:p w14:paraId="3FAF33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（1）日常应用支持</w:t>
      </w:r>
    </w:p>
    <w:p w14:paraId="497340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备专人，通过电话、网络等多种方式，对省局以及各设区市、县（区）、所等基层单位人员在系统应用过程中所碰到的系统使用问题进行处置和解答反馈，包括解答用户对应用软件功能的疑问、处理并回复用户对应用软件提出的问题等；并定期对日常问题进行分类汇总、分析，制定改进措施。</w:t>
      </w:r>
    </w:p>
    <w:p w14:paraId="3F26D8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（2）专项任务支持</w:t>
      </w:r>
    </w:p>
    <w:p w14:paraId="099C03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kern w:val="0"/>
          <w:sz w:val="32"/>
          <w:szCs w:val="32"/>
          <w:shd w:val="clear" w:color="auto" w:fill="FFFFFF"/>
        </w:rPr>
      </w:pPr>
      <w:r>
        <w:rPr>
          <w:rFonts w:hint="eastAsia" w:ascii="仿宋_GB2312" w:hAnsi="仿宋_GB2312" w:eastAsia="仿宋_GB2312" w:cs="仿宋_GB2312"/>
          <w:sz w:val="32"/>
          <w:szCs w:val="32"/>
        </w:rPr>
        <w:t>中标人须无条件配合采购人根据国家市场监管总局、</w:t>
      </w:r>
      <w:r>
        <w:rPr>
          <w:rFonts w:hint="eastAsia" w:ascii="仿宋_GB2312" w:hAnsi="仿宋_GB2312" w:eastAsia="仿宋_GB2312" w:cs="仿宋_GB2312"/>
          <w:bCs/>
          <w:kern w:val="0"/>
          <w:sz w:val="32"/>
          <w:szCs w:val="32"/>
          <w:shd w:val="clear" w:color="auto" w:fill="FFFFFF"/>
        </w:rPr>
        <w:t>福建省电子政务绩效考核等有关要求，完成系统技术支撑和保障任务。</w:t>
      </w:r>
    </w:p>
    <w:p w14:paraId="1E56EB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（3）其他应用支持</w:t>
      </w:r>
    </w:p>
    <w:p w14:paraId="673869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工作要求，完成采购人交办的任务，包括软件功能故障诊断、控件安装和操作指导等；完成省局以及各设区市、县（区）、所等基层单位的支持服务工作；为省局以及各设区市、县（区）、所等基层单位用户提供日常使用培训，根据用户的岗位职责，依据用户组织结构的管理模式，采取不同的培训策略，向用户提供人性化服务，每年1次；</w:t>
      </w:r>
    </w:p>
    <w:p w14:paraId="339DDA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完成省局以及各设区市、县（区）、所等基层单位交办的关于省直一体化协同办公平台的其他工作任务。</w:t>
      </w:r>
    </w:p>
    <w:p w14:paraId="5461D6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提供应急预案和应急处置服务，以应对各种突发意外事件，例如系统软件瘫痪、硬件问题导致的系统突发故障等。</w:t>
      </w:r>
    </w:p>
    <w:p w14:paraId="30DFCC9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（二）服务要求</w:t>
      </w:r>
    </w:p>
    <w:p w14:paraId="1C91D55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1.服务期</w:t>
      </w:r>
    </w:p>
    <w:p w14:paraId="05B464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kern w:val="0"/>
          <w:sz w:val="32"/>
          <w:szCs w:val="32"/>
          <w:shd w:val="clear" w:color="auto" w:fill="FFFFFF"/>
        </w:rPr>
      </w:pPr>
      <w:r>
        <w:rPr>
          <w:rFonts w:hint="eastAsia" w:ascii="仿宋_GB2312" w:hAnsi="仿宋_GB2312" w:eastAsia="仿宋_GB2312" w:cs="仿宋_GB2312"/>
          <w:bCs/>
          <w:kern w:val="0"/>
          <w:sz w:val="32"/>
          <w:szCs w:val="32"/>
          <w:shd w:val="clear" w:color="auto" w:fill="FFFFFF"/>
        </w:rPr>
        <w:t>自合同签订之日起365日。</w:t>
      </w:r>
    </w:p>
    <w:p w14:paraId="7D9BD02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2.中标人职责</w:t>
      </w:r>
    </w:p>
    <w:p w14:paraId="431BD6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本项目中，中标人作为整体运维服务的提供方，承担运维服务的技术管理、实施和协调工作。中标人应当具备专业的支持服务管理机构，严密的管理流程、可靠的服务保障体系和完善的质量保证体系。同时，应该采用通用的规范化的项目管理方法，全面监控和管理项目实施过程，并确保项目进度得到有效控制。</w:t>
      </w:r>
    </w:p>
    <w:p w14:paraId="63935E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其职责主要包括：</w:t>
      </w:r>
    </w:p>
    <w:p w14:paraId="5249BA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（1）遵守采购人的管理制度要求，提供系统运维服务； </w:t>
      </w:r>
    </w:p>
    <w:p w14:paraId="4FE585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（2）为本项目提供符合要求的技术人员，通过中标人的管理机制体系，保证项目的顺利实施；</w:t>
      </w:r>
    </w:p>
    <w:p w14:paraId="6702D8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（3）提供完整的技术文档资料、完整的测试、调优、维护服务与建议；</w:t>
      </w:r>
    </w:p>
    <w:p w14:paraId="44A9C4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（4）在服务期内持续进行系统的优化和符合本项目要求的技术支持；</w:t>
      </w:r>
    </w:p>
    <w:p w14:paraId="304E2E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（5）配合采购人进行本项目相关软件的安装、测试、升级和调优等工作；</w:t>
      </w:r>
    </w:p>
    <w:p w14:paraId="398CDF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（6）在服务期内，若系统发生突发事件，及时恢复系统运行；</w:t>
      </w:r>
    </w:p>
    <w:p w14:paraId="2E452B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（7）根据资源开销、性能下降等现象，对运行环境进行必要的风险评估，向采购人发起设备更新替代相关建议；</w:t>
      </w:r>
    </w:p>
    <w:p w14:paraId="661147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（8）提供必要的知识管理，相关知识管理内容包括且不限于各类手册、巡检记录、Case处理记录、故障处理记录等。</w:t>
      </w:r>
    </w:p>
    <w:p w14:paraId="2CEC84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在提供服务过程中若出现需要原系统承建单位配合开展的事务，由中标人负责与原系统承建单位协调，且产生的费用全部由中标人承担。</w:t>
      </w:r>
    </w:p>
    <w:p w14:paraId="35A6EB0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3.运维要求</w:t>
      </w:r>
    </w:p>
    <w:p w14:paraId="5885F7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（1）计划方案</w:t>
      </w:r>
    </w:p>
    <w:p w14:paraId="4248DA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kern w:val="0"/>
          <w:sz w:val="32"/>
          <w:szCs w:val="32"/>
          <w:shd w:val="clear" w:color="auto" w:fill="FFFFFF"/>
        </w:rPr>
      </w:pPr>
      <w:r>
        <w:rPr>
          <w:rFonts w:hint="eastAsia" w:ascii="仿宋_GB2312" w:hAnsi="仿宋_GB2312" w:eastAsia="仿宋_GB2312" w:cs="仿宋_GB2312"/>
          <w:bCs/>
          <w:kern w:val="0"/>
          <w:sz w:val="32"/>
          <w:szCs w:val="32"/>
          <w:shd w:val="clear" w:color="auto" w:fill="FFFFFF"/>
        </w:rPr>
        <w:t>在合同签订后10日内，</w:t>
      </w:r>
      <w:r>
        <w:rPr>
          <w:rFonts w:hint="eastAsia" w:ascii="仿宋_GB2312" w:hAnsi="仿宋_GB2312" w:eastAsia="仿宋_GB2312" w:cs="仿宋_GB2312"/>
          <w:sz w:val="32"/>
          <w:szCs w:val="32"/>
        </w:rPr>
        <w:t>中标人须</w:t>
      </w:r>
      <w:r>
        <w:rPr>
          <w:rFonts w:hint="eastAsia" w:ascii="仿宋_GB2312" w:hAnsi="仿宋_GB2312" w:eastAsia="仿宋_GB2312" w:cs="仿宋_GB2312"/>
          <w:bCs/>
          <w:kern w:val="0"/>
          <w:sz w:val="32"/>
          <w:szCs w:val="32"/>
          <w:shd w:val="clear" w:color="auto" w:fill="FFFFFF"/>
        </w:rPr>
        <w:t>向采购人书面提交实施计划和运维方案。实施计划和运维方案必须</w:t>
      </w:r>
      <w:r>
        <w:rPr>
          <w:rFonts w:hint="eastAsia" w:ascii="仿宋_GB2312" w:hAnsi="仿宋_GB2312" w:eastAsia="仿宋_GB2312" w:cs="仿宋_GB2312"/>
          <w:sz w:val="32"/>
          <w:szCs w:val="32"/>
        </w:rPr>
        <w:t>针对运维服务的重点难点进行分析，</w:t>
      </w:r>
      <w:r>
        <w:rPr>
          <w:rFonts w:hint="eastAsia" w:ascii="仿宋_GB2312" w:hAnsi="仿宋_GB2312" w:eastAsia="仿宋_GB2312" w:cs="仿宋_GB2312"/>
          <w:bCs/>
          <w:kern w:val="0"/>
          <w:sz w:val="32"/>
          <w:szCs w:val="32"/>
          <w:shd w:val="clear" w:color="auto" w:fill="FFFFFF"/>
        </w:rPr>
        <w:t>密切贴合系统日常维护需求，其中至少包括运维项目内容（含数据库表清单）、重点难点、详细指标、实施周期、服务团队人员等内容，并提供</w:t>
      </w:r>
      <w:r>
        <w:rPr>
          <w:rFonts w:hint="eastAsia" w:ascii="仿宋_GB2312" w:hAnsi="仿宋_GB2312" w:eastAsia="仿宋_GB2312" w:cs="仿宋_GB2312"/>
          <w:sz w:val="32"/>
          <w:szCs w:val="32"/>
        </w:rPr>
        <w:t>巡检记录、故障记录</w:t>
      </w:r>
      <w:r>
        <w:rPr>
          <w:rFonts w:hint="eastAsia" w:ascii="仿宋_GB2312" w:hAnsi="仿宋_GB2312" w:eastAsia="仿宋_GB2312" w:cs="仿宋_GB2312"/>
          <w:bCs/>
          <w:kern w:val="0"/>
          <w:sz w:val="32"/>
          <w:szCs w:val="32"/>
          <w:shd w:val="clear" w:color="auto" w:fill="FFFFFF"/>
        </w:rPr>
        <w:t>等相应配套的表单，否则视为无法履行本次合同，采购人有权单方面解除合同并要求</w:t>
      </w:r>
      <w:r>
        <w:rPr>
          <w:rFonts w:hint="eastAsia" w:ascii="仿宋_GB2312" w:hAnsi="仿宋_GB2312" w:eastAsia="仿宋_GB2312" w:cs="仿宋_GB2312"/>
          <w:sz w:val="32"/>
          <w:szCs w:val="32"/>
        </w:rPr>
        <w:t>中标人</w:t>
      </w:r>
      <w:r>
        <w:rPr>
          <w:rFonts w:hint="eastAsia" w:ascii="仿宋_GB2312" w:hAnsi="仿宋_GB2312" w:eastAsia="仿宋_GB2312" w:cs="仿宋_GB2312"/>
          <w:bCs/>
          <w:kern w:val="0"/>
          <w:sz w:val="32"/>
          <w:szCs w:val="32"/>
          <w:shd w:val="clear" w:color="auto" w:fill="FFFFFF"/>
        </w:rPr>
        <w:t>支付违约金及追究相应的法律责任。</w:t>
      </w:r>
    </w:p>
    <w:p w14:paraId="32182D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（2）日常巡检</w:t>
      </w:r>
    </w:p>
    <w:p w14:paraId="2E3CFA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中标人应按照运维方案要求，每</w:t>
      </w:r>
      <w:r>
        <w:rPr>
          <w:rFonts w:hint="eastAsia" w:ascii="仿宋_GB2312" w:hAnsi="仿宋_GB2312" w:eastAsia="仿宋_GB2312" w:cs="仿宋_GB2312"/>
          <w:sz w:val="32"/>
          <w:szCs w:val="32"/>
          <w:lang w:val="en-US" w:eastAsia="zh-CN"/>
        </w:rPr>
        <w:t>工作日</w:t>
      </w:r>
      <w:r>
        <w:rPr>
          <w:rFonts w:hint="eastAsia" w:ascii="仿宋_GB2312" w:hAnsi="仿宋_GB2312" w:eastAsia="仿宋_GB2312" w:cs="仿宋_GB2312"/>
          <w:sz w:val="32"/>
          <w:szCs w:val="32"/>
        </w:rPr>
        <w:t>进行1次系统巡检，包括应用程序、网络、服务器等方面，并填写巡检记录相关表单。巡检过程中发现问题和故障应及时报告并如实记录。其中：</w:t>
      </w:r>
    </w:p>
    <w:p w14:paraId="03B07C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应用程序巡检：对关键服务进行可用性、响应速度、稳定性等方面的巡检；对核心、重要业务功能进行巡检，验证其可用性。</w:t>
      </w:r>
    </w:p>
    <w:p w14:paraId="5DA7EC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服务器巡检：对涉及</w:t>
      </w:r>
      <w:bookmarkStart w:id="14" w:name="_GoBack"/>
      <w:bookmarkEnd w:id="14"/>
      <w:r>
        <w:rPr>
          <w:rFonts w:hint="eastAsia" w:ascii="仿宋_GB2312" w:hAnsi="仿宋_GB2312" w:eastAsia="仿宋_GB2312" w:cs="仿宋_GB2312"/>
          <w:sz w:val="32"/>
          <w:szCs w:val="32"/>
        </w:rPr>
        <w:t>的服务器的CPU、内存、硬盘等使用情况进行日常巡检等。</w:t>
      </w:r>
    </w:p>
    <w:p w14:paraId="2B96AC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（3）故障处置</w:t>
      </w:r>
    </w:p>
    <w:p w14:paraId="123669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中标人的运维人员在处理故障后，应在2个工作日内提交故障处理报告。在必须进行系统重启等重大操作时，须经采购人相关负责人批准后方可实施。</w:t>
      </w:r>
    </w:p>
    <w:p w14:paraId="26CAEE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（4）响应时间</w:t>
      </w:r>
    </w:p>
    <w:p w14:paraId="68FCBF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人须提供全年7×24小时服务。远程支持服务响应时间为30分钟内，对系统发生故障的维修、技术支援的时间不超过4小时；如需现场支持服务，则应在2小时内到达现场，在24小时内提供故障解决方案并解决故障。</w:t>
      </w:r>
    </w:p>
    <w:p w14:paraId="01ACA1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故障紧急程度和响应恢复时间：</w:t>
      </w:r>
    </w:p>
    <w:p w14:paraId="3E5770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紧急：系统瘫痪，完全不能运转；报修后30分钟内响应，2小时内恢复。</w:t>
      </w:r>
    </w:p>
    <w:p w14:paraId="05468B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—般：系统部分出现故障，系统仍能运转；报修后30分钟内响应，4小时内恢复。</w:t>
      </w:r>
    </w:p>
    <w:p w14:paraId="42065D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轻微：初步诊断为系统问题，系统可运转但性能下降；报修后30分钟内响应，24小时内恢复。</w:t>
      </w:r>
    </w:p>
    <w:p w14:paraId="7DA1A9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（5）其他要求</w:t>
      </w:r>
    </w:p>
    <w:p w14:paraId="5F3F13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中标人在进行相关系统软件补丁升级、版本升级或性能调优前，须进行相应的联调测试，并结合测试报告制定技术方案报采购人审批，确保系统运行和使用不受影响。</w:t>
      </w:r>
    </w:p>
    <w:p w14:paraId="1F2965A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4.人员要求</w:t>
      </w:r>
    </w:p>
    <w:p w14:paraId="6CEBCE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中标人须组建不少于2人的运维服务团队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指定负责人，其中1名运维服务人员须提供5×8小时驻点服务。维护服务人员要有良好的沟通能力和保密意识，在操作系统、网络通信、数据库管理、安全防护等方面具备丰富的专业知识和技能，同时应拥有省级及以上业务系统及协同办公类相关信息化系统运行维护经验。</w:t>
      </w:r>
    </w:p>
    <w:p w14:paraId="03A53E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服务期内原则上不允许更换运维服务团队</w:t>
      </w:r>
      <w:r>
        <w:rPr>
          <w:rFonts w:hint="eastAsia" w:ascii="仿宋_GB2312" w:hAnsi="仿宋_GB2312" w:eastAsia="仿宋_GB2312" w:cs="仿宋_GB2312"/>
          <w:bCs/>
          <w:kern w:val="0"/>
          <w:sz w:val="32"/>
          <w:szCs w:val="32"/>
          <w:shd w:val="clear" w:color="auto" w:fill="FFFFFF"/>
        </w:rPr>
        <w:t>人员</w:t>
      </w:r>
      <w:r>
        <w:rPr>
          <w:rFonts w:hint="eastAsia" w:ascii="仿宋_GB2312" w:hAnsi="仿宋_GB2312" w:eastAsia="仿宋_GB2312" w:cs="仿宋_GB2312"/>
          <w:sz w:val="32"/>
          <w:szCs w:val="32"/>
        </w:rPr>
        <w:t>。确因客观原因需要调整人员的，应配备同资质人员，并取得采购人书面同意。</w:t>
      </w:r>
    </w:p>
    <w:p w14:paraId="36C57C8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5.安全与保密要求</w:t>
      </w:r>
    </w:p>
    <w:p w14:paraId="43BEE9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人必须服从采购人对安全管理规定和要求，建立网络安全、信息安全、数据安全管理制度，严格落实安全责任和义务，全面保障本项目过程中的网络、信息和数据安全。此外，中标人还必须严格保密采购人的相关信息，包括但不仅限于本项目维护服务内容及因本项目而接触到的采购人的各类技术类信息、管理类信息、知识产权类信息及其他不宜外泄的信息等，在合同履行期间，未经采购人书面同意，中标人不得留存、拷贝、使用、传递，不得用于其他任何项目及用途，不以任何方式泄露、传播及对外公布。否则由此引起的一切后果由中标人承担。</w:t>
      </w:r>
    </w:p>
    <w:p w14:paraId="3141A655">
      <w:pPr>
        <w:spacing w:line="360" w:lineRule="auto"/>
        <w:ind w:firstLine="643" w:firstLineChars="200"/>
        <w:outlineLvl w:val="2"/>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6.服务质量考核</w:t>
      </w:r>
    </w:p>
    <w:p w14:paraId="10857588">
      <w:pPr>
        <w:spacing w:line="360" w:lineRule="auto"/>
        <w:ind w:firstLine="640" w:firstLineChars="200"/>
        <w:rPr>
          <w:rFonts w:ascii="宋体" w:hAnsi="宋体"/>
          <w:sz w:val="24"/>
        </w:rPr>
        <w:sectPr>
          <w:footerReference r:id="rId4" w:type="default"/>
          <w:footerReference r:id="rId5" w:type="even"/>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32"/>
          <w:szCs w:val="32"/>
        </w:rPr>
        <w:t>采购人按照系统运维服务情况考核表的要求对中标人进行服务质量考核，若出现月考核分数低于90分的，采购人有权不予支付当月服务金额（按合同总金额的8%计）；若因中标人原因造成的网络安全、数据安全和保密事故的，采购人除不予支付当月服务金额（按合同总金额的8%计）外，还将视情况要求中标人赔偿同等金额的违约金并追究相应的法律责任。</w:t>
      </w:r>
    </w:p>
    <w:p w14:paraId="405CB974">
      <w:pPr>
        <w:pStyle w:val="11"/>
        <w:ind w:firstLine="720"/>
        <w:jc w:val="center"/>
        <w:rPr>
          <w:rFonts w:hint="default" w:ascii="方正小标宋简体" w:hAnsi="宋体" w:eastAsia="方正小标宋简体" w:cs="方正小标宋简体"/>
          <w:sz w:val="36"/>
          <w:szCs w:val="36"/>
        </w:rPr>
      </w:pPr>
      <w:r>
        <w:rPr>
          <w:rFonts w:ascii="方正小标宋简体" w:hAnsi="宋体" w:eastAsia="方正小标宋简体" w:cs="方正小标宋简体"/>
          <w:sz w:val="36"/>
          <w:szCs w:val="36"/>
        </w:rPr>
        <w:t>运维服务质量考核评分表</w:t>
      </w:r>
    </w:p>
    <w:tbl>
      <w:tblPr>
        <w:tblStyle w:val="7"/>
        <w:tblW w:w="151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1"/>
        <w:gridCol w:w="780"/>
        <w:gridCol w:w="6870"/>
        <w:gridCol w:w="935"/>
        <w:gridCol w:w="3250"/>
        <w:gridCol w:w="960"/>
        <w:gridCol w:w="720"/>
        <w:gridCol w:w="840"/>
      </w:tblGrid>
      <w:tr w14:paraId="50AE7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51" w:type="dxa"/>
            <w:tcBorders>
              <w:tl2br w:val="nil"/>
              <w:tr2bl w:val="nil"/>
            </w:tcBorders>
            <w:tcMar>
              <w:top w:w="0" w:type="dxa"/>
              <w:left w:w="105" w:type="dxa"/>
              <w:bottom w:w="0" w:type="dxa"/>
              <w:right w:w="105" w:type="dxa"/>
            </w:tcMar>
            <w:vAlign w:val="center"/>
          </w:tcPr>
          <w:p w14:paraId="198030AF">
            <w:pPr>
              <w:pStyle w:val="11"/>
              <w:spacing w:line="360" w:lineRule="exact"/>
              <w:jc w:val="center"/>
              <w:rPr>
                <w:rFonts w:hint="default" w:ascii="宋体" w:hAnsi="宋体"/>
                <w:sz w:val="21"/>
                <w:szCs w:val="21"/>
              </w:rPr>
            </w:pPr>
            <w:r>
              <w:rPr>
                <w:rFonts w:ascii="宋体" w:hAnsi="宋体" w:cs="宋体"/>
                <w:sz w:val="21"/>
                <w:szCs w:val="21"/>
              </w:rPr>
              <w:t>项目名称</w:t>
            </w:r>
          </w:p>
        </w:tc>
        <w:tc>
          <w:tcPr>
            <w:tcW w:w="14355" w:type="dxa"/>
            <w:gridSpan w:val="7"/>
            <w:tcBorders>
              <w:tl2br w:val="nil"/>
              <w:tr2bl w:val="nil"/>
            </w:tcBorders>
            <w:tcMar>
              <w:top w:w="0" w:type="dxa"/>
              <w:left w:w="105" w:type="dxa"/>
              <w:bottom w:w="0" w:type="dxa"/>
              <w:right w:w="105" w:type="dxa"/>
            </w:tcMar>
            <w:vAlign w:val="center"/>
          </w:tcPr>
          <w:p w14:paraId="181A431A">
            <w:pPr>
              <w:pStyle w:val="11"/>
              <w:spacing w:line="360" w:lineRule="exact"/>
              <w:jc w:val="center"/>
              <w:rPr>
                <w:rFonts w:hint="default" w:ascii="宋体" w:hAnsi="宋体"/>
                <w:sz w:val="21"/>
                <w:szCs w:val="21"/>
              </w:rPr>
            </w:pPr>
          </w:p>
        </w:tc>
      </w:tr>
      <w:tr w14:paraId="483ED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1" w:type="dxa"/>
            <w:tcBorders>
              <w:tl2br w:val="nil"/>
              <w:tr2bl w:val="nil"/>
            </w:tcBorders>
            <w:tcMar>
              <w:top w:w="0" w:type="dxa"/>
              <w:left w:w="105" w:type="dxa"/>
              <w:bottom w:w="0" w:type="dxa"/>
              <w:right w:w="105" w:type="dxa"/>
            </w:tcMar>
            <w:vAlign w:val="center"/>
          </w:tcPr>
          <w:p w14:paraId="6235D436">
            <w:pPr>
              <w:pStyle w:val="11"/>
              <w:spacing w:line="360" w:lineRule="exact"/>
              <w:jc w:val="center"/>
              <w:rPr>
                <w:rFonts w:hint="default" w:ascii="宋体" w:hAnsi="宋体"/>
                <w:sz w:val="21"/>
                <w:szCs w:val="21"/>
              </w:rPr>
            </w:pPr>
            <w:r>
              <w:rPr>
                <w:rFonts w:ascii="宋体" w:hAnsi="宋体" w:cs="宋体"/>
                <w:sz w:val="21"/>
                <w:szCs w:val="21"/>
              </w:rPr>
              <w:t>总体要求</w:t>
            </w:r>
          </w:p>
        </w:tc>
        <w:tc>
          <w:tcPr>
            <w:tcW w:w="14355" w:type="dxa"/>
            <w:gridSpan w:val="7"/>
            <w:tcBorders>
              <w:tl2br w:val="nil"/>
              <w:tr2bl w:val="nil"/>
            </w:tcBorders>
            <w:tcMar>
              <w:top w:w="0" w:type="dxa"/>
              <w:left w:w="105" w:type="dxa"/>
              <w:bottom w:w="0" w:type="dxa"/>
              <w:right w:w="105" w:type="dxa"/>
            </w:tcMar>
            <w:vAlign w:val="center"/>
          </w:tcPr>
          <w:p w14:paraId="3C1D1741">
            <w:pPr>
              <w:pStyle w:val="11"/>
              <w:spacing w:line="360" w:lineRule="exact"/>
              <w:rPr>
                <w:rFonts w:hint="default" w:ascii="宋体" w:hAnsi="宋体"/>
                <w:sz w:val="21"/>
                <w:szCs w:val="21"/>
              </w:rPr>
            </w:pPr>
            <w:r>
              <w:rPr>
                <w:rFonts w:ascii="宋体" w:hAnsi="宋体" w:cs="宋体"/>
                <w:sz w:val="21"/>
                <w:szCs w:val="21"/>
              </w:rPr>
              <w:t>每</w:t>
            </w:r>
            <w:r>
              <w:rPr>
                <w:rFonts w:ascii="宋体" w:hAnsi="宋体" w:cs="宋体"/>
                <w:sz w:val="21"/>
                <w:szCs w:val="21"/>
                <w:u w:val="single"/>
              </w:rPr>
              <w:t xml:space="preserve">        （月、季度等）</w:t>
            </w:r>
            <w:r>
              <w:rPr>
                <w:rFonts w:ascii="宋体" w:hAnsi="宋体" w:cs="宋体"/>
                <w:sz w:val="21"/>
                <w:szCs w:val="21"/>
              </w:rPr>
              <w:t>考核一次。按照项目招投标文件及合同要求，对运维服务单位提供的运维服务质量情况进行考核。</w:t>
            </w:r>
          </w:p>
        </w:tc>
      </w:tr>
      <w:tr w14:paraId="31FCD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1" w:type="dxa"/>
            <w:tcBorders>
              <w:tl2br w:val="nil"/>
              <w:tr2bl w:val="nil"/>
            </w:tcBorders>
            <w:tcMar>
              <w:top w:w="0" w:type="dxa"/>
              <w:left w:w="105" w:type="dxa"/>
              <w:bottom w:w="0" w:type="dxa"/>
              <w:right w:w="105" w:type="dxa"/>
            </w:tcMar>
            <w:vAlign w:val="center"/>
          </w:tcPr>
          <w:p w14:paraId="51AC6E4C">
            <w:pPr>
              <w:pStyle w:val="11"/>
              <w:spacing w:line="360" w:lineRule="exact"/>
              <w:jc w:val="center"/>
              <w:rPr>
                <w:rFonts w:hint="default" w:ascii="宋体" w:hAnsi="宋体"/>
                <w:sz w:val="21"/>
                <w:szCs w:val="21"/>
              </w:rPr>
            </w:pPr>
            <w:r>
              <w:rPr>
                <w:rFonts w:ascii="宋体" w:hAnsi="宋体" w:cs="宋体"/>
                <w:sz w:val="21"/>
                <w:szCs w:val="21"/>
              </w:rPr>
              <w:t>考核时间</w:t>
            </w:r>
          </w:p>
        </w:tc>
        <w:tc>
          <w:tcPr>
            <w:tcW w:w="14355" w:type="dxa"/>
            <w:gridSpan w:val="7"/>
            <w:tcBorders>
              <w:tl2br w:val="nil"/>
              <w:tr2bl w:val="nil"/>
            </w:tcBorders>
            <w:tcMar>
              <w:top w:w="0" w:type="dxa"/>
              <w:left w:w="105" w:type="dxa"/>
              <w:bottom w:w="0" w:type="dxa"/>
              <w:right w:w="105" w:type="dxa"/>
            </w:tcMar>
            <w:vAlign w:val="center"/>
          </w:tcPr>
          <w:p w14:paraId="12F2BDB3">
            <w:pPr>
              <w:pStyle w:val="11"/>
              <w:spacing w:line="360" w:lineRule="exact"/>
              <w:jc w:val="center"/>
              <w:rPr>
                <w:rFonts w:hint="default" w:ascii="宋体" w:hAnsi="宋体"/>
                <w:sz w:val="21"/>
                <w:szCs w:val="21"/>
              </w:rPr>
            </w:pPr>
            <w:r>
              <w:rPr>
                <w:rFonts w:ascii="宋体" w:hAnsi="宋体" w:cs="宋体"/>
                <w:sz w:val="21"/>
                <w:szCs w:val="21"/>
                <w:u w:val="single"/>
              </w:rPr>
              <w:t xml:space="preserve">        </w:t>
            </w:r>
            <w:r>
              <w:rPr>
                <w:rFonts w:ascii="宋体" w:hAnsi="宋体" w:cs="宋体"/>
                <w:sz w:val="21"/>
                <w:szCs w:val="21"/>
              </w:rPr>
              <w:t>年</w:t>
            </w:r>
            <w:r>
              <w:rPr>
                <w:rFonts w:ascii="宋体" w:hAnsi="宋体" w:cs="宋体"/>
                <w:sz w:val="21"/>
                <w:szCs w:val="21"/>
                <w:u w:val="single"/>
              </w:rPr>
              <w:t xml:space="preserve">      </w:t>
            </w:r>
            <w:r>
              <w:rPr>
                <w:rFonts w:ascii="宋体" w:hAnsi="宋体" w:cs="宋体"/>
                <w:sz w:val="21"/>
                <w:szCs w:val="21"/>
              </w:rPr>
              <w:t xml:space="preserve">月 至 </w:t>
            </w:r>
            <w:r>
              <w:rPr>
                <w:rFonts w:ascii="宋体" w:hAnsi="宋体" w:cs="宋体"/>
                <w:sz w:val="21"/>
                <w:szCs w:val="21"/>
                <w:u w:val="single"/>
              </w:rPr>
              <w:t xml:space="preserve">        </w:t>
            </w:r>
            <w:r>
              <w:rPr>
                <w:rFonts w:ascii="宋体" w:hAnsi="宋体" w:cs="宋体"/>
                <w:sz w:val="21"/>
                <w:szCs w:val="21"/>
              </w:rPr>
              <w:t>年</w:t>
            </w:r>
            <w:r>
              <w:rPr>
                <w:rFonts w:ascii="宋体" w:hAnsi="宋体" w:cs="宋体"/>
                <w:sz w:val="21"/>
                <w:szCs w:val="21"/>
                <w:u w:val="single"/>
              </w:rPr>
              <w:t xml:space="preserve">      </w:t>
            </w:r>
            <w:r>
              <w:rPr>
                <w:rFonts w:ascii="宋体" w:hAnsi="宋体" w:cs="宋体"/>
                <w:sz w:val="21"/>
                <w:szCs w:val="21"/>
              </w:rPr>
              <w:t>月</w:t>
            </w:r>
          </w:p>
        </w:tc>
      </w:tr>
      <w:tr w14:paraId="068EF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1" w:type="dxa"/>
            <w:tcBorders>
              <w:tl2br w:val="nil"/>
              <w:tr2bl w:val="nil"/>
            </w:tcBorders>
            <w:tcMar>
              <w:top w:w="0" w:type="dxa"/>
              <w:left w:w="105" w:type="dxa"/>
              <w:bottom w:w="0" w:type="dxa"/>
              <w:right w:w="105" w:type="dxa"/>
            </w:tcMar>
            <w:vAlign w:val="center"/>
          </w:tcPr>
          <w:p w14:paraId="5998A875">
            <w:pPr>
              <w:pStyle w:val="11"/>
              <w:jc w:val="center"/>
              <w:rPr>
                <w:rFonts w:hint="default" w:ascii="宋体" w:hAnsi="宋体"/>
                <w:sz w:val="21"/>
                <w:szCs w:val="21"/>
              </w:rPr>
            </w:pPr>
            <w:r>
              <w:rPr>
                <w:rFonts w:ascii="宋体" w:hAnsi="宋体" w:cs="宋体"/>
                <w:sz w:val="21"/>
                <w:szCs w:val="21"/>
              </w:rPr>
              <w:t>序号</w:t>
            </w:r>
          </w:p>
        </w:tc>
        <w:tc>
          <w:tcPr>
            <w:tcW w:w="780" w:type="dxa"/>
            <w:tcBorders>
              <w:tl2br w:val="nil"/>
              <w:tr2bl w:val="nil"/>
            </w:tcBorders>
            <w:tcMar>
              <w:top w:w="0" w:type="dxa"/>
              <w:left w:w="105" w:type="dxa"/>
              <w:bottom w:w="0" w:type="dxa"/>
              <w:right w:w="105" w:type="dxa"/>
            </w:tcMar>
            <w:vAlign w:val="center"/>
          </w:tcPr>
          <w:p w14:paraId="33E574BE">
            <w:pPr>
              <w:pStyle w:val="11"/>
              <w:jc w:val="center"/>
              <w:rPr>
                <w:rFonts w:hint="default" w:ascii="宋体" w:hAnsi="宋体"/>
                <w:sz w:val="21"/>
                <w:szCs w:val="21"/>
              </w:rPr>
            </w:pPr>
            <w:r>
              <w:rPr>
                <w:rFonts w:ascii="宋体" w:hAnsi="宋体" w:cs="宋体"/>
                <w:sz w:val="21"/>
                <w:szCs w:val="21"/>
              </w:rPr>
              <w:t>考核指标</w:t>
            </w:r>
          </w:p>
        </w:tc>
        <w:tc>
          <w:tcPr>
            <w:tcW w:w="6870" w:type="dxa"/>
            <w:tcBorders>
              <w:tl2br w:val="nil"/>
              <w:tr2bl w:val="nil"/>
            </w:tcBorders>
            <w:tcMar>
              <w:top w:w="0" w:type="dxa"/>
              <w:left w:w="105" w:type="dxa"/>
              <w:bottom w:w="0" w:type="dxa"/>
              <w:right w:w="105" w:type="dxa"/>
            </w:tcMar>
            <w:vAlign w:val="center"/>
          </w:tcPr>
          <w:p w14:paraId="7FBD6F20">
            <w:pPr>
              <w:pStyle w:val="11"/>
              <w:jc w:val="center"/>
              <w:rPr>
                <w:rFonts w:hint="default" w:ascii="宋体" w:hAnsi="宋体"/>
                <w:sz w:val="21"/>
                <w:szCs w:val="21"/>
              </w:rPr>
            </w:pPr>
            <w:r>
              <w:rPr>
                <w:rFonts w:ascii="宋体" w:hAnsi="宋体" w:cs="宋体"/>
                <w:sz w:val="21"/>
                <w:szCs w:val="21"/>
              </w:rPr>
              <w:t>指标要求</w:t>
            </w:r>
          </w:p>
        </w:tc>
        <w:tc>
          <w:tcPr>
            <w:tcW w:w="4185" w:type="dxa"/>
            <w:gridSpan w:val="2"/>
            <w:tcBorders>
              <w:tl2br w:val="nil"/>
              <w:tr2bl w:val="nil"/>
            </w:tcBorders>
            <w:tcMar>
              <w:top w:w="0" w:type="dxa"/>
              <w:left w:w="105" w:type="dxa"/>
              <w:bottom w:w="0" w:type="dxa"/>
              <w:right w:w="105" w:type="dxa"/>
            </w:tcMar>
            <w:vAlign w:val="center"/>
          </w:tcPr>
          <w:p w14:paraId="4A4F2ACA">
            <w:pPr>
              <w:pStyle w:val="11"/>
              <w:jc w:val="center"/>
              <w:rPr>
                <w:rFonts w:hint="default" w:ascii="宋体" w:hAnsi="宋体"/>
                <w:sz w:val="21"/>
                <w:szCs w:val="21"/>
              </w:rPr>
            </w:pPr>
            <w:r>
              <w:rPr>
                <w:rFonts w:ascii="宋体" w:hAnsi="宋体" w:cs="宋体"/>
                <w:sz w:val="21"/>
                <w:szCs w:val="21"/>
              </w:rPr>
              <w:t>评分标准</w:t>
            </w:r>
          </w:p>
        </w:tc>
        <w:tc>
          <w:tcPr>
            <w:tcW w:w="960" w:type="dxa"/>
            <w:tcBorders>
              <w:tl2br w:val="nil"/>
              <w:tr2bl w:val="nil"/>
            </w:tcBorders>
            <w:tcMar>
              <w:top w:w="0" w:type="dxa"/>
              <w:left w:w="105" w:type="dxa"/>
              <w:bottom w:w="0" w:type="dxa"/>
              <w:right w:w="105" w:type="dxa"/>
            </w:tcMar>
            <w:vAlign w:val="center"/>
          </w:tcPr>
          <w:p w14:paraId="5543A35B">
            <w:pPr>
              <w:pStyle w:val="11"/>
              <w:jc w:val="center"/>
              <w:rPr>
                <w:rFonts w:hint="default" w:ascii="宋体" w:hAnsi="宋体"/>
                <w:sz w:val="21"/>
                <w:szCs w:val="21"/>
              </w:rPr>
            </w:pPr>
            <w:r>
              <w:rPr>
                <w:rFonts w:ascii="宋体" w:hAnsi="宋体"/>
                <w:sz w:val="21"/>
                <w:szCs w:val="21"/>
              </w:rPr>
              <w:t>服务方</w:t>
            </w:r>
          </w:p>
          <w:p w14:paraId="144D6B08">
            <w:pPr>
              <w:pStyle w:val="11"/>
              <w:jc w:val="center"/>
              <w:rPr>
                <w:rFonts w:hint="default" w:ascii="宋体" w:hAnsi="宋体"/>
                <w:sz w:val="21"/>
                <w:szCs w:val="21"/>
              </w:rPr>
            </w:pPr>
            <w:r>
              <w:rPr>
                <w:rFonts w:ascii="宋体" w:hAnsi="宋体"/>
                <w:sz w:val="21"/>
                <w:szCs w:val="21"/>
              </w:rPr>
              <w:t>自评分</w:t>
            </w:r>
          </w:p>
        </w:tc>
        <w:tc>
          <w:tcPr>
            <w:tcW w:w="720" w:type="dxa"/>
            <w:tcBorders>
              <w:tl2br w:val="nil"/>
              <w:tr2bl w:val="nil"/>
            </w:tcBorders>
            <w:vAlign w:val="center"/>
          </w:tcPr>
          <w:p w14:paraId="140738F7">
            <w:pPr>
              <w:pStyle w:val="11"/>
              <w:jc w:val="center"/>
              <w:rPr>
                <w:rFonts w:hint="default" w:ascii="宋体" w:hAnsi="宋体"/>
                <w:sz w:val="21"/>
                <w:szCs w:val="21"/>
              </w:rPr>
            </w:pPr>
            <w:r>
              <w:rPr>
                <w:rFonts w:ascii="宋体" w:hAnsi="宋体"/>
                <w:sz w:val="21"/>
                <w:szCs w:val="21"/>
              </w:rPr>
              <w:t>中心</w:t>
            </w:r>
            <w:r>
              <w:rPr>
                <w:rFonts w:hint="default" w:ascii="宋体" w:hAnsi="宋体"/>
                <w:sz w:val="21"/>
                <w:szCs w:val="21"/>
              </w:rPr>
              <w:t>评分</w:t>
            </w:r>
          </w:p>
        </w:tc>
        <w:tc>
          <w:tcPr>
            <w:tcW w:w="840" w:type="dxa"/>
            <w:tcBorders>
              <w:tl2br w:val="nil"/>
              <w:tr2bl w:val="nil"/>
            </w:tcBorders>
            <w:vAlign w:val="center"/>
          </w:tcPr>
          <w:p w14:paraId="0F51D524">
            <w:pPr>
              <w:pStyle w:val="11"/>
              <w:jc w:val="center"/>
              <w:rPr>
                <w:rFonts w:hint="eastAsia" w:ascii="宋体" w:hAnsi="宋体" w:eastAsiaTheme="minorEastAsia"/>
                <w:sz w:val="21"/>
                <w:szCs w:val="21"/>
                <w:lang w:eastAsia="zh-CN"/>
              </w:rPr>
            </w:pPr>
            <w:r>
              <w:rPr>
                <w:rFonts w:hint="default" w:ascii="宋体" w:hAnsi="宋体"/>
                <w:sz w:val="21"/>
                <w:szCs w:val="21"/>
              </w:rPr>
              <w:t>扣分</w:t>
            </w:r>
          </w:p>
          <w:p w14:paraId="768CAFE7">
            <w:pPr>
              <w:pStyle w:val="11"/>
              <w:jc w:val="center"/>
              <w:rPr>
                <w:rFonts w:hint="default" w:ascii="宋体" w:hAnsi="宋体"/>
                <w:sz w:val="21"/>
                <w:szCs w:val="21"/>
              </w:rPr>
            </w:pPr>
            <w:r>
              <w:rPr>
                <w:rFonts w:hint="default" w:ascii="宋体" w:hAnsi="宋体"/>
                <w:sz w:val="21"/>
                <w:szCs w:val="21"/>
              </w:rPr>
              <w:t>说明</w:t>
            </w:r>
          </w:p>
        </w:tc>
      </w:tr>
      <w:tr w14:paraId="482EA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0" w:hRule="atLeast"/>
          <w:jc w:val="center"/>
        </w:trPr>
        <w:tc>
          <w:tcPr>
            <w:tcW w:w="751" w:type="dxa"/>
            <w:tcBorders>
              <w:tl2br w:val="nil"/>
              <w:tr2bl w:val="nil"/>
            </w:tcBorders>
            <w:tcMar>
              <w:top w:w="0" w:type="dxa"/>
              <w:left w:w="105" w:type="dxa"/>
              <w:bottom w:w="0" w:type="dxa"/>
              <w:right w:w="105" w:type="dxa"/>
            </w:tcMar>
            <w:vAlign w:val="center"/>
          </w:tcPr>
          <w:p w14:paraId="3102FADE">
            <w:pPr>
              <w:pStyle w:val="11"/>
              <w:spacing w:line="360" w:lineRule="exact"/>
              <w:jc w:val="center"/>
              <w:rPr>
                <w:rFonts w:hint="default" w:ascii="宋体" w:hAnsi="宋体"/>
                <w:sz w:val="21"/>
                <w:szCs w:val="21"/>
              </w:rPr>
            </w:pPr>
            <w:r>
              <w:rPr>
                <w:rFonts w:ascii="宋体" w:hAnsi="宋体" w:cs="宋体"/>
                <w:sz w:val="21"/>
                <w:szCs w:val="21"/>
              </w:rPr>
              <w:t>1</w:t>
            </w:r>
          </w:p>
        </w:tc>
        <w:tc>
          <w:tcPr>
            <w:tcW w:w="780" w:type="dxa"/>
            <w:tcBorders>
              <w:tl2br w:val="nil"/>
              <w:tr2bl w:val="nil"/>
            </w:tcBorders>
            <w:tcMar>
              <w:top w:w="0" w:type="dxa"/>
              <w:left w:w="105" w:type="dxa"/>
              <w:bottom w:w="0" w:type="dxa"/>
              <w:right w:w="105" w:type="dxa"/>
            </w:tcMar>
            <w:vAlign w:val="center"/>
          </w:tcPr>
          <w:p w14:paraId="3DCE0C02">
            <w:pPr>
              <w:pStyle w:val="11"/>
              <w:spacing w:line="360" w:lineRule="exact"/>
              <w:jc w:val="center"/>
              <w:rPr>
                <w:rFonts w:hint="eastAsia" w:ascii="宋体" w:hAnsi="宋体" w:cs="宋体" w:eastAsiaTheme="minorEastAsia"/>
                <w:sz w:val="21"/>
                <w:szCs w:val="21"/>
                <w:lang w:eastAsia="zh-CN"/>
              </w:rPr>
            </w:pPr>
            <w:r>
              <w:rPr>
                <w:rFonts w:ascii="宋体" w:hAnsi="宋体" w:cs="宋体"/>
                <w:sz w:val="21"/>
                <w:szCs w:val="21"/>
              </w:rPr>
              <w:t>服务团队</w:t>
            </w:r>
          </w:p>
          <w:p w14:paraId="1CA87F0F">
            <w:pPr>
              <w:pStyle w:val="11"/>
              <w:spacing w:line="360" w:lineRule="exact"/>
              <w:jc w:val="center"/>
              <w:rPr>
                <w:rFonts w:hint="default" w:ascii="宋体" w:hAnsi="宋体"/>
                <w:sz w:val="21"/>
                <w:szCs w:val="21"/>
              </w:rPr>
            </w:pPr>
            <w:r>
              <w:rPr>
                <w:rFonts w:ascii="宋体" w:hAnsi="宋体" w:cs="宋体"/>
                <w:sz w:val="21"/>
                <w:szCs w:val="21"/>
              </w:rPr>
              <w:t>（15分）</w:t>
            </w:r>
          </w:p>
        </w:tc>
        <w:tc>
          <w:tcPr>
            <w:tcW w:w="6870" w:type="dxa"/>
            <w:tcBorders>
              <w:tl2br w:val="nil"/>
              <w:tr2bl w:val="nil"/>
            </w:tcBorders>
            <w:tcMar>
              <w:top w:w="0" w:type="dxa"/>
              <w:left w:w="105" w:type="dxa"/>
              <w:bottom w:w="0" w:type="dxa"/>
              <w:right w:w="105" w:type="dxa"/>
            </w:tcMar>
            <w:vAlign w:val="center"/>
          </w:tcPr>
          <w:p w14:paraId="32F89375">
            <w:pPr>
              <w:pStyle w:val="11"/>
              <w:spacing w:line="360" w:lineRule="exact"/>
              <w:rPr>
                <w:rFonts w:hint="eastAsia" w:ascii="宋体" w:hAnsi="宋体" w:cs="宋体" w:eastAsiaTheme="minorEastAsia"/>
                <w:sz w:val="21"/>
                <w:szCs w:val="21"/>
                <w:lang w:eastAsia="zh-CN"/>
              </w:rPr>
            </w:pPr>
            <w:r>
              <w:rPr>
                <w:rFonts w:ascii="宋体" w:hAnsi="宋体" w:cs="宋体"/>
                <w:sz w:val="21"/>
                <w:szCs w:val="21"/>
              </w:rPr>
              <w:t>1.根据信息化项目的特点组建服务团队，明确团队人员的岗位和职责分工，其中现场驻点负责人须经中心同意。</w:t>
            </w:r>
          </w:p>
          <w:p w14:paraId="02176502">
            <w:pPr>
              <w:pStyle w:val="11"/>
              <w:spacing w:line="360" w:lineRule="exact"/>
              <w:rPr>
                <w:rFonts w:hint="eastAsia" w:ascii="宋体" w:hAnsi="宋体" w:cs="宋体" w:eastAsiaTheme="minorEastAsia"/>
                <w:sz w:val="21"/>
                <w:szCs w:val="21"/>
                <w:lang w:eastAsia="zh-CN"/>
              </w:rPr>
            </w:pPr>
            <w:r>
              <w:rPr>
                <w:rFonts w:ascii="宋体" w:hAnsi="宋体" w:cs="宋体"/>
                <w:sz w:val="21"/>
                <w:szCs w:val="21"/>
              </w:rPr>
              <w:t>2.应保证服务团队人员稳定，原则上不得更换现场驻点负责人，确因员工离职等原因造成人员变动的，须配置同等能力人员并经中心书面同意，完成工作交接后方可更换。</w:t>
            </w:r>
          </w:p>
          <w:p w14:paraId="648B1521">
            <w:pPr>
              <w:pStyle w:val="11"/>
              <w:spacing w:line="360" w:lineRule="exact"/>
              <w:rPr>
                <w:rFonts w:hint="default" w:ascii="宋体" w:hAnsi="宋体"/>
                <w:sz w:val="21"/>
                <w:szCs w:val="21"/>
              </w:rPr>
            </w:pPr>
            <w:r>
              <w:rPr>
                <w:rFonts w:ascii="宋体" w:hAnsi="宋体" w:cs="宋体"/>
                <w:sz w:val="21"/>
                <w:szCs w:val="21"/>
              </w:rPr>
              <w:t>3.现场驻点人员须严格遵守中心日常工作纪律，与中心工作时间保持一致，不得无故迟到、早退、旷工，现场驻点负责人请假须经中心同意。</w:t>
            </w:r>
          </w:p>
        </w:tc>
        <w:tc>
          <w:tcPr>
            <w:tcW w:w="4185" w:type="dxa"/>
            <w:gridSpan w:val="2"/>
            <w:tcBorders>
              <w:tl2br w:val="nil"/>
              <w:tr2bl w:val="nil"/>
            </w:tcBorders>
            <w:tcMar>
              <w:top w:w="0" w:type="dxa"/>
              <w:left w:w="105" w:type="dxa"/>
              <w:bottom w:w="0" w:type="dxa"/>
              <w:right w:w="105" w:type="dxa"/>
            </w:tcMar>
            <w:vAlign w:val="center"/>
          </w:tcPr>
          <w:p w14:paraId="1F6C934F">
            <w:pPr>
              <w:pStyle w:val="11"/>
              <w:spacing w:line="360" w:lineRule="exact"/>
              <w:rPr>
                <w:rFonts w:hint="eastAsia" w:ascii="宋体" w:hAnsi="宋体" w:cs="宋体" w:eastAsiaTheme="minorEastAsia"/>
                <w:sz w:val="21"/>
                <w:szCs w:val="21"/>
                <w:lang w:eastAsia="zh-CN"/>
              </w:rPr>
            </w:pPr>
            <w:r>
              <w:rPr>
                <w:rFonts w:ascii="宋体" w:hAnsi="宋体" w:cs="宋体"/>
                <w:sz w:val="21"/>
                <w:szCs w:val="21"/>
              </w:rPr>
              <w:t>1.更换现场驻点负责人的，每次扣5分；更换服务团队其他现场驻点人员的，每人次扣1分；未取得中心书面同意或未配备同资质人员的，本项不得分。</w:t>
            </w:r>
          </w:p>
          <w:p w14:paraId="6BC82518">
            <w:pPr>
              <w:pStyle w:val="11"/>
              <w:spacing w:line="360" w:lineRule="exact"/>
              <w:rPr>
                <w:rFonts w:hint="eastAsia" w:ascii="宋体" w:hAnsi="宋体" w:cs="宋体" w:eastAsiaTheme="minorEastAsia"/>
                <w:sz w:val="21"/>
                <w:szCs w:val="21"/>
                <w:lang w:eastAsia="zh-CN"/>
              </w:rPr>
            </w:pPr>
            <w:r>
              <w:rPr>
                <w:rFonts w:ascii="宋体" w:hAnsi="宋体" w:cs="宋体"/>
                <w:sz w:val="21"/>
                <w:szCs w:val="21"/>
              </w:rPr>
              <w:t>2.现场驻点负责人请假未经中心批准的本项不得分；现场其他驻点人员未遵守中心日常工作纪律，旷工的，每人次扣2分；迟到、早退的，每人次扣0.5分。</w:t>
            </w:r>
          </w:p>
          <w:p w14:paraId="59D85EBC">
            <w:pPr>
              <w:pStyle w:val="11"/>
              <w:spacing w:line="360" w:lineRule="exact"/>
              <w:rPr>
                <w:rFonts w:hint="default" w:ascii="宋体" w:hAnsi="宋体"/>
                <w:sz w:val="21"/>
                <w:szCs w:val="21"/>
              </w:rPr>
            </w:pPr>
            <w:r>
              <w:rPr>
                <w:rFonts w:ascii="宋体" w:hAnsi="宋体" w:cs="宋体"/>
                <w:sz w:val="21"/>
                <w:szCs w:val="21"/>
              </w:rPr>
              <w:t>3.运维人员因服务态度不佳被用户投诉的，每次扣2分；因此产生效能投诉的，本项不得分。</w:t>
            </w:r>
          </w:p>
        </w:tc>
        <w:tc>
          <w:tcPr>
            <w:tcW w:w="960" w:type="dxa"/>
            <w:tcBorders>
              <w:tl2br w:val="nil"/>
              <w:tr2bl w:val="nil"/>
            </w:tcBorders>
            <w:tcMar>
              <w:top w:w="0" w:type="dxa"/>
              <w:left w:w="105" w:type="dxa"/>
              <w:bottom w:w="0" w:type="dxa"/>
              <w:right w:w="105" w:type="dxa"/>
            </w:tcMar>
            <w:vAlign w:val="center"/>
          </w:tcPr>
          <w:p w14:paraId="4D34CB59">
            <w:pPr>
              <w:pStyle w:val="11"/>
              <w:spacing w:line="360" w:lineRule="exact"/>
              <w:jc w:val="center"/>
              <w:rPr>
                <w:rFonts w:hint="default" w:ascii="宋体" w:hAnsi="宋体"/>
                <w:sz w:val="21"/>
                <w:szCs w:val="21"/>
              </w:rPr>
            </w:pPr>
          </w:p>
        </w:tc>
        <w:tc>
          <w:tcPr>
            <w:tcW w:w="720" w:type="dxa"/>
            <w:tcBorders>
              <w:tl2br w:val="nil"/>
              <w:tr2bl w:val="nil"/>
            </w:tcBorders>
            <w:vAlign w:val="center"/>
          </w:tcPr>
          <w:p w14:paraId="489A082A">
            <w:pPr>
              <w:pStyle w:val="11"/>
              <w:spacing w:line="360" w:lineRule="exact"/>
              <w:jc w:val="center"/>
              <w:rPr>
                <w:rFonts w:hint="default" w:ascii="宋体" w:hAnsi="宋体" w:cs="宋体"/>
                <w:sz w:val="21"/>
                <w:szCs w:val="21"/>
              </w:rPr>
            </w:pPr>
          </w:p>
        </w:tc>
        <w:tc>
          <w:tcPr>
            <w:tcW w:w="840" w:type="dxa"/>
            <w:tcBorders>
              <w:tl2br w:val="nil"/>
              <w:tr2bl w:val="nil"/>
            </w:tcBorders>
            <w:vAlign w:val="center"/>
          </w:tcPr>
          <w:p w14:paraId="05925D3A">
            <w:pPr>
              <w:pStyle w:val="11"/>
              <w:spacing w:line="360" w:lineRule="exact"/>
              <w:jc w:val="center"/>
              <w:rPr>
                <w:rFonts w:hint="default" w:ascii="宋体" w:hAnsi="宋体" w:cs="宋体"/>
                <w:sz w:val="21"/>
                <w:szCs w:val="21"/>
              </w:rPr>
            </w:pPr>
          </w:p>
        </w:tc>
      </w:tr>
      <w:tr w14:paraId="7B7FC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0" w:hRule="atLeast"/>
          <w:jc w:val="center"/>
        </w:trPr>
        <w:tc>
          <w:tcPr>
            <w:tcW w:w="751" w:type="dxa"/>
            <w:tcBorders>
              <w:tl2br w:val="nil"/>
              <w:tr2bl w:val="nil"/>
            </w:tcBorders>
            <w:tcMar>
              <w:top w:w="0" w:type="dxa"/>
              <w:left w:w="105" w:type="dxa"/>
              <w:bottom w:w="0" w:type="dxa"/>
              <w:right w:w="105" w:type="dxa"/>
            </w:tcMar>
            <w:vAlign w:val="center"/>
          </w:tcPr>
          <w:p w14:paraId="2FA1331F">
            <w:pPr>
              <w:pStyle w:val="11"/>
              <w:spacing w:line="360" w:lineRule="exact"/>
              <w:jc w:val="center"/>
              <w:rPr>
                <w:rFonts w:hint="default" w:ascii="宋体" w:hAnsi="宋体"/>
                <w:sz w:val="21"/>
                <w:szCs w:val="21"/>
              </w:rPr>
            </w:pPr>
            <w:r>
              <w:rPr>
                <w:rFonts w:ascii="宋体" w:hAnsi="宋体" w:cs="宋体"/>
                <w:sz w:val="21"/>
                <w:szCs w:val="21"/>
              </w:rPr>
              <w:t>2</w:t>
            </w:r>
          </w:p>
        </w:tc>
        <w:tc>
          <w:tcPr>
            <w:tcW w:w="780" w:type="dxa"/>
            <w:tcBorders>
              <w:tl2br w:val="nil"/>
              <w:tr2bl w:val="nil"/>
            </w:tcBorders>
            <w:tcMar>
              <w:top w:w="0" w:type="dxa"/>
              <w:left w:w="105" w:type="dxa"/>
              <w:bottom w:w="0" w:type="dxa"/>
              <w:right w:w="105" w:type="dxa"/>
            </w:tcMar>
            <w:vAlign w:val="center"/>
          </w:tcPr>
          <w:p w14:paraId="6936491B">
            <w:pPr>
              <w:pStyle w:val="11"/>
              <w:spacing w:line="360" w:lineRule="exact"/>
              <w:jc w:val="center"/>
              <w:rPr>
                <w:rFonts w:hint="eastAsia" w:ascii="宋体" w:hAnsi="宋体" w:cs="宋体" w:eastAsiaTheme="minorEastAsia"/>
                <w:sz w:val="21"/>
                <w:szCs w:val="21"/>
                <w:lang w:eastAsia="zh-CN"/>
              </w:rPr>
            </w:pPr>
            <w:r>
              <w:rPr>
                <w:rFonts w:ascii="宋体" w:hAnsi="宋体" w:cs="宋体"/>
                <w:sz w:val="21"/>
                <w:szCs w:val="21"/>
              </w:rPr>
              <w:t>技术服务</w:t>
            </w:r>
          </w:p>
          <w:p w14:paraId="03F1E3C2">
            <w:pPr>
              <w:pStyle w:val="11"/>
              <w:spacing w:line="360" w:lineRule="exact"/>
              <w:jc w:val="center"/>
              <w:rPr>
                <w:rFonts w:hint="default" w:ascii="宋体" w:hAnsi="宋体"/>
                <w:sz w:val="21"/>
                <w:szCs w:val="21"/>
              </w:rPr>
            </w:pPr>
            <w:r>
              <w:rPr>
                <w:rFonts w:ascii="宋体" w:hAnsi="宋体" w:cs="宋体"/>
                <w:sz w:val="21"/>
                <w:szCs w:val="21"/>
              </w:rPr>
              <w:t>（30分）</w:t>
            </w:r>
          </w:p>
        </w:tc>
        <w:tc>
          <w:tcPr>
            <w:tcW w:w="6870" w:type="dxa"/>
            <w:tcBorders>
              <w:tl2br w:val="nil"/>
              <w:tr2bl w:val="nil"/>
            </w:tcBorders>
            <w:tcMar>
              <w:top w:w="0" w:type="dxa"/>
              <w:left w:w="105" w:type="dxa"/>
              <w:bottom w:w="0" w:type="dxa"/>
              <w:right w:w="105" w:type="dxa"/>
            </w:tcMar>
            <w:vAlign w:val="center"/>
          </w:tcPr>
          <w:p w14:paraId="0E970939">
            <w:pPr>
              <w:pStyle w:val="11"/>
              <w:spacing w:line="360" w:lineRule="exact"/>
              <w:jc w:val="both"/>
              <w:rPr>
                <w:rFonts w:hint="eastAsia" w:ascii="宋体" w:hAnsi="宋体" w:cs="宋体" w:eastAsiaTheme="minorEastAsia"/>
                <w:sz w:val="21"/>
                <w:szCs w:val="21"/>
                <w:lang w:eastAsia="zh-CN"/>
              </w:rPr>
            </w:pPr>
            <w:r>
              <w:rPr>
                <w:rFonts w:ascii="宋体" w:hAnsi="宋体" w:cs="宋体"/>
                <w:sz w:val="21"/>
                <w:szCs w:val="21"/>
              </w:rPr>
              <w:t>1.根据运维服务项目招投标文件和合同等要求，制定实施方案，并按照实施方案完成全部服务项目。</w:t>
            </w:r>
          </w:p>
          <w:p w14:paraId="6DE5FA2D">
            <w:pPr>
              <w:pStyle w:val="11"/>
              <w:spacing w:line="360" w:lineRule="exact"/>
              <w:jc w:val="both"/>
              <w:rPr>
                <w:rFonts w:hint="eastAsia" w:ascii="宋体" w:hAnsi="宋体" w:cs="宋体" w:eastAsiaTheme="minorEastAsia"/>
                <w:sz w:val="21"/>
                <w:szCs w:val="21"/>
                <w:lang w:eastAsia="zh-CN"/>
              </w:rPr>
            </w:pPr>
            <w:r>
              <w:rPr>
                <w:rFonts w:ascii="宋体" w:hAnsi="宋体" w:cs="宋体"/>
                <w:sz w:val="21"/>
                <w:szCs w:val="21"/>
              </w:rPr>
              <w:t>2.按照约定周期做好信息化项目软、硬件和数据的日常监测巡检，如实记录结果，如发现异常情况，应及时向中心报告并采取相应处置措施。</w:t>
            </w:r>
          </w:p>
          <w:p w14:paraId="558A917B">
            <w:pPr>
              <w:pStyle w:val="11"/>
              <w:spacing w:line="360" w:lineRule="exact"/>
              <w:jc w:val="both"/>
              <w:rPr>
                <w:rFonts w:hint="eastAsia" w:ascii="宋体" w:hAnsi="宋体" w:cs="宋体" w:eastAsiaTheme="minorEastAsia"/>
                <w:sz w:val="21"/>
                <w:szCs w:val="21"/>
                <w:lang w:eastAsia="zh-CN"/>
              </w:rPr>
            </w:pPr>
            <w:r>
              <w:rPr>
                <w:rFonts w:ascii="宋体" w:hAnsi="宋体" w:cs="宋体"/>
                <w:sz w:val="21"/>
                <w:szCs w:val="21"/>
              </w:rPr>
              <w:t>3.</w:t>
            </w:r>
            <w:r>
              <w:t xml:space="preserve"> </w:t>
            </w:r>
            <w:r>
              <w:rPr>
                <w:rFonts w:ascii="宋体" w:hAnsi="宋体" w:cs="宋体"/>
                <w:sz w:val="21"/>
                <w:szCs w:val="21"/>
              </w:rPr>
              <w:t>接收到故障信息后，运维服务单位应根据故障等级的响应时间要求进行故障处理，一般故障的响应时间应小于2小时，重大故障的响应时间应小于30分钟。</w:t>
            </w:r>
          </w:p>
          <w:p w14:paraId="62B2EB51">
            <w:pPr>
              <w:pStyle w:val="11"/>
              <w:spacing w:line="360" w:lineRule="exact"/>
              <w:jc w:val="both"/>
              <w:rPr>
                <w:rFonts w:hint="eastAsia" w:ascii="宋体" w:hAnsi="宋体" w:cs="宋体" w:eastAsiaTheme="minorEastAsia"/>
                <w:sz w:val="21"/>
                <w:szCs w:val="21"/>
                <w:lang w:eastAsia="zh-CN"/>
              </w:rPr>
            </w:pPr>
            <w:r>
              <w:rPr>
                <w:rFonts w:ascii="宋体" w:hAnsi="宋体" w:cs="宋体"/>
                <w:sz w:val="21"/>
                <w:szCs w:val="21"/>
              </w:rPr>
              <w:t>4.按规范开展应用程序、数据库和服务器设备维护，不得在生产环境中擅自关停或重启应用程序、数据库和服务器设备等。对应用程序或数据库更新维护前，应做好相关备份，并在测试环境中进行充分测试后实施，且更新维护完成后在生产环境中再次检验。重大更新维护应将维护方案报中心同意后进行。</w:t>
            </w:r>
          </w:p>
          <w:p w14:paraId="42891DBD">
            <w:pPr>
              <w:pStyle w:val="11"/>
              <w:spacing w:line="360" w:lineRule="exact"/>
              <w:jc w:val="both"/>
              <w:rPr>
                <w:rFonts w:hint="default" w:ascii="宋体" w:hAnsi="宋体"/>
                <w:sz w:val="21"/>
                <w:szCs w:val="21"/>
              </w:rPr>
            </w:pPr>
            <w:r>
              <w:rPr>
                <w:rFonts w:ascii="宋体" w:hAnsi="宋体" w:cs="宋体"/>
                <w:sz w:val="21"/>
                <w:szCs w:val="21"/>
              </w:rPr>
              <w:t>5.根据中心要求开展应急预案的培训和演练，并根据演练情况总结经验教训，提出改进措施。</w:t>
            </w:r>
          </w:p>
        </w:tc>
        <w:tc>
          <w:tcPr>
            <w:tcW w:w="4185" w:type="dxa"/>
            <w:gridSpan w:val="2"/>
            <w:tcBorders>
              <w:tl2br w:val="nil"/>
              <w:tr2bl w:val="nil"/>
            </w:tcBorders>
            <w:tcMar>
              <w:top w:w="0" w:type="dxa"/>
              <w:left w:w="105" w:type="dxa"/>
              <w:bottom w:w="0" w:type="dxa"/>
              <w:right w:w="105" w:type="dxa"/>
            </w:tcMar>
            <w:vAlign w:val="center"/>
          </w:tcPr>
          <w:p w14:paraId="7010AF4C">
            <w:pPr>
              <w:pStyle w:val="11"/>
              <w:spacing w:line="360" w:lineRule="exact"/>
              <w:jc w:val="both"/>
              <w:rPr>
                <w:rFonts w:hint="eastAsia" w:ascii="宋体" w:hAnsi="宋体" w:cs="宋体" w:eastAsiaTheme="minorEastAsia"/>
                <w:sz w:val="21"/>
                <w:szCs w:val="21"/>
                <w:lang w:eastAsia="zh-CN"/>
              </w:rPr>
            </w:pPr>
            <w:r>
              <w:rPr>
                <w:rFonts w:ascii="宋体" w:hAnsi="宋体" w:cs="宋体"/>
                <w:sz w:val="21"/>
                <w:szCs w:val="21"/>
              </w:rPr>
              <w:t>1.未按照约定周期开展日常监测巡检，每缺失1次巡检记录扣2分。</w:t>
            </w:r>
          </w:p>
          <w:p w14:paraId="4A5D1E68">
            <w:pPr>
              <w:pStyle w:val="11"/>
              <w:spacing w:line="360" w:lineRule="exact"/>
              <w:jc w:val="both"/>
              <w:rPr>
                <w:rFonts w:hint="eastAsia" w:ascii="宋体" w:hAnsi="宋体" w:cs="宋体" w:eastAsiaTheme="minorEastAsia"/>
                <w:sz w:val="21"/>
                <w:szCs w:val="21"/>
                <w:lang w:eastAsia="zh-CN"/>
              </w:rPr>
            </w:pPr>
            <w:r>
              <w:rPr>
                <w:rFonts w:ascii="宋体" w:hAnsi="宋体" w:cs="宋体"/>
                <w:sz w:val="21"/>
                <w:szCs w:val="21"/>
              </w:rPr>
              <w:t>2.未按响应时间要求进行故障处理的，每次扣2分。</w:t>
            </w:r>
          </w:p>
          <w:p w14:paraId="304880EF">
            <w:pPr>
              <w:pStyle w:val="11"/>
              <w:spacing w:line="360" w:lineRule="exact"/>
              <w:jc w:val="both"/>
              <w:rPr>
                <w:rFonts w:hint="eastAsia" w:ascii="宋体" w:hAnsi="宋体" w:cs="宋体" w:eastAsiaTheme="minorEastAsia"/>
                <w:sz w:val="21"/>
                <w:szCs w:val="21"/>
                <w:lang w:eastAsia="zh-CN"/>
              </w:rPr>
            </w:pPr>
            <w:r>
              <w:rPr>
                <w:rFonts w:ascii="宋体" w:hAnsi="宋体" w:cs="宋体"/>
                <w:sz w:val="21"/>
                <w:szCs w:val="21"/>
              </w:rPr>
              <w:t>3.未按照规范进行应用程序、数据库和服务器设备更新维护的，每次扣2分。</w:t>
            </w:r>
          </w:p>
          <w:p w14:paraId="31598847">
            <w:pPr>
              <w:pStyle w:val="11"/>
              <w:spacing w:line="360" w:lineRule="exact"/>
              <w:jc w:val="both"/>
              <w:rPr>
                <w:rFonts w:hint="eastAsia" w:ascii="宋体" w:hAnsi="宋体" w:cs="宋体" w:eastAsiaTheme="minorEastAsia"/>
                <w:sz w:val="21"/>
                <w:szCs w:val="21"/>
                <w:lang w:eastAsia="zh-CN"/>
              </w:rPr>
            </w:pPr>
            <w:r>
              <w:rPr>
                <w:rFonts w:ascii="宋体" w:hAnsi="宋体" w:cs="宋体"/>
                <w:sz w:val="21"/>
                <w:szCs w:val="21"/>
              </w:rPr>
              <w:t>4.未经中心批准在生产环境中擅自关停或重启应用程序、数据库和服务器设备的，本项不得分。</w:t>
            </w:r>
          </w:p>
          <w:p w14:paraId="3C089C63">
            <w:pPr>
              <w:pStyle w:val="11"/>
              <w:spacing w:line="360" w:lineRule="exact"/>
              <w:jc w:val="both"/>
              <w:rPr>
                <w:rFonts w:hint="default" w:ascii="宋体" w:hAnsi="宋体"/>
                <w:sz w:val="21"/>
                <w:szCs w:val="21"/>
              </w:rPr>
            </w:pPr>
            <w:r>
              <w:rPr>
                <w:rFonts w:ascii="宋体" w:hAnsi="宋体"/>
                <w:sz w:val="21"/>
                <w:szCs w:val="21"/>
              </w:rPr>
              <w:t>5.</w:t>
            </w:r>
            <w:r>
              <w:rPr>
                <w:rFonts w:ascii="宋体" w:hAnsi="宋体" w:cs="宋体"/>
                <w:sz w:val="21"/>
                <w:szCs w:val="21"/>
              </w:rPr>
              <w:t>未按中心要求开展应急预案培训和演练的，本项不得分。</w:t>
            </w:r>
          </w:p>
        </w:tc>
        <w:tc>
          <w:tcPr>
            <w:tcW w:w="960" w:type="dxa"/>
            <w:tcBorders>
              <w:tl2br w:val="nil"/>
              <w:tr2bl w:val="nil"/>
            </w:tcBorders>
            <w:tcMar>
              <w:top w:w="0" w:type="dxa"/>
              <w:left w:w="105" w:type="dxa"/>
              <w:bottom w:w="0" w:type="dxa"/>
              <w:right w:w="105" w:type="dxa"/>
            </w:tcMar>
            <w:vAlign w:val="center"/>
          </w:tcPr>
          <w:p w14:paraId="281EE986">
            <w:pPr>
              <w:pStyle w:val="11"/>
              <w:spacing w:line="360" w:lineRule="exact"/>
              <w:jc w:val="center"/>
              <w:rPr>
                <w:rFonts w:hint="default" w:ascii="宋体" w:hAnsi="宋体"/>
                <w:sz w:val="21"/>
                <w:szCs w:val="21"/>
              </w:rPr>
            </w:pPr>
          </w:p>
        </w:tc>
        <w:tc>
          <w:tcPr>
            <w:tcW w:w="720" w:type="dxa"/>
            <w:tcBorders>
              <w:tl2br w:val="nil"/>
              <w:tr2bl w:val="nil"/>
            </w:tcBorders>
            <w:vAlign w:val="center"/>
          </w:tcPr>
          <w:p w14:paraId="660E3CCA">
            <w:pPr>
              <w:pStyle w:val="11"/>
              <w:spacing w:line="360" w:lineRule="exact"/>
              <w:jc w:val="center"/>
              <w:rPr>
                <w:rFonts w:hint="default" w:ascii="宋体" w:hAnsi="宋体"/>
                <w:sz w:val="21"/>
                <w:szCs w:val="21"/>
              </w:rPr>
            </w:pPr>
          </w:p>
        </w:tc>
        <w:tc>
          <w:tcPr>
            <w:tcW w:w="840" w:type="dxa"/>
            <w:tcBorders>
              <w:tl2br w:val="nil"/>
              <w:tr2bl w:val="nil"/>
            </w:tcBorders>
            <w:vAlign w:val="center"/>
          </w:tcPr>
          <w:p w14:paraId="4E7545C7">
            <w:pPr>
              <w:pStyle w:val="11"/>
              <w:spacing w:line="360" w:lineRule="exact"/>
              <w:jc w:val="center"/>
              <w:rPr>
                <w:rFonts w:hint="default" w:ascii="宋体" w:hAnsi="宋体"/>
                <w:sz w:val="21"/>
                <w:szCs w:val="21"/>
              </w:rPr>
            </w:pPr>
          </w:p>
        </w:tc>
      </w:tr>
      <w:tr w14:paraId="46FA9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1" w:type="dxa"/>
            <w:tcBorders>
              <w:tl2br w:val="nil"/>
              <w:tr2bl w:val="nil"/>
            </w:tcBorders>
            <w:tcMar>
              <w:top w:w="0" w:type="dxa"/>
              <w:left w:w="105" w:type="dxa"/>
              <w:bottom w:w="0" w:type="dxa"/>
              <w:right w:w="105" w:type="dxa"/>
            </w:tcMar>
            <w:vAlign w:val="center"/>
          </w:tcPr>
          <w:p w14:paraId="270F91EE">
            <w:pPr>
              <w:pStyle w:val="11"/>
              <w:spacing w:line="360" w:lineRule="exact"/>
              <w:jc w:val="center"/>
              <w:rPr>
                <w:rFonts w:hint="default" w:ascii="宋体" w:hAnsi="宋体" w:cs="宋体"/>
                <w:sz w:val="21"/>
                <w:szCs w:val="21"/>
              </w:rPr>
            </w:pPr>
            <w:r>
              <w:rPr>
                <w:rFonts w:ascii="宋体" w:hAnsi="宋体" w:cs="宋体"/>
                <w:sz w:val="21"/>
                <w:szCs w:val="21"/>
              </w:rPr>
              <w:t>3</w:t>
            </w:r>
          </w:p>
        </w:tc>
        <w:tc>
          <w:tcPr>
            <w:tcW w:w="780" w:type="dxa"/>
            <w:tcBorders>
              <w:tl2br w:val="nil"/>
              <w:tr2bl w:val="nil"/>
            </w:tcBorders>
            <w:tcMar>
              <w:top w:w="0" w:type="dxa"/>
              <w:left w:w="105" w:type="dxa"/>
              <w:bottom w:w="0" w:type="dxa"/>
              <w:right w:w="105" w:type="dxa"/>
            </w:tcMar>
            <w:vAlign w:val="center"/>
          </w:tcPr>
          <w:p w14:paraId="43077996">
            <w:pPr>
              <w:pStyle w:val="11"/>
              <w:spacing w:line="360" w:lineRule="exact"/>
              <w:jc w:val="center"/>
              <w:rPr>
                <w:rFonts w:hint="eastAsia" w:ascii="宋体" w:hAnsi="宋体" w:cs="宋体" w:eastAsiaTheme="minorEastAsia"/>
                <w:sz w:val="21"/>
                <w:szCs w:val="21"/>
                <w:lang w:eastAsia="zh-CN"/>
              </w:rPr>
            </w:pPr>
            <w:r>
              <w:rPr>
                <w:rFonts w:ascii="宋体" w:hAnsi="宋体" w:cs="宋体"/>
                <w:sz w:val="21"/>
                <w:szCs w:val="21"/>
              </w:rPr>
              <w:t>汇报文档</w:t>
            </w:r>
          </w:p>
          <w:p w14:paraId="318000B0">
            <w:pPr>
              <w:pStyle w:val="11"/>
              <w:spacing w:line="360" w:lineRule="exact"/>
              <w:jc w:val="center"/>
              <w:rPr>
                <w:rFonts w:hint="default" w:ascii="宋体" w:hAnsi="宋体" w:cs="宋体"/>
                <w:sz w:val="21"/>
                <w:szCs w:val="21"/>
              </w:rPr>
            </w:pPr>
            <w:r>
              <w:rPr>
                <w:rFonts w:hint="default" w:ascii="宋体" w:hAnsi="宋体" w:cs="宋体"/>
                <w:sz w:val="21"/>
                <w:szCs w:val="21"/>
              </w:rPr>
              <w:t>（</w:t>
            </w:r>
            <w:r>
              <w:rPr>
                <w:rFonts w:ascii="宋体" w:hAnsi="宋体" w:cs="宋体"/>
                <w:sz w:val="21"/>
                <w:szCs w:val="21"/>
              </w:rPr>
              <w:t>25分</w:t>
            </w:r>
            <w:r>
              <w:rPr>
                <w:rFonts w:hint="default" w:ascii="宋体" w:hAnsi="宋体" w:cs="宋体"/>
                <w:sz w:val="21"/>
                <w:szCs w:val="21"/>
              </w:rPr>
              <w:t>）</w:t>
            </w:r>
          </w:p>
        </w:tc>
        <w:tc>
          <w:tcPr>
            <w:tcW w:w="6870" w:type="dxa"/>
            <w:tcBorders>
              <w:tl2br w:val="nil"/>
              <w:tr2bl w:val="nil"/>
            </w:tcBorders>
            <w:tcMar>
              <w:top w:w="0" w:type="dxa"/>
              <w:left w:w="105" w:type="dxa"/>
              <w:bottom w:w="0" w:type="dxa"/>
              <w:right w:w="105" w:type="dxa"/>
            </w:tcMar>
            <w:vAlign w:val="center"/>
          </w:tcPr>
          <w:p w14:paraId="1ECD7AD2">
            <w:pPr>
              <w:pStyle w:val="11"/>
              <w:spacing w:line="360" w:lineRule="exact"/>
              <w:rPr>
                <w:rFonts w:hint="eastAsia" w:ascii="宋体" w:hAnsi="宋体" w:cs="宋体" w:eastAsiaTheme="minorEastAsia"/>
                <w:sz w:val="21"/>
                <w:szCs w:val="21"/>
                <w:lang w:eastAsia="zh-CN"/>
              </w:rPr>
            </w:pPr>
            <w:r>
              <w:rPr>
                <w:rFonts w:ascii="宋体" w:hAnsi="宋体" w:cs="宋体"/>
                <w:sz w:val="21"/>
                <w:szCs w:val="21"/>
              </w:rPr>
              <w:t>1.定期向中心报告巡检、故障处置情况等运维工作情况。</w:t>
            </w:r>
          </w:p>
          <w:p w14:paraId="63CC6B7E">
            <w:pPr>
              <w:pStyle w:val="11"/>
              <w:spacing w:line="360" w:lineRule="exact"/>
              <w:rPr>
                <w:rFonts w:hint="eastAsia" w:ascii="宋体" w:hAnsi="宋体" w:cs="宋体" w:eastAsiaTheme="minorEastAsia"/>
                <w:sz w:val="21"/>
                <w:szCs w:val="21"/>
                <w:lang w:eastAsia="zh-CN"/>
              </w:rPr>
            </w:pPr>
            <w:r>
              <w:rPr>
                <w:rFonts w:ascii="宋体" w:hAnsi="宋体" w:cs="宋体"/>
                <w:sz w:val="21"/>
                <w:szCs w:val="21"/>
              </w:rPr>
              <w:t>2.做好各类会议的记录，并于会议结束后2个工作日内完成会议纪要编制，经中心同意后分发。</w:t>
            </w:r>
          </w:p>
          <w:p w14:paraId="28B915C9">
            <w:pPr>
              <w:pStyle w:val="11"/>
              <w:spacing w:line="360" w:lineRule="exact"/>
              <w:rPr>
                <w:rFonts w:hint="eastAsia" w:ascii="宋体" w:hAnsi="宋体" w:cs="宋体" w:eastAsiaTheme="minorEastAsia"/>
                <w:sz w:val="21"/>
                <w:szCs w:val="21"/>
                <w:lang w:eastAsia="zh-CN"/>
              </w:rPr>
            </w:pPr>
            <w:r>
              <w:rPr>
                <w:rFonts w:ascii="宋体" w:hAnsi="宋体" w:cs="宋体"/>
                <w:sz w:val="21"/>
                <w:szCs w:val="21"/>
              </w:rPr>
              <w:t>3.运维服务单位单独接收到的服务需求或与运维相关的信息，应做好书面记录并及时向中心报告，特别涉及数据修改、权限调整、系统功能改变等重要内容的，应立即向中心报告。</w:t>
            </w:r>
          </w:p>
          <w:p w14:paraId="01334856">
            <w:pPr>
              <w:pStyle w:val="11"/>
              <w:spacing w:line="360" w:lineRule="exact"/>
              <w:rPr>
                <w:rFonts w:hint="default" w:ascii="宋体" w:hAnsi="宋体" w:cs="宋体"/>
                <w:sz w:val="21"/>
                <w:szCs w:val="21"/>
              </w:rPr>
            </w:pPr>
            <w:r>
              <w:rPr>
                <w:rFonts w:ascii="宋体" w:hAnsi="宋体" w:cs="宋体"/>
                <w:sz w:val="21"/>
                <w:szCs w:val="21"/>
              </w:rPr>
              <w:t>4.按照文档命名规则、更新、审核发布、存储等的要求开展运维项目文档管理，确保文档的准确性和时效性。</w:t>
            </w:r>
          </w:p>
        </w:tc>
        <w:tc>
          <w:tcPr>
            <w:tcW w:w="4185" w:type="dxa"/>
            <w:gridSpan w:val="2"/>
            <w:tcBorders>
              <w:tl2br w:val="nil"/>
              <w:tr2bl w:val="nil"/>
            </w:tcBorders>
            <w:tcMar>
              <w:top w:w="0" w:type="dxa"/>
              <w:left w:w="105" w:type="dxa"/>
              <w:bottom w:w="0" w:type="dxa"/>
              <w:right w:w="105" w:type="dxa"/>
            </w:tcMar>
            <w:vAlign w:val="center"/>
          </w:tcPr>
          <w:p w14:paraId="208445F9">
            <w:pPr>
              <w:pStyle w:val="11"/>
              <w:spacing w:line="360" w:lineRule="exact"/>
              <w:jc w:val="both"/>
              <w:rPr>
                <w:rFonts w:hint="default" w:ascii="宋体" w:hAnsi="宋体" w:cs="宋体"/>
                <w:sz w:val="21"/>
                <w:szCs w:val="21"/>
              </w:rPr>
            </w:pPr>
            <w:r>
              <w:rPr>
                <w:rFonts w:ascii="宋体" w:hAnsi="宋体" w:cs="宋体"/>
                <w:sz w:val="21"/>
                <w:szCs w:val="21"/>
              </w:rPr>
              <w:t>1.未</w:t>
            </w:r>
            <w:r>
              <w:rPr>
                <w:rFonts w:ascii="宋体" w:hAnsi="宋体"/>
                <w:sz w:val="21"/>
                <w:szCs w:val="21"/>
              </w:rPr>
              <w:t>按要求</w:t>
            </w:r>
            <w:r>
              <w:rPr>
                <w:rFonts w:ascii="宋体" w:hAnsi="宋体" w:cs="宋体"/>
                <w:sz w:val="21"/>
                <w:szCs w:val="21"/>
              </w:rPr>
              <w:t>向中心报告巡检、故障处置情况等运维工作情况的</w:t>
            </w:r>
            <w:r>
              <w:rPr>
                <w:rFonts w:ascii="宋体" w:hAnsi="宋体"/>
                <w:sz w:val="21"/>
                <w:szCs w:val="21"/>
              </w:rPr>
              <w:t>，每次扣1分。</w:t>
            </w:r>
          </w:p>
          <w:p w14:paraId="652D7561">
            <w:pPr>
              <w:pStyle w:val="11"/>
              <w:spacing w:line="360" w:lineRule="exact"/>
              <w:jc w:val="both"/>
              <w:rPr>
                <w:rFonts w:hint="default" w:ascii="宋体" w:hAnsi="宋体"/>
                <w:sz w:val="21"/>
                <w:szCs w:val="21"/>
              </w:rPr>
            </w:pPr>
            <w:r>
              <w:rPr>
                <w:rFonts w:ascii="宋体" w:hAnsi="宋体" w:cs="宋体"/>
                <w:sz w:val="21"/>
                <w:szCs w:val="21"/>
              </w:rPr>
              <w:t>2.</w:t>
            </w:r>
            <w:r>
              <w:rPr>
                <w:rFonts w:ascii="宋体" w:hAnsi="宋体"/>
                <w:sz w:val="21"/>
                <w:szCs w:val="21"/>
              </w:rPr>
              <w:t>未及时向中心报告</w:t>
            </w:r>
            <w:r>
              <w:rPr>
                <w:rFonts w:ascii="宋体" w:hAnsi="宋体" w:cs="宋体"/>
                <w:sz w:val="21"/>
                <w:szCs w:val="21"/>
              </w:rPr>
              <w:t>单独接收到的服务需求或与运维相关信息的</w:t>
            </w:r>
            <w:r>
              <w:rPr>
                <w:rFonts w:ascii="宋体" w:hAnsi="宋体"/>
                <w:sz w:val="21"/>
                <w:szCs w:val="21"/>
              </w:rPr>
              <w:t>，每次扣2分。</w:t>
            </w:r>
          </w:p>
          <w:p w14:paraId="089BE0F1">
            <w:pPr>
              <w:pStyle w:val="11"/>
              <w:spacing w:line="360" w:lineRule="exact"/>
              <w:jc w:val="both"/>
              <w:rPr>
                <w:rFonts w:hint="eastAsia" w:ascii="宋体" w:hAnsi="宋体" w:eastAsiaTheme="minorEastAsia"/>
                <w:sz w:val="21"/>
                <w:szCs w:val="21"/>
                <w:lang w:eastAsia="zh-CN"/>
              </w:rPr>
            </w:pPr>
            <w:r>
              <w:rPr>
                <w:rFonts w:ascii="宋体" w:hAnsi="宋体"/>
                <w:sz w:val="21"/>
                <w:szCs w:val="21"/>
              </w:rPr>
              <w:t>3.未按要求完成会议纪要编制和分发的，每次扣1分。</w:t>
            </w:r>
          </w:p>
          <w:p w14:paraId="1616BE71">
            <w:pPr>
              <w:pStyle w:val="11"/>
              <w:spacing w:line="360" w:lineRule="exact"/>
              <w:jc w:val="both"/>
              <w:rPr>
                <w:rFonts w:hint="default" w:ascii="宋体" w:hAnsi="宋体" w:cs="宋体"/>
                <w:sz w:val="21"/>
                <w:szCs w:val="21"/>
              </w:rPr>
            </w:pPr>
            <w:r>
              <w:rPr>
                <w:rFonts w:ascii="宋体" w:hAnsi="宋体" w:cs="宋体"/>
                <w:sz w:val="21"/>
                <w:szCs w:val="21"/>
              </w:rPr>
              <w:t>4.未按要求交付文档资料的，每缺1份扣1分；存在文档造假的，本项不得分。</w:t>
            </w:r>
          </w:p>
        </w:tc>
        <w:tc>
          <w:tcPr>
            <w:tcW w:w="960" w:type="dxa"/>
            <w:tcBorders>
              <w:tl2br w:val="nil"/>
              <w:tr2bl w:val="nil"/>
            </w:tcBorders>
            <w:tcMar>
              <w:top w:w="0" w:type="dxa"/>
              <w:left w:w="105" w:type="dxa"/>
              <w:bottom w:w="0" w:type="dxa"/>
              <w:right w:w="105" w:type="dxa"/>
            </w:tcMar>
            <w:vAlign w:val="center"/>
          </w:tcPr>
          <w:p w14:paraId="0F5D4B08">
            <w:pPr>
              <w:pStyle w:val="11"/>
              <w:spacing w:line="360" w:lineRule="exact"/>
              <w:jc w:val="center"/>
              <w:rPr>
                <w:rFonts w:hint="default" w:ascii="宋体" w:hAnsi="宋体"/>
                <w:sz w:val="21"/>
                <w:szCs w:val="21"/>
              </w:rPr>
            </w:pPr>
          </w:p>
        </w:tc>
        <w:tc>
          <w:tcPr>
            <w:tcW w:w="720" w:type="dxa"/>
            <w:tcBorders>
              <w:tl2br w:val="nil"/>
              <w:tr2bl w:val="nil"/>
            </w:tcBorders>
            <w:vAlign w:val="center"/>
          </w:tcPr>
          <w:p w14:paraId="466C1199">
            <w:pPr>
              <w:pStyle w:val="11"/>
              <w:spacing w:line="360" w:lineRule="exact"/>
              <w:jc w:val="center"/>
              <w:rPr>
                <w:rFonts w:hint="default" w:ascii="宋体" w:hAnsi="宋体"/>
                <w:sz w:val="21"/>
                <w:szCs w:val="21"/>
              </w:rPr>
            </w:pPr>
          </w:p>
        </w:tc>
        <w:tc>
          <w:tcPr>
            <w:tcW w:w="840" w:type="dxa"/>
            <w:tcBorders>
              <w:tl2br w:val="nil"/>
              <w:tr2bl w:val="nil"/>
            </w:tcBorders>
            <w:vAlign w:val="center"/>
          </w:tcPr>
          <w:p w14:paraId="3D38A8F0">
            <w:pPr>
              <w:pStyle w:val="11"/>
              <w:spacing w:line="360" w:lineRule="exact"/>
              <w:jc w:val="center"/>
              <w:rPr>
                <w:rFonts w:hint="default" w:ascii="宋体" w:hAnsi="宋体"/>
                <w:sz w:val="21"/>
                <w:szCs w:val="21"/>
              </w:rPr>
            </w:pPr>
          </w:p>
        </w:tc>
      </w:tr>
      <w:tr w14:paraId="10629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9" w:hRule="atLeast"/>
          <w:jc w:val="center"/>
        </w:trPr>
        <w:tc>
          <w:tcPr>
            <w:tcW w:w="751" w:type="dxa"/>
            <w:tcBorders>
              <w:tl2br w:val="nil"/>
              <w:tr2bl w:val="nil"/>
            </w:tcBorders>
            <w:tcMar>
              <w:top w:w="0" w:type="dxa"/>
              <w:left w:w="105" w:type="dxa"/>
              <w:bottom w:w="0" w:type="dxa"/>
              <w:right w:w="105" w:type="dxa"/>
            </w:tcMar>
            <w:vAlign w:val="center"/>
          </w:tcPr>
          <w:p w14:paraId="087F9DCD">
            <w:pPr>
              <w:pStyle w:val="11"/>
              <w:spacing w:line="360" w:lineRule="exact"/>
              <w:jc w:val="center"/>
              <w:rPr>
                <w:rFonts w:hint="default" w:ascii="宋体" w:hAnsi="宋体"/>
                <w:sz w:val="21"/>
                <w:szCs w:val="21"/>
              </w:rPr>
            </w:pPr>
            <w:r>
              <w:rPr>
                <w:rFonts w:ascii="宋体" w:hAnsi="宋体" w:cs="宋体"/>
                <w:sz w:val="21"/>
                <w:szCs w:val="21"/>
              </w:rPr>
              <w:t>4</w:t>
            </w:r>
          </w:p>
        </w:tc>
        <w:tc>
          <w:tcPr>
            <w:tcW w:w="780" w:type="dxa"/>
            <w:tcBorders>
              <w:tl2br w:val="nil"/>
              <w:tr2bl w:val="nil"/>
            </w:tcBorders>
            <w:tcMar>
              <w:top w:w="0" w:type="dxa"/>
              <w:left w:w="105" w:type="dxa"/>
              <w:bottom w:w="0" w:type="dxa"/>
              <w:right w:w="105" w:type="dxa"/>
            </w:tcMar>
            <w:vAlign w:val="center"/>
          </w:tcPr>
          <w:p w14:paraId="77CA43AB">
            <w:pPr>
              <w:pStyle w:val="11"/>
              <w:spacing w:line="360" w:lineRule="exact"/>
              <w:jc w:val="center"/>
              <w:rPr>
                <w:rFonts w:hint="eastAsia" w:ascii="宋体" w:hAnsi="宋体" w:cs="宋体" w:eastAsiaTheme="minorEastAsia"/>
                <w:sz w:val="21"/>
                <w:szCs w:val="21"/>
                <w:lang w:eastAsia="zh-CN"/>
              </w:rPr>
            </w:pPr>
            <w:r>
              <w:rPr>
                <w:rFonts w:ascii="宋体" w:hAnsi="宋体" w:cs="宋体"/>
                <w:sz w:val="21"/>
                <w:szCs w:val="21"/>
              </w:rPr>
              <w:t>网络安全</w:t>
            </w:r>
          </w:p>
          <w:p w14:paraId="3C47F220">
            <w:pPr>
              <w:pStyle w:val="11"/>
              <w:spacing w:line="360" w:lineRule="exact"/>
              <w:jc w:val="center"/>
              <w:rPr>
                <w:rFonts w:hint="default" w:ascii="宋体" w:hAnsi="宋体"/>
                <w:sz w:val="21"/>
                <w:szCs w:val="21"/>
              </w:rPr>
            </w:pPr>
            <w:r>
              <w:rPr>
                <w:rFonts w:ascii="宋体" w:hAnsi="宋体" w:cs="宋体"/>
                <w:sz w:val="21"/>
                <w:szCs w:val="21"/>
              </w:rPr>
              <w:t>（30分）</w:t>
            </w:r>
          </w:p>
        </w:tc>
        <w:tc>
          <w:tcPr>
            <w:tcW w:w="6870" w:type="dxa"/>
            <w:tcBorders>
              <w:tl2br w:val="nil"/>
              <w:tr2bl w:val="nil"/>
            </w:tcBorders>
            <w:tcMar>
              <w:top w:w="0" w:type="dxa"/>
              <w:left w:w="105" w:type="dxa"/>
              <w:bottom w:w="0" w:type="dxa"/>
              <w:right w:w="105" w:type="dxa"/>
            </w:tcMar>
            <w:vAlign w:val="center"/>
          </w:tcPr>
          <w:p w14:paraId="675D67CE">
            <w:pPr>
              <w:pStyle w:val="11"/>
              <w:spacing w:line="360" w:lineRule="exact"/>
              <w:rPr>
                <w:rFonts w:hint="eastAsia" w:ascii="宋体" w:hAnsi="宋体" w:cs="宋体" w:eastAsiaTheme="minorEastAsia"/>
                <w:sz w:val="21"/>
                <w:szCs w:val="21"/>
                <w:lang w:eastAsia="zh-CN"/>
              </w:rPr>
            </w:pPr>
            <w:r>
              <w:rPr>
                <w:rFonts w:ascii="宋体" w:hAnsi="宋体" w:cs="宋体"/>
                <w:sz w:val="21"/>
                <w:szCs w:val="21"/>
              </w:rPr>
              <w:t>1.定期进行漏洞扫描等网络安全相关检测、测试和安全审计，发现异常网络活动和安全事件应及时向中心报告并采取相应处置措施。</w:t>
            </w:r>
          </w:p>
          <w:p w14:paraId="0AF8CB67">
            <w:pPr>
              <w:pStyle w:val="11"/>
              <w:spacing w:line="360" w:lineRule="exact"/>
              <w:rPr>
                <w:rFonts w:hint="eastAsia" w:ascii="宋体" w:hAnsi="宋体" w:cs="宋体" w:eastAsiaTheme="minorEastAsia"/>
                <w:sz w:val="21"/>
                <w:szCs w:val="21"/>
                <w:lang w:eastAsia="zh-CN"/>
              </w:rPr>
            </w:pPr>
            <w:r>
              <w:rPr>
                <w:rFonts w:ascii="宋体" w:hAnsi="宋体" w:cs="宋体"/>
                <w:sz w:val="21"/>
                <w:szCs w:val="21"/>
              </w:rPr>
              <w:t>2.做好数据备份、重要数据加密以及信息系统、数据的访问权限控制和管理。</w:t>
            </w:r>
          </w:p>
          <w:p w14:paraId="4284BA82">
            <w:pPr>
              <w:pStyle w:val="11"/>
              <w:spacing w:line="360" w:lineRule="exact"/>
              <w:rPr>
                <w:rFonts w:hint="eastAsia" w:ascii="宋体" w:hAnsi="宋体" w:cs="宋体" w:eastAsiaTheme="minorEastAsia"/>
                <w:sz w:val="21"/>
                <w:szCs w:val="21"/>
                <w:lang w:eastAsia="zh-CN"/>
              </w:rPr>
            </w:pPr>
            <w:r>
              <w:rPr>
                <w:rFonts w:ascii="宋体" w:hAnsi="宋体" w:cs="宋体"/>
                <w:sz w:val="21"/>
                <w:szCs w:val="21"/>
              </w:rPr>
              <w:t>3.根据网络安全主管部门的通报、等级保护测评结果、第三方网络安全服务机构巡检等信息，及时排查和处置网络与数据安全漏洞，并将结果书面盖章后报中心。</w:t>
            </w:r>
          </w:p>
          <w:p w14:paraId="29006D2F">
            <w:pPr>
              <w:pStyle w:val="11"/>
              <w:spacing w:line="360" w:lineRule="exact"/>
              <w:rPr>
                <w:rFonts w:hint="default" w:ascii="宋体" w:hAnsi="宋体" w:cs="宋体"/>
                <w:sz w:val="21"/>
                <w:szCs w:val="21"/>
              </w:rPr>
            </w:pPr>
            <w:r>
              <w:rPr>
                <w:rFonts w:ascii="宋体" w:hAnsi="宋体" w:cs="宋体"/>
                <w:sz w:val="21"/>
                <w:szCs w:val="21"/>
              </w:rPr>
              <w:t>4.做好账号、密码、数字证书等管理，及时撤销已离职或职责变更的服务人员权限，并回收相关账号、数字证书等。</w:t>
            </w:r>
          </w:p>
        </w:tc>
        <w:tc>
          <w:tcPr>
            <w:tcW w:w="4185" w:type="dxa"/>
            <w:gridSpan w:val="2"/>
            <w:tcBorders>
              <w:tl2br w:val="nil"/>
              <w:tr2bl w:val="nil"/>
            </w:tcBorders>
            <w:tcMar>
              <w:top w:w="0" w:type="dxa"/>
              <w:left w:w="105" w:type="dxa"/>
              <w:bottom w:w="0" w:type="dxa"/>
              <w:right w:w="105" w:type="dxa"/>
            </w:tcMar>
            <w:vAlign w:val="center"/>
          </w:tcPr>
          <w:p w14:paraId="252F6D01">
            <w:pPr>
              <w:pStyle w:val="11"/>
              <w:spacing w:line="360" w:lineRule="exact"/>
              <w:rPr>
                <w:rFonts w:hint="eastAsia" w:ascii="宋体" w:hAnsi="宋体" w:cs="宋体" w:eastAsiaTheme="minorEastAsia"/>
                <w:sz w:val="21"/>
                <w:szCs w:val="21"/>
                <w:lang w:eastAsia="zh-CN"/>
              </w:rPr>
            </w:pPr>
            <w:r>
              <w:rPr>
                <w:rFonts w:ascii="宋体" w:hAnsi="宋体" w:cs="宋体"/>
                <w:sz w:val="21"/>
                <w:szCs w:val="21"/>
              </w:rPr>
              <w:t>1.未定期开展漏洞扫描等网络安全相关检测、测试和安全审计的，每次扣2分。</w:t>
            </w:r>
          </w:p>
          <w:p w14:paraId="583BFEEA">
            <w:pPr>
              <w:pStyle w:val="11"/>
              <w:spacing w:line="360" w:lineRule="exact"/>
              <w:rPr>
                <w:rFonts w:hint="eastAsia" w:ascii="宋体" w:hAnsi="宋体" w:cs="宋体" w:eastAsiaTheme="minorEastAsia"/>
                <w:sz w:val="21"/>
                <w:szCs w:val="21"/>
                <w:lang w:eastAsia="zh-CN"/>
              </w:rPr>
            </w:pPr>
            <w:r>
              <w:rPr>
                <w:rFonts w:ascii="宋体" w:hAnsi="宋体" w:cs="宋体"/>
                <w:sz w:val="21"/>
                <w:szCs w:val="21"/>
              </w:rPr>
              <w:t>2.发现的网络与数据安全问题未及时向中心报告并采取相应处置措施的，每项扣2分。</w:t>
            </w:r>
          </w:p>
          <w:p w14:paraId="404EE2C5">
            <w:pPr>
              <w:pStyle w:val="11"/>
              <w:spacing w:line="360" w:lineRule="exact"/>
              <w:rPr>
                <w:rFonts w:hint="eastAsia" w:ascii="宋体" w:hAnsi="宋体" w:cs="宋体" w:eastAsiaTheme="minorEastAsia"/>
                <w:sz w:val="21"/>
                <w:szCs w:val="21"/>
                <w:lang w:eastAsia="zh-CN"/>
              </w:rPr>
            </w:pPr>
            <w:r>
              <w:rPr>
                <w:rFonts w:ascii="宋体" w:hAnsi="宋体" w:cs="宋体"/>
                <w:sz w:val="21"/>
                <w:szCs w:val="21"/>
              </w:rPr>
              <w:t>3.未按要求开展数据备份、重要数据加密的，每次扣2分。</w:t>
            </w:r>
          </w:p>
          <w:p w14:paraId="3777AF1A">
            <w:pPr>
              <w:pStyle w:val="11"/>
              <w:spacing w:line="360" w:lineRule="exact"/>
              <w:rPr>
                <w:rFonts w:hint="eastAsia" w:ascii="宋体" w:hAnsi="宋体" w:cs="宋体" w:eastAsiaTheme="minorEastAsia"/>
                <w:sz w:val="21"/>
                <w:szCs w:val="21"/>
                <w:lang w:eastAsia="zh-CN"/>
              </w:rPr>
            </w:pPr>
            <w:r>
              <w:rPr>
                <w:rFonts w:ascii="宋体" w:hAnsi="宋体" w:cs="宋体"/>
                <w:sz w:val="21"/>
                <w:szCs w:val="21"/>
              </w:rPr>
              <w:t>4.未及时撤销已离职或职责变更的服务人员权限，并回收相关账号、数字证书的，每次扣2分。</w:t>
            </w:r>
          </w:p>
          <w:p w14:paraId="0359B8CC">
            <w:pPr>
              <w:pStyle w:val="11"/>
              <w:spacing w:line="360" w:lineRule="exact"/>
              <w:rPr>
                <w:rFonts w:hint="default" w:ascii="宋体" w:hAnsi="宋体"/>
                <w:sz w:val="21"/>
                <w:szCs w:val="21"/>
              </w:rPr>
            </w:pPr>
            <w:r>
              <w:rPr>
                <w:rFonts w:ascii="宋体" w:hAnsi="宋体" w:cs="宋体"/>
                <w:sz w:val="21"/>
                <w:szCs w:val="21"/>
              </w:rPr>
              <w:t>5.未完成网络安全主管部门通报安全问题整改的，本项不得分。</w:t>
            </w:r>
          </w:p>
        </w:tc>
        <w:tc>
          <w:tcPr>
            <w:tcW w:w="960" w:type="dxa"/>
            <w:tcBorders>
              <w:tl2br w:val="nil"/>
              <w:tr2bl w:val="nil"/>
            </w:tcBorders>
            <w:tcMar>
              <w:top w:w="0" w:type="dxa"/>
              <w:left w:w="105" w:type="dxa"/>
              <w:bottom w:w="0" w:type="dxa"/>
              <w:right w:w="105" w:type="dxa"/>
            </w:tcMar>
            <w:vAlign w:val="center"/>
          </w:tcPr>
          <w:p w14:paraId="719D74CA">
            <w:pPr>
              <w:pStyle w:val="11"/>
              <w:spacing w:line="360" w:lineRule="exact"/>
              <w:jc w:val="center"/>
              <w:rPr>
                <w:rFonts w:hint="default" w:ascii="宋体" w:hAnsi="宋体"/>
                <w:sz w:val="21"/>
                <w:szCs w:val="21"/>
              </w:rPr>
            </w:pPr>
          </w:p>
        </w:tc>
        <w:tc>
          <w:tcPr>
            <w:tcW w:w="720" w:type="dxa"/>
            <w:tcBorders>
              <w:tl2br w:val="nil"/>
              <w:tr2bl w:val="nil"/>
            </w:tcBorders>
            <w:vAlign w:val="center"/>
          </w:tcPr>
          <w:p w14:paraId="291EDA92">
            <w:pPr>
              <w:pStyle w:val="11"/>
              <w:spacing w:line="360" w:lineRule="exact"/>
              <w:jc w:val="center"/>
              <w:rPr>
                <w:rFonts w:hint="default" w:ascii="宋体" w:hAnsi="宋体"/>
                <w:sz w:val="21"/>
                <w:szCs w:val="21"/>
              </w:rPr>
            </w:pPr>
          </w:p>
        </w:tc>
        <w:tc>
          <w:tcPr>
            <w:tcW w:w="840" w:type="dxa"/>
            <w:tcBorders>
              <w:tl2br w:val="nil"/>
              <w:tr2bl w:val="nil"/>
            </w:tcBorders>
            <w:vAlign w:val="center"/>
          </w:tcPr>
          <w:p w14:paraId="1C479522">
            <w:pPr>
              <w:pStyle w:val="11"/>
              <w:spacing w:line="360" w:lineRule="exact"/>
              <w:jc w:val="center"/>
              <w:rPr>
                <w:rFonts w:hint="default" w:ascii="宋体" w:hAnsi="宋体"/>
                <w:sz w:val="21"/>
                <w:szCs w:val="21"/>
              </w:rPr>
            </w:pPr>
          </w:p>
        </w:tc>
      </w:tr>
      <w:tr w14:paraId="0BDAB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3" w:hRule="atLeast"/>
          <w:jc w:val="center"/>
        </w:trPr>
        <w:tc>
          <w:tcPr>
            <w:tcW w:w="751" w:type="dxa"/>
            <w:tcBorders>
              <w:tl2br w:val="nil"/>
              <w:tr2bl w:val="nil"/>
            </w:tcBorders>
            <w:tcMar>
              <w:top w:w="0" w:type="dxa"/>
              <w:left w:w="105" w:type="dxa"/>
              <w:bottom w:w="0" w:type="dxa"/>
              <w:right w:w="105" w:type="dxa"/>
            </w:tcMar>
            <w:vAlign w:val="center"/>
          </w:tcPr>
          <w:p w14:paraId="527768F7">
            <w:pPr>
              <w:pStyle w:val="11"/>
              <w:spacing w:line="360" w:lineRule="exact"/>
              <w:jc w:val="center"/>
              <w:rPr>
                <w:rFonts w:hint="default" w:ascii="宋体" w:hAnsi="宋体"/>
                <w:sz w:val="21"/>
                <w:szCs w:val="21"/>
              </w:rPr>
            </w:pPr>
            <w:r>
              <w:rPr>
                <w:rFonts w:ascii="宋体" w:hAnsi="宋体" w:cs="宋体"/>
                <w:sz w:val="21"/>
                <w:szCs w:val="21"/>
              </w:rPr>
              <w:t>5</w:t>
            </w:r>
          </w:p>
        </w:tc>
        <w:tc>
          <w:tcPr>
            <w:tcW w:w="780" w:type="dxa"/>
            <w:tcBorders>
              <w:tl2br w:val="nil"/>
              <w:tr2bl w:val="nil"/>
            </w:tcBorders>
            <w:tcMar>
              <w:top w:w="0" w:type="dxa"/>
              <w:left w:w="105" w:type="dxa"/>
              <w:bottom w:w="0" w:type="dxa"/>
              <w:right w:w="105" w:type="dxa"/>
            </w:tcMar>
            <w:vAlign w:val="center"/>
          </w:tcPr>
          <w:p w14:paraId="07BB1936">
            <w:pPr>
              <w:pStyle w:val="11"/>
              <w:spacing w:line="360" w:lineRule="exact"/>
              <w:jc w:val="center"/>
              <w:rPr>
                <w:rFonts w:hint="default" w:ascii="宋体" w:hAnsi="宋体"/>
                <w:sz w:val="21"/>
                <w:szCs w:val="21"/>
              </w:rPr>
            </w:pPr>
            <w:r>
              <w:rPr>
                <w:rFonts w:ascii="宋体" w:hAnsi="宋体" w:cs="宋体"/>
                <w:sz w:val="21"/>
                <w:szCs w:val="21"/>
              </w:rPr>
              <w:t>一票否决项</w:t>
            </w:r>
          </w:p>
        </w:tc>
        <w:tc>
          <w:tcPr>
            <w:tcW w:w="11055" w:type="dxa"/>
            <w:gridSpan w:val="3"/>
            <w:tcBorders>
              <w:tl2br w:val="nil"/>
              <w:tr2bl w:val="nil"/>
            </w:tcBorders>
            <w:tcMar>
              <w:top w:w="0" w:type="dxa"/>
              <w:left w:w="105" w:type="dxa"/>
              <w:bottom w:w="0" w:type="dxa"/>
              <w:right w:w="105" w:type="dxa"/>
            </w:tcMar>
            <w:vAlign w:val="center"/>
          </w:tcPr>
          <w:p w14:paraId="5272C0E3">
            <w:pPr>
              <w:pStyle w:val="11"/>
              <w:spacing w:line="360" w:lineRule="exact"/>
              <w:rPr>
                <w:rFonts w:hint="eastAsia" w:ascii="宋体" w:hAnsi="宋体" w:cs="宋体" w:eastAsiaTheme="minorEastAsia"/>
                <w:sz w:val="21"/>
                <w:szCs w:val="21"/>
                <w:lang w:eastAsia="zh-CN"/>
              </w:rPr>
            </w:pPr>
            <w:r>
              <w:rPr>
                <w:rFonts w:ascii="宋体" w:hAnsi="宋体" w:cs="宋体"/>
                <w:sz w:val="21"/>
                <w:szCs w:val="21"/>
              </w:rPr>
              <w:t>因运维服务单位原因造成以下情形的，当期考核不得分：</w:t>
            </w:r>
          </w:p>
          <w:p w14:paraId="7AE7EF49">
            <w:pPr>
              <w:pStyle w:val="11"/>
              <w:spacing w:line="360" w:lineRule="exact"/>
              <w:rPr>
                <w:rFonts w:hint="eastAsia" w:ascii="宋体" w:hAnsi="宋体" w:eastAsiaTheme="minorEastAsia"/>
                <w:sz w:val="21"/>
                <w:szCs w:val="21"/>
                <w:lang w:eastAsia="zh-CN"/>
              </w:rPr>
            </w:pPr>
            <w:r>
              <w:rPr>
                <w:rFonts w:ascii="宋体" w:hAnsi="宋体"/>
                <w:sz w:val="21"/>
                <w:szCs w:val="21"/>
              </w:rPr>
              <w:t>1.违反国家网络安全、数据安全和保密安全等有关法律、法规、规章、制度。</w:t>
            </w:r>
          </w:p>
          <w:p w14:paraId="074D8D5C">
            <w:pPr>
              <w:pStyle w:val="11"/>
              <w:spacing w:line="360" w:lineRule="exact"/>
              <w:rPr>
                <w:rFonts w:hint="eastAsia" w:ascii="宋体" w:hAnsi="宋体" w:eastAsiaTheme="minorEastAsia"/>
                <w:sz w:val="21"/>
                <w:szCs w:val="21"/>
                <w:lang w:eastAsia="zh-CN"/>
              </w:rPr>
            </w:pPr>
            <w:r>
              <w:rPr>
                <w:rFonts w:ascii="宋体" w:hAnsi="宋体"/>
                <w:sz w:val="21"/>
                <w:szCs w:val="21"/>
              </w:rPr>
              <w:t>2.发生网络与数据安全、保密安全事故被上级部门通报。</w:t>
            </w:r>
          </w:p>
          <w:p w14:paraId="6F50D866">
            <w:pPr>
              <w:pStyle w:val="11"/>
              <w:spacing w:line="360" w:lineRule="exact"/>
              <w:rPr>
                <w:rFonts w:hint="eastAsia" w:ascii="宋体" w:hAnsi="宋体" w:eastAsiaTheme="minorEastAsia"/>
                <w:sz w:val="21"/>
                <w:szCs w:val="21"/>
                <w:lang w:eastAsia="zh-CN"/>
              </w:rPr>
            </w:pPr>
            <w:r>
              <w:rPr>
                <w:rFonts w:ascii="宋体" w:hAnsi="宋体"/>
                <w:sz w:val="21"/>
                <w:szCs w:val="21"/>
              </w:rPr>
              <w:t>3.未经规定程序审批，擅自篡改数据和用户权限。</w:t>
            </w:r>
          </w:p>
          <w:p w14:paraId="319EE79D">
            <w:pPr>
              <w:pStyle w:val="11"/>
              <w:spacing w:line="360" w:lineRule="exact"/>
              <w:rPr>
                <w:rFonts w:hint="default" w:ascii="宋体" w:hAnsi="宋体"/>
                <w:sz w:val="21"/>
                <w:szCs w:val="21"/>
              </w:rPr>
            </w:pPr>
            <w:r>
              <w:rPr>
                <w:rFonts w:ascii="宋体" w:hAnsi="宋体"/>
                <w:sz w:val="21"/>
                <w:szCs w:val="21"/>
              </w:rPr>
              <w:t>4.因运维措施不当造成数据错乱、丢失且无法恢复。</w:t>
            </w:r>
          </w:p>
        </w:tc>
        <w:tc>
          <w:tcPr>
            <w:tcW w:w="960" w:type="dxa"/>
            <w:tcBorders>
              <w:tl2br w:val="nil"/>
              <w:tr2bl w:val="nil"/>
            </w:tcBorders>
            <w:tcMar>
              <w:top w:w="0" w:type="dxa"/>
              <w:left w:w="105" w:type="dxa"/>
              <w:bottom w:w="0" w:type="dxa"/>
              <w:right w:w="105" w:type="dxa"/>
            </w:tcMar>
            <w:vAlign w:val="center"/>
          </w:tcPr>
          <w:p w14:paraId="262377DB">
            <w:pPr>
              <w:pStyle w:val="11"/>
              <w:spacing w:line="360" w:lineRule="exact"/>
              <w:jc w:val="center"/>
              <w:rPr>
                <w:rFonts w:hint="default" w:ascii="宋体" w:hAnsi="宋体"/>
                <w:sz w:val="21"/>
                <w:szCs w:val="21"/>
              </w:rPr>
            </w:pPr>
          </w:p>
        </w:tc>
        <w:tc>
          <w:tcPr>
            <w:tcW w:w="720" w:type="dxa"/>
            <w:tcBorders>
              <w:tl2br w:val="nil"/>
              <w:tr2bl w:val="nil"/>
            </w:tcBorders>
            <w:vAlign w:val="center"/>
          </w:tcPr>
          <w:p w14:paraId="68E6C47F">
            <w:pPr>
              <w:pStyle w:val="11"/>
              <w:spacing w:line="360" w:lineRule="exact"/>
              <w:jc w:val="center"/>
              <w:rPr>
                <w:rFonts w:hint="default" w:ascii="宋体" w:hAnsi="宋体"/>
                <w:sz w:val="21"/>
                <w:szCs w:val="21"/>
              </w:rPr>
            </w:pPr>
          </w:p>
        </w:tc>
        <w:tc>
          <w:tcPr>
            <w:tcW w:w="840" w:type="dxa"/>
            <w:tcBorders>
              <w:tl2br w:val="nil"/>
              <w:tr2bl w:val="nil"/>
            </w:tcBorders>
            <w:vAlign w:val="center"/>
          </w:tcPr>
          <w:p w14:paraId="00ABCEED">
            <w:pPr>
              <w:pStyle w:val="11"/>
              <w:spacing w:line="360" w:lineRule="exact"/>
              <w:jc w:val="center"/>
              <w:rPr>
                <w:rFonts w:hint="default" w:ascii="宋体" w:hAnsi="宋体"/>
                <w:sz w:val="21"/>
                <w:szCs w:val="21"/>
              </w:rPr>
            </w:pPr>
          </w:p>
        </w:tc>
      </w:tr>
      <w:tr w14:paraId="3E97D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12586" w:type="dxa"/>
            <w:gridSpan w:val="5"/>
            <w:tcBorders>
              <w:tl2br w:val="nil"/>
              <w:tr2bl w:val="nil"/>
            </w:tcBorders>
            <w:tcMar>
              <w:top w:w="0" w:type="dxa"/>
              <w:left w:w="105" w:type="dxa"/>
              <w:bottom w:w="0" w:type="dxa"/>
              <w:right w:w="105" w:type="dxa"/>
            </w:tcMar>
            <w:vAlign w:val="center"/>
          </w:tcPr>
          <w:p w14:paraId="1549A165">
            <w:pPr>
              <w:pStyle w:val="11"/>
              <w:spacing w:line="360" w:lineRule="exact"/>
              <w:jc w:val="center"/>
              <w:rPr>
                <w:rFonts w:hint="default" w:ascii="宋体" w:hAnsi="宋体"/>
                <w:sz w:val="21"/>
                <w:szCs w:val="21"/>
              </w:rPr>
            </w:pPr>
            <w:r>
              <w:rPr>
                <w:rFonts w:ascii="宋体" w:hAnsi="宋体" w:cs="宋体"/>
                <w:sz w:val="21"/>
                <w:szCs w:val="21"/>
              </w:rPr>
              <w:t>合  计</w:t>
            </w:r>
          </w:p>
        </w:tc>
        <w:tc>
          <w:tcPr>
            <w:tcW w:w="960" w:type="dxa"/>
            <w:tcBorders>
              <w:tl2br w:val="nil"/>
              <w:tr2bl w:val="nil"/>
            </w:tcBorders>
            <w:tcMar>
              <w:top w:w="0" w:type="dxa"/>
              <w:left w:w="105" w:type="dxa"/>
              <w:bottom w:w="0" w:type="dxa"/>
              <w:right w:w="105" w:type="dxa"/>
            </w:tcMar>
            <w:vAlign w:val="center"/>
          </w:tcPr>
          <w:p w14:paraId="237035BF">
            <w:pPr>
              <w:pStyle w:val="11"/>
              <w:spacing w:line="360" w:lineRule="exact"/>
              <w:jc w:val="center"/>
              <w:rPr>
                <w:rFonts w:hint="default" w:ascii="宋体" w:hAnsi="宋体"/>
                <w:sz w:val="21"/>
                <w:szCs w:val="21"/>
              </w:rPr>
            </w:pPr>
          </w:p>
        </w:tc>
        <w:tc>
          <w:tcPr>
            <w:tcW w:w="720" w:type="dxa"/>
            <w:tcBorders>
              <w:tl2br w:val="nil"/>
              <w:tr2bl w:val="nil"/>
            </w:tcBorders>
            <w:vAlign w:val="center"/>
          </w:tcPr>
          <w:p w14:paraId="2F467EC5">
            <w:pPr>
              <w:pStyle w:val="11"/>
              <w:spacing w:line="360" w:lineRule="exact"/>
              <w:jc w:val="center"/>
              <w:rPr>
                <w:rFonts w:hint="default" w:ascii="宋体" w:hAnsi="宋体"/>
                <w:sz w:val="21"/>
                <w:szCs w:val="21"/>
              </w:rPr>
            </w:pPr>
          </w:p>
        </w:tc>
        <w:tc>
          <w:tcPr>
            <w:tcW w:w="840" w:type="dxa"/>
            <w:tcBorders>
              <w:tl2br w:val="nil"/>
              <w:tr2bl w:val="nil"/>
            </w:tcBorders>
            <w:vAlign w:val="center"/>
          </w:tcPr>
          <w:p w14:paraId="0B41E466">
            <w:pPr>
              <w:pStyle w:val="11"/>
              <w:spacing w:line="360" w:lineRule="exact"/>
              <w:jc w:val="center"/>
              <w:rPr>
                <w:rFonts w:hint="default" w:ascii="宋体" w:hAnsi="宋体"/>
                <w:sz w:val="21"/>
                <w:szCs w:val="21"/>
              </w:rPr>
            </w:pPr>
          </w:p>
        </w:tc>
      </w:tr>
      <w:tr w14:paraId="14816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751" w:type="dxa"/>
            <w:tcBorders>
              <w:tl2br w:val="nil"/>
              <w:tr2bl w:val="nil"/>
            </w:tcBorders>
            <w:tcMar>
              <w:top w:w="0" w:type="dxa"/>
              <w:left w:w="105" w:type="dxa"/>
              <w:bottom w:w="0" w:type="dxa"/>
              <w:right w:w="105" w:type="dxa"/>
            </w:tcMar>
            <w:vAlign w:val="center"/>
          </w:tcPr>
          <w:p w14:paraId="42565695">
            <w:pPr>
              <w:pStyle w:val="11"/>
              <w:spacing w:line="360" w:lineRule="exact"/>
              <w:jc w:val="center"/>
              <w:rPr>
                <w:rFonts w:hint="default" w:ascii="宋体" w:hAnsi="宋体"/>
                <w:sz w:val="21"/>
                <w:szCs w:val="21"/>
              </w:rPr>
            </w:pPr>
            <w:r>
              <w:rPr>
                <w:rFonts w:ascii="宋体" w:hAnsi="宋体" w:cs="宋体"/>
                <w:sz w:val="21"/>
                <w:szCs w:val="21"/>
              </w:rPr>
              <w:t>运维服务单位意见</w:t>
            </w:r>
          </w:p>
        </w:tc>
        <w:tc>
          <w:tcPr>
            <w:tcW w:w="7650" w:type="dxa"/>
            <w:gridSpan w:val="2"/>
            <w:tcBorders>
              <w:tl2br w:val="nil"/>
              <w:tr2bl w:val="nil"/>
            </w:tcBorders>
            <w:tcMar>
              <w:top w:w="0" w:type="dxa"/>
              <w:left w:w="105" w:type="dxa"/>
              <w:bottom w:w="0" w:type="dxa"/>
              <w:right w:w="105" w:type="dxa"/>
            </w:tcMar>
            <w:vAlign w:val="center"/>
          </w:tcPr>
          <w:p w14:paraId="72229672">
            <w:pPr>
              <w:pStyle w:val="11"/>
              <w:spacing w:line="360" w:lineRule="exact"/>
              <w:jc w:val="center"/>
              <w:rPr>
                <w:rFonts w:hint="eastAsia" w:ascii="宋体" w:hAnsi="宋体" w:eastAsiaTheme="minorEastAsia"/>
                <w:sz w:val="21"/>
                <w:szCs w:val="21"/>
                <w:lang w:eastAsia="zh-CN"/>
              </w:rPr>
            </w:pPr>
          </w:p>
          <w:p w14:paraId="4E45EEAD">
            <w:pPr>
              <w:pStyle w:val="11"/>
              <w:spacing w:line="360" w:lineRule="exact"/>
              <w:jc w:val="center"/>
              <w:rPr>
                <w:rFonts w:hint="eastAsia" w:ascii="宋体" w:hAnsi="宋体" w:eastAsiaTheme="minorEastAsia"/>
                <w:sz w:val="21"/>
                <w:szCs w:val="21"/>
                <w:lang w:eastAsia="zh-CN"/>
              </w:rPr>
            </w:pPr>
          </w:p>
          <w:p w14:paraId="25CFF116">
            <w:pPr>
              <w:pStyle w:val="11"/>
              <w:spacing w:line="360" w:lineRule="exact"/>
              <w:jc w:val="center"/>
              <w:rPr>
                <w:rFonts w:hint="eastAsia" w:ascii="宋体" w:hAnsi="宋体" w:eastAsiaTheme="minorEastAsia"/>
                <w:sz w:val="21"/>
                <w:szCs w:val="21"/>
                <w:lang w:eastAsia="zh-CN"/>
              </w:rPr>
            </w:pPr>
          </w:p>
          <w:p w14:paraId="2193E541">
            <w:pPr>
              <w:pStyle w:val="11"/>
              <w:spacing w:line="360" w:lineRule="exact"/>
              <w:jc w:val="center"/>
              <w:rPr>
                <w:rFonts w:hint="eastAsia" w:ascii="宋体" w:hAnsi="宋体" w:eastAsiaTheme="minorEastAsia"/>
                <w:sz w:val="21"/>
                <w:szCs w:val="21"/>
                <w:lang w:eastAsia="zh-CN"/>
              </w:rPr>
            </w:pPr>
          </w:p>
          <w:p w14:paraId="4D24A32B">
            <w:pPr>
              <w:pStyle w:val="11"/>
              <w:spacing w:line="360" w:lineRule="exact"/>
              <w:jc w:val="center"/>
              <w:rPr>
                <w:rFonts w:hint="default" w:ascii="宋体" w:hAnsi="宋体" w:cs="宋体"/>
                <w:sz w:val="21"/>
                <w:szCs w:val="21"/>
              </w:rPr>
            </w:pPr>
            <w:r>
              <w:rPr>
                <w:rFonts w:ascii="宋体" w:hAnsi="宋体" w:cs="宋体"/>
                <w:sz w:val="21"/>
                <w:szCs w:val="21"/>
              </w:rPr>
              <w:t xml:space="preserve">       日期：</w:t>
            </w:r>
          </w:p>
          <w:p w14:paraId="677BE85B">
            <w:pPr>
              <w:pStyle w:val="11"/>
              <w:spacing w:line="360" w:lineRule="exact"/>
              <w:jc w:val="center"/>
              <w:rPr>
                <w:rFonts w:hint="default" w:ascii="宋体" w:hAnsi="宋体" w:cs="宋体"/>
                <w:sz w:val="21"/>
                <w:szCs w:val="21"/>
              </w:rPr>
            </w:pPr>
          </w:p>
        </w:tc>
        <w:tc>
          <w:tcPr>
            <w:tcW w:w="935" w:type="dxa"/>
            <w:tcBorders>
              <w:tl2br w:val="nil"/>
              <w:tr2bl w:val="nil"/>
            </w:tcBorders>
            <w:tcMar>
              <w:top w:w="0" w:type="dxa"/>
              <w:left w:w="105" w:type="dxa"/>
              <w:bottom w:w="0" w:type="dxa"/>
              <w:right w:w="105" w:type="dxa"/>
            </w:tcMar>
            <w:vAlign w:val="center"/>
          </w:tcPr>
          <w:p w14:paraId="3E7940FF">
            <w:pPr>
              <w:pStyle w:val="11"/>
              <w:spacing w:line="360" w:lineRule="exact"/>
              <w:jc w:val="center"/>
              <w:rPr>
                <w:rFonts w:hint="default" w:ascii="宋体" w:hAnsi="宋体" w:cs="宋体"/>
                <w:sz w:val="21"/>
                <w:szCs w:val="21"/>
              </w:rPr>
            </w:pPr>
            <w:r>
              <w:rPr>
                <w:rFonts w:ascii="宋体" w:hAnsi="宋体" w:cs="宋体"/>
                <w:sz w:val="21"/>
                <w:szCs w:val="21"/>
              </w:rPr>
              <w:t>行政</w:t>
            </w:r>
          </w:p>
          <w:p w14:paraId="0E0A53DB">
            <w:pPr>
              <w:pStyle w:val="11"/>
              <w:spacing w:line="360" w:lineRule="exact"/>
              <w:jc w:val="center"/>
              <w:rPr>
                <w:rFonts w:hint="default" w:ascii="宋体" w:hAnsi="宋体" w:cs="宋体"/>
                <w:sz w:val="21"/>
                <w:szCs w:val="21"/>
              </w:rPr>
            </w:pPr>
            <w:r>
              <w:rPr>
                <w:rFonts w:ascii="宋体" w:hAnsi="宋体" w:cs="宋体"/>
                <w:sz w:val="21"/>
                <w:szCs w:val="21"/>
              </w:rPr>
              <w:t>服务</w:t>
            </w:r>
          </w:p>
          <w:p w14:paraId="4AE86799">
            <w:pPr>
              <w:pStyle w:val="11"/>
              <w:spacing w:line="360" w:lineRule="exact"/>
              <w:jc w:val="center"/>
              <w:rPr>
                <w:rFonts w:hint="default" w:ascii="宋体" w:hAnsi="宋体" w:cs="宋体"/>
                <w:sz w:val="21"/>
                <w:szCs w:val="21"/>
              </w:rPr>
            </w:pPr>
            <w:r>
              <w:rPr>
                <w:rFonts w:ascii="宋体" w:hAnsi="宋体" w:cs="宋体"/>
                <w:sz w:val="21"/>
                <w:szCs w:val="21"/>
              </w:rPr>
              <w:t>中心</w:t>
            </w:r>
          </w:p>
          <w:p w14:paraId="396F3CA5">
            <w:pPr>
              <w:pStyle w:val="11"/>
              <w:spacing w:line="360" w:lineRule="exact"/>
              <w:jc w:val="center"/>
              <w:rPr>
                <w:rFonts w:hint="default" w:ascii="宋体" w:hAnsi="宋体"/>
                <w:sz w:val="21"/>
                <w:szCs w:val="21"/>
              </w:rPr>
            </w:pPr>
            <w:r>
              <w:rPr>
                <w:rFonts w:ascii="宋体" w:hAnsi="宋体" w:cs="宋体"/>
                <w:sz w:val="21"/>
                <w:szCs w:val="21"/>
              </w:rPr>
              <w:t>意见</w:t>
            </w:r>
          </w:p>
        </w:tc>
        <w:tc>
          <w:tcPr>
            <w:tcW w:w="5770" w:type="dxa"/>
            <w:gridSpan w:val="4"/>
            <w:tcBorders>
              <w:tl2br w:val="nil"/>
              <w:tr2bl w:val="nil"/>
            </w:tcBorders>
            <w:tcMar>
              <w:top w:w="0" w:type="dxa"/>
              <w:left w:w="105" w:type="dxa"/>
              <w:bottom w:w="0" w:type="dxa"/>
              <w:right w:w="105" w:type="dxa"/>
            </w:tcMar>
            <w:vAlign w:val="center"/>
          </w:tcPr>
          <w:p w14:paraId="54216343">
            <w:pPr>
              <w:pStyle w:val="11"/>
              <w:spacing w:line="360" w:lineRule="exact"/>
              <w:jc w:val="center"/>
              <w:rPr>
                <w:rFonts w:hint="eastAsia" w:ascii="宋体" w:hAnsi="宋体" w:eastAsiaTheme="minorEastAsia"/>
                <w:sz w:val="21"/>
                <w:szCs w:val="21"/>
                <w:lang w:eastAsia="zh-CN"/>
              </w:rPr>
            </w:pPr>
          </w:p>
          <w:p w14:paraId="69CE7962">
            <w:pPr>
              <w:pStyle w:val="11"/>
              <w:spacing w:line="360" w:lineRule="exact"/>
              <w:jc w:val="center"/>
              <w:rPr>
                <w:rFonts w:hint="eastAsia" w:ascii="宋体" w:hAnsi="宋体" w:eastAsiaTheme="minorEastAsia"/>
                <w:sz w:val="21"/>
                <w:szCs w:val="21"/>
                <w:lang w:eastAsia="zh-CN"/>
              </w:rPr>
            </w:pPr>
          </w:p>
          <w:p w14:paraId="372A1BF9">
            <w:pPr>
              <w:pStyle w:val="11"/>
              <w:spacing w:line="360" w:lineRule="exact"/>
              <w:jc w:val="center"/>
              <w:rPr>
                <w:rFonts w:hint="eastAsia" w:ascii="宋体" w:hAnsi="宋体" w:eastAsiaTheme="minorEastAsia"/>
                <w:sz w:val="21"/>
                <w:szCs w:val="21"/>
                <w:lang w:eastAsia="zh-CN"/>
              </w:rPr>
            </w:pPr>
          </w:p>
          <w:p w14:paraId="504FF156">
            <w:pPr>
              <w:pStyle w:val="11"/>
              <w:spacing w:line="360" w:lineRule="exact"/>
              <w:jc w:val="center"/>
              <w:rPr>
                <w:rFonts w:hint="eastAsia" w:ascii="宋体" w:hAnsi="宋体" w:eastAsiaTheme="minorEastAsia"/>
                <w:sz w:val="21"/>
                <w:szCs w:val="21"/>
                <w:lang w:eastAsia="zh-CN"/>
              </w:rPr>
            </w:pPr>
          </w:p>
          <w:p w14:paraId="3BC371DE">
            <w:pPr>
              <w:pStyle w:val="11"/>
              <w:spacing w:line="360" w:lineRule="exact"/>
              <w:jc w:val="center"/>
              <w:rPr>
                <w:rFonts w:hint="default" w:ascii="宋体" w:hAnsi="宋体"/>
                <w:sz w:val="21"/>
                <w:szCs w:val="21"/>
              </w:rPr>
            </w:pPr>
            <w:r>
              <w:rPr>
                <w:rFonts w:ascii="宋体" w:hAnsi="宋体" w:cs="宋体"/>
                <w:sz w:val="21"/>
                <w:szCs w:val="21"/>
              </w:rPr>
              <w:t xml:space="preserve">        日期：</w:t>
            </w:r>
          </w:p>
        </w:tc>
      </w:tr>
    </w:tbl>
    <w:p w14:paraId="77F2AFA7">
      <w:pPr>
        <w:spacing w:line="360" w:lineRule="auto"/>
        <w:rPr>
          <w:rFonts w:ascii="宋体" w:hAnsi="宋体" w:cs="宋体"/>
          <w:sz w:val="24"/>
          <w:highlight w:val="yellow"/>
          <w:u w:val="single"/>
        </w:rPr>
      </w:pPr>
    </w:p>
    <w:p w14:paraId="27E3A634">
      <w:pPr>
        <w:spacing w:line="276" w:lineRule="auto"/>
        <w:ind w:firstLine="480" w:firstLineChars="200"/>
        <w:jc w:val="left"/>
        <w:rPr>
          <w:rFonts w:ascii="宋体" w:hAnsi="宋体"/>
          <w:sz w:val="24"/>
        </w:rPr>
        <w:sectPr>
          <w:pgSz w:w="16838" w:h="11906" w:orient="landscape"/>
          <w:pgMar w:top="1349" w:right="1440" w:bottom="1349" w:left="1440" w:header="851" w:footer="992" w:gutter="0"/>
          <w:cols w:space="720" w:num="1"/>
          <w:docGrid w:type="lines" w:linePitch="312" w:charSpace="0"/>
        </w:sectPr>
      </w:pPr>
    </w:p>
    <w:p w14:paraId="1764C785">
      <w:pPr>
        <w:spacing w:line="276" w:lineRule="auto"/>
        <w:ind w:firstLine="640" w:firstLineChars="200"/>
        <w:jc w:val="left"/>
        <w:rPr>
          <w:rFonts w:ascii="仿宋_GB2312" w:hAnsi="宋体" w:eastAsia="仿宋_GB2312"/>
          <w:sz w:val="32"/>
          <w:szCs w:val="32"/>
        </w:rPr>
      </w:pPr>
      <w:r>
        <w:rPr>
          <w:rFonts w:hint="eastAsia" w:ascii="仿宋_GB2312" w:hAnsi="宋体" w:eastAsia="仿宋_GB2312"/>
          <w:sz w:val="32"/>
          <w:szCs w:val="32"/>
        </w:rPr>
        <w:t>（2）商务要求</w:t>
      </w:r>
    </w:p>
    <w:p w14:paraId="62E092CA">
      <w:pPr>
        <w:widowControl/>
        <w:spacing w:line="276" w:lineRule="auto"/>
        <w:ind w:left="420" w:leftChars="200"/>
        <w:jc w:val="left"/>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1、交付地点：福建省福州市鼓楼区华林路147号</w:t>
      </w:r>
    </w:p>
    <w:p w14:paraId="68CA1D89">
      <w:pPr>
        <w:widowControl/>
        <w:spacing w:line="276" w:lineRule="auto"/>
        <w:ind w:left="420" w:leftChars="200"/>
        <w:jc w:val="left"/>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2、交付时间：自合同签订之日起365日</w:t>
      </w:r>
    </w:p>
    <w:p w14:paraId="758713B3">
      <w:pPr>
        <w:widowControl/>
        <w:spacing w:line="276" w:lineRule="auto"/>
        <w:ind w:left="420" w:leftChars="200"/>
        <w:jc w:val="left"/>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3、交付条件：按招标文件和合同要求提供合格服务，验收合格交付采购人。</w:t>
      </w:r>
    </w:p>
    <w:p w14:paraId="5747F343">
      <w:pPr>
        <w:widowControl/>
        <w:spacing w:line="276" w:lineRule="auto"/>
        <w:ind w:left="420" w:leftChars="200"/>
        <w:jc w:val="left"/>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4、是否收取履约保证金：否</w:t>
      </w:r>
    </w:p>
    <w:p w14:paraId="0EBDE128">
      <w:pPr>
        <w:widowControl/>
        <w:spacing w:line="276" w:lineRule="auto"/>
        <w:ind w:left="420" w:leftChars="200"/>
        <w:jc w:val="left"/>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5、是否邀请投标人参与验收：否</w:t>
      </w:r>
    </w:p>
    <w:p w14:paraId="3CACDFB3">
      <w:pPr>
        <w:widowControl/>
        <w:spacing w:line="276" w:lineRule="auto"/>
        <w:ind w:left="420" w:left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6、验收方式数据表格</w:t>
      </w:r>
    </w:p>
    <w:tbl>
      <w:tblPr>
        <w:tblStyle w:val="7"/>
        <w:tblW w:w="5000" w:type="pct"/>
        <w:tblInd w:w="-8"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0" w:type="dxa"/>
          <w:left w:w="0" w:type="dxa"/>
          <w:bottom w:w="0" w:type="dxa"/>
          <w:right w:w="0" w:type="dxa"/>
        </w:tblCellMar>
      </w:tblPr>
      <w:tblGrid>
        <w:gridCol w:w="1664"/>
        <w:gridCol w:w="6658"/>
      </w:tblGrid>
      <w:tr w14:paraId="31810CF6">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blHeader/>
        </w:trPr>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12660E7F">
            <w:pPr>
              <w:widowControl/>
              <w:spacing w:line="276" w:lineRule="auto"/>
              <w:jc w:val="center"/>
              <w:rPr>
                <w:rFonts w:ascii="宋体" w:hAnsi="宋体" w:cs="宋体"/>
                <w:kern w:val="0"/>
                <w:sz w:val="24"/>
              </w:rPr>
            </w:pPr>
            <w:r>
              <w:rPr>
                <w:rFonts w:ascii="宋体" w:hAnsi="宋体" w:cs="宋体"/>
                <w:kern w:val="0"/>
                <w:sz w:val="24"/>
              </w:rPr>
              <w:t>验收期次</w:t>
            </w:r>
          </w:p>
        </w:tc>
        <w:tc>
          <w:tcPr>
            <w:tcW w:w="40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9698787">
            <w:pPr>
              <w:widowControl/>
              <w:spacing w:line="276" w:lineRule="auto"/>
              <w:jc w:val="center"/>
              <w:rPr>
                <w:rFonts w:ascii="宋体" w:hAnsi="宋体" w:cs="宋体"/>
                <w:kern w:val="0"/>
                <w:sz w:val="24"/>
              </w:rPr>
            </w:pPr>
            <w:r>
              <w:rPr>
                <w:rFonts w:ascii="宋体" w:hAnsi="宋体" w:cs="宋体"/>
                <w:kern w:val="0"/>
                <w:sz w:val="24"/>
              </w:rPr>
              <w:t>验收期次说明</w:t>
            </w:r>
          </w:p>
        </w:tc>
      </w:tr>
      <w:tr w14:paraId="7C564800">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1A83DC33">
            <w:pPr>
              <w:widowControl/>
              <w:spacing w:line="276" w:lineRule="auto"/>
              <w:jc w:val="center"/>
              <w:rPr>
                <w:rFonts w:ascii="宋体" w:hAnsi="宋体" w:cs="宋体"/>
                <w:kern w:val="0"/>
                <w:sz w:val="24"/>
              </w:rPr>
            </w:pPr>
            <w:r>
              <w:rPr>
                <w:rFonts w:ascii="宋体" w:hAnsi="宋体" w:cs="宋体"/>
                <w:kern w:val="0"/>
                <w:sz w:val="24"/>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22D7FDCD">
            <w:pPr>
              <w:widowControl/>
              <w:spacing w:line="276" w:lineRule="auto"/>
              <w:jc w:val="center"/>
              <w:rPr>
                <w:rFonts w:ascii="宋体" w:hAnsi="宋体" w:cs="宋体"/>
                <w:kern w:val="0"/>
                <w:sz w:val="24"/>
              </w:rPr>
            </w:pPr>
            <w:r>
              <w:rPr>
                <w:rFonts w:hint="eastAsia" w:ascii="宋体" w:hAnsi="宋体"/>
                <w:sz w:val="24"/>
              </w:rPr>
              <w:t>按国家标准、招标文件要求及合同进行验收。</w:t>
            </w:r>
          </w:p>
        </w:tc>
      </w:tr>
    </w:tbl>
    <w:p w14:paraId="497B1FF4">
      <w:pPr>
        <w:widowControl/>
        <w:spacing w:line="276" w:lineRule="auto"/>
        <w:ind w:firstLine="640" w:firstLineChars="200"/>
        <w:jc w:val="left"/>
        <w:rPr>
          <w:rFonts w:ascii="仿宋_GB2312" w:hAnsi="宋体" w:eastAsia="仿宋_GB2312" w:cs="宋体"/>
          <w:kern w:val="0"/>
          <w:sz w:val="32"/>
          <w:szCs w:val="32"/>
        </w:rPr>
      </w:pPr>
      <w:r>
        <w:rPr>
          <w:rFonts w:ascii="仿宋_GB2312" w:hAnsi="宋体" w:eastAsia="仿宋_GB2312" w:cs="宋体"/>
          <w:kern w:val="0"/>
          <w:sz w:val="32"/>
          <w:szCs w:val="32"/>
        </w:rPr>
        <w:t>7、支付方式数据表格</w:t>
      </w:r>
    </w:p>
    <w:tbl>
      <w:tblPr>
        <w:tblStyle w:val="7"/>
        <w:tblW w:w="5008" w:type="pct"/>
        <w:tblInd w:w="-8"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0" w:type="dxa"/>
          <w:left w:w="0" w:type="dxa"/>
          <w:bottom w:w="0" w:type="dxa"/>
          <w:right w:w="0" w:type="dxa"/>
        </w:tblCellMar>
      </w:tblPr>
      <w:tblGrid>
        <w:gridCol w:w="1665"/>
        <w:gridCol w:w="1666"/>
        <w:gridCol w:w="5004"/>
      </w:tblGrid>
      <w:tr w14:paraId="51C29B80">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blHeader/>
        </w:trPr>
        <w:tc>
          <w:tcPr>
            <w:tcW w:w="999"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3164D52">
            <w:pPr>
              <w:widowControl/>
              <w:spacing w:line="276" w:lineRule="auto"/>
              <w:jc w:val="center"/>
              <w:rPr>
                <w:rFonts w:ascii="宋体" w:hAnsi="宋体" w:cs="宋体"/>
                <w:kern w:val="0"/>
                <w:sz w:val="24"/>
              </w:rPr>
            </w:pPr>
            <w:r>
              <w:rPr>
                <w:rFonts w:ascii="宋体" w:hAnsi="宋体" w:cs="宋体"/>
                <w:kern w:val="0"/>
                <w:sz w:val="24"/>
              </w:rPr>
              <w:t>支付期次</w:t>
            </w:r>
          </w:p>
        </w:tc>
        <w:tc>
          <w:tcPr>
            <w:tcW w:w="999"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5D56FBBC">
            <w:pPr>
              <w:widowControl/>
              <w:spacing w:line="276" w:lineRule="auto"/>
              <w:jc w:val="center"/>
              <w:rPr>
                <w:rFonts w:ascii="宋体" w:hAnsi="宋体" w:cs="宋体"/>
                <w:kern w:val="0"/>
                <w:sz w:val="24"/>
              </w:rPr>
            </w:pPr>
            <w:r>
              <w:rPr>
                <w:rFonts w:ascii="宋体" w:hAnsi="宋体" w:cs="宋体"/>
                <w:kern w:val="0"/>
                <w:sz w:val="24"/>
              </w:rPr>
              <w:t>支付比例</w:t>
            </w:r>
            <w:r>
              <w:rPr>
                <w:rFonts w:hint="eastAsia" w:ascii="宋体" w:hAnsi="宋体" w:cs="宋体"/>
                <w:kern w:val="0"/>
                <w:sz w:val="24"/>
                <w:lang w:eastAsia="zh-CN"/>
              </w:rPr>
              <w:t>（</w:t>
            </w:r>
            <w:r>
              <w:rPr>
                <w:rFonts w:ascii="宋体" w:hAnsi="宋体" w:cs="宋体"/>
                <w:kern w:val="0"/>
                <w:sz w:val="24"/>
              </w:rPr>
              <w:t>%</w:t>
            </w:r>
            <w:r>
              <w:rPr>
                <w:rFonts w:hint="eastAsia" w:ascii="宋体" w:hAnsi="宋体" w:cs="宋体"/>
                <w:kern w:val="0"/>
                <w:sz w:val="24"/>
                <w:lang w:eastAsia="zh-CN"/>
              </w:rPr>
              <w:t>）</w:t>
            </w:r>
          </w:p>
        </w:tc>
        <w:tc>
          <w:tcPr>
            <w:tcW w:w="3001"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0D61E86C">
            <w:pPr>
              <w:widowControl/>
              <w:spacing w:line="276" w:lineRule="auto"/>
              <w:jc w:val="center"/>
              <w:rPr>
                <w:rFonts w:ascii="宋体" w:hAnsi="宋体" w:cs="宋体"/>
                <w:kern w:val="0"/>
                <w:sz w:val="24"/>
              </w:rPr>
            </w:pPr>
            <w:r>
              <w:rPr>
                <w:rFonts w:ascii="宋体" w:hAnsi="宋体" w:cs="宋体"/>
                <w:kern w:val="0"/>
                <w:sz w:val="24"/>
              </w:rPr>
              <w:t>支付期次说明</w:t>
            </w:r>
          </w:p>
        </w:tc>
      </w:tr>
      <w:tr w14:paraId="4BEDE346">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30772F90">
            <w:pPr>
              <w:widowControl/>
              <w:spacing w:line="276" w:lineRule="auto"/>
              <w:jc w:val="center"/>
              <w:rPr>
                <w:rFonts w:ascii="宋体" w:hAnsi="宋体" w:cs="宋体"/>
                <w:kern w:val="0"/>
                <w:sz w:val="24"/>
              </w:rPr>
            </w:pPr>
            <w:r>
              <w:rPr>
                <w:rFonts w:ascii="宋体" w:hAnsi="宋体" w:cs="宋体"/>
                <w:kern w:val="0"/>
                <w:sz w:val="24"/>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754894D8">
            <w:pPr>
              <w:spacing w:line="276" w:lineRule="auto"/>
              <w:jc w:val="center"/>
              <w:rPr>
                <w:rFonts w:ascii="宋体" w:hAnsi="宋体"/>
                <w:sz w:val="24"/>
              </w:rPr>
            </w:pPr>
            <w:r>
              <w:rPr>
                <w:rFonts w:ascii="宋体" w:hAnsi="宋体"/>
                <w:sz w:val="24"/>
              </w:rPr>
              <w:t>50</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1326AC1A">
            <w:pPr>
              <w:spacing w:line="276" w:lineRule="auto"/>
              <w:jc w:val="left"/>
              <w:rPr>
                <w:rFonts w:ascii="宋体" w:hAnsi="宋体"/>
                <w:sz w:val="24"/>
              </w:rPr>
            </w:pPr>
            <w:r>
              <w:rPr>
                <w:rFonts w:hint="eastAsia" w:ascii="宋体" w:hAnsi="宋体"/>
                <w:sz w:val="24"/>
              </w:rPr>
              <w:t>合同签订后</w:t>
            </w:r>
            <w:r>
              <w:rPr>
                <w:rFonts w:hint="eastAsia" w:ascii="宋体" w:hAnsi="宋体"/>
                <w:sz w:val="24"/>
                <w:lang w:eastAsia="zh-CN"/>
              </w:rPr>
              <w:t>，</w:t>
            </w:r>
            <w:r>
              <w:rPr>
                <w:rFonts w:hint="eastAsia" w:ascii="宋体" w:hAnsi="宋体"/>
                <w:sz w:val="24"/>
              </w:rPr>
              <w:t>达到付款条件起30日，支付合同总金额的50%。</w:t>
            </w:r>
          </w:p>
        </w:tc>
      </w:tr>
      <w:tr w14:paraId="624D182A">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278672D1">
            <w:pPr>
              <w:widowControl/>
              <w:spacing w:line="276" w:lineRule="auto"/>
              <w:jc w:val="center"/>
              <w:rPr>
                <w:rFonts w:ascii="宋体" w:hAnsi="宋体" w:cs="宋体"/>
                <w:kern w:val="0"/>
                <w:sz w:val="24"/>
              </w:rPr>
            </w:pPr>
            <w:r>
              <w:rPr>
                <w:rFonts w:ascii="宋体" w:hAnsi="宋体" w:cs="宋体"/>
                <w:kern w:val="0"/>
                <w:sz w:val="24"/>
              </w:rPr>
              <w:t>2</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631FE02F">
            <w:pPr>
              <w:spacing w:line="276" w:lineRule="auto"/>
              <w:jc w:val="center"/>
              <w:rPr>
                <w:rFonts w:ascii="宋体" w:hAnsi="宋体"/>
                <w:sz w:val="24"/>
              </w:rPr>
            </w:pPr>
            <w:r>
              <w:rPr>
                <w:rFonts w:ascii="宋体" w:hAnsi="宋体"/>
                <w:sz w:val="24"/>
              </w:rPr>
              <w:t>根据实际情况</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2D88E788">
            <w:pPr>
              <w:spacing w:line="276" w:lineRule="auto"/>
              <w:jc w:val="left"/>
              <w:rPr>
                <w:rFonts w:ascii="宋体" w:hAnsi="宋体"/>
                <w:sz w:val="24"/>
              </w:rPr>
            </w:pPr>
            <w:r>
              <w:rPr>
                <w:rFonts w:hint="eastAsia" w:ascii="宋体" w:hAnsi="宋体"/>
                <w:sz w:val="24"/>
              </w:rPr>
              <w:t>项目完成验收后，达到付款条件起30日，支付合同总金额的 50%</w:t>
            </w:r>
            <w:r>
              <w:rPr>
                <w:rFonts w:hint="eastAsia" w:ascii="宋体" w:hAnsi="宋体"/>
                <w:sz w:val="24"/>
                <w:lang w:eastAsia="zh-CN"/>
              </w:rPr>
              <w:t>（</w:t>
            </w:r>
            <w:r>
              <w:rPr>
                <w:rFonts w:hint="eastAsia" w:ascii="宋体" w:hAnsi="宋体"/>
                <w:sz w:val="24"/>
              </w:rPr>
              <w:t>如有考核不达标的情况，采购人根据服务质量考核情况向中标人支付剩余款项</w:t>
            </w:r>
            <w:r>
              <w:rPr>
                <w:rFonts w:hint="eastAsia" w:ascii="宋体" w:hAnsi="宋体"/>
                <w:sz w:val="24"/>
                <w:lang w:eastAsia="zh-CN"/>
              </w:rPr>
              <w:t>）</w:t>
            </w:r>
            <w:r>
              <w:rPr>
                <w:rFonts w:hint="eastAsia" w:ascii="宋体" w:hAnsi="宋体"/>
                <w:sz w:val="24"/>
              </w:rPr>
              <w:t>。</w:t>
            </w:r>
          </w:p>
        </w:tc>
      </w:tr>
    </w:tbl>
    <w:p w14:paraId="6ECF3B36">
      <w:pPr>
        <w:spacing w:line="276" w:lineRule="auto"/>
        <w:jc w:val="left"/>
        <w:rPr>
          <w:rFonts w:ascii="宋体" w:hAnsi="宋体"/>
          <w:sz w:val="24"/>
        </w:rPr>
      </w:pPr>
    </w:p>
    <w:p w14:paraId="0C2350D1">
      <w:pPr>
        <w:spacing w:line="514" w:lineRule="exact"/>
        <w:ind w:firstLine="640" w:firstLineChars="200"/>
        <w:rPr>
          <w:rFonts w:ascii="仿宋_GB2312" w:hAnsi="仿宋_GB2312" w:eastAsia="仿宋_GB2312" w:cs="仿宋_GB2312"/>
          <w:sz w:val="32"/>
          <w:szCs w:val="32"/>
        </w:rPr>
      </w:pPr>
    </w:p>
    <w:sectPr>
      <w:footerReference r:id="rId6"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657EF">
    <w:pPr>
      <w:jc w:val="center"/>
      <w:rPr>
        <w:rFonts w:ascii="Calibri" w:hAnsi="Calibri" w:eastAsia="宋体"/>
        <w:kern w:val="0"/>
        <w:szCs w:val="21"/>
      </w:rPr>
    </w:pPr>
    <w:r>
      <w:rPr>
        <w:rFonts w:hint="eastAsia" w:ascii="Calibri" w:hAnsi="Calibri" w:eastAsia="宋体" w:cs="Times New Roman"/>
        <w:kern w:val="0"/>
        <w:szCs w:val="21"/>
      </w:rPr>
      <w:t xml:space="preserve">— </w:t>
    </w:r>
    <w:r>
      <w:rPr>
        <w:rFonts w:ascii="Calibri" w:hAnsi="Calibri" w:eastAsia="宋体"/>
        <w:kern w:val="0"/>
        <w:szCs w:val="21"/>
      </w:rPr>
      <w:fldChar w:fldCharType="begin"/>
    </w:r>
    <w:r>
      <w:rPr>
        <w:rFonts w:ascii="Calibri" w:hAnsi="Calibri" w:eastAsia="宋体" w:cs="Times New Roman"/>
        <w:kern w:val="0"/>
        <w:szCs w:val="21"/>
      </w:rPr>
      <w:instrText xml:space="preserve">PAGE   \* MERGEFORMAT</w:instrText>
    </w:r>
    <w:r>
      <w:rPr>
        <w:rFonts w:ascii="Calibri" w:hAnsi="Calibri" w:eastAsia="宋体"/>
        <w:kern w:val="0"/>
        <w:szCs w:val="21"/>
      </w:rPr>
      <w:fldChar w:fldCharType="separate"/>
    </w:r>
    <w:r>
      <w:rPr>
        <w:rFonts w:ascii="Calibri" w:hAnsi="Calibri" w:eastAsia="宋体"/>
        <w:kern w:val="0"/>
        <w:szCs w:val="21"/>
        <w:lang w:val="zh-CN"/>
      </w:rPr>
      <w:t>3</w:t>
    </w:r>
    <w:r>
      <w:rPr>
        <w:rFonts w:ascii="Calibri" w:hAnsi="Calibri" w:eastAsia="宋体"/>
        <w:kern w:val="0"/>
        <w:szCs w:val="21"/>
      </w:rPr>
      <w:fldChar w:fldCharType="end"/>
    </w:r>
    <w:r>
      <w:rPr>
        <w:rFonts w:hint="eastAsia" w:ascii="Calibri" w:hAnsi="Calibri" w:eastAsia="宋体" w:cs="Times New Roman"/>
        <w:kern w:val="0"/>
        <w:szCs w:val="21"/>
      </w:rPr>
      <w:t xml:space="preserve"> —</w:t>
    </w:r>
  </w:p>
  <w:p w14:paraId="241B8CCD">
    <w:pPr>
      <w:ind w:right="360" w:firstLine="360"/>
      <w:jc w:val="left"/>
      <w:rPr>
        <w:rFonts w:ascii="Calibri" w:hAnsi="Calibri" w:eastAsia="宋体"/>
        <w:kern w:val="0"/>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05245">
    <w:pPr>
      <w:pStyle w:val="4"/>
      <w:framePr w:wrap="around" w:vAnchor="text" w:hAnchor="margin" w:xAlign="outside" w:y="1"/>
      <w:rPr>
        <w:rStyle w:val="9"/>
        <w:rFonts w:ascii="宋体" w:hAnsi="宋体"/>
        <w:sz w:val="28"/>
        <w:szCs w:val="28"/>
      </w:rPr>
    </w:pPr>
    <w:r>
      <w:rPr>
        <w:rStyle w:val="9"/>
        <w:rFonts w:hint="eastAsia" w:ascii="宋体" w:hAnsi="宋体"/>
        <w:sz w:val="28"/>
        <w:szCs w:val="28"/>
      </w:rPr>
      <w:t xml:space="preserve">— </w:t>
    </w: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7</w:t>
    </w:r>
    <w:r>
      <w:rPr>
        <w:rStyle w:val="9"/>
        <w:rFonts w:ascii="宋体" w:hAnsi="宋体"/>
        <w:sz w:val="28"/>
        <w:szCs w:val="28"/>
      </w:rPr>
      <w:fldChar w:fldCharType="end"/>
    </w:r>
    <w:r>
      <w:rPr>
        <w:rStyle w:val="9"/>
        <w:rFonts w:hint="eastAsia" w:ascii="宋体" w:hAnsi="宋体"/>
        <w:sz w:val="28"/>
        <w:szCs w:val="28"/>
      </w:rPr>
      <w:t xml:space="preserve"> — </w:t>
    </w:r>
  </w:p>
  <w:p w14:paraId="61BEF758">
    <w:pPr>
      <w:pStyle w:val="4"/>
      <w:ind w:right="360" w:firstLine="360"/>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AEEC9">
    <w:pPr>
      <w:pStyle w:val="4"/>
      <w:framePr w:wrap="around" w:vAnchor="text" w:hAnchor="margin" w:xAlign="outside" w:y="1"/>
      <w:rPr>
        <w:rStyle w:val="9"/>
        <w:rFonts w:ascii="宋体" w:hAnsi="宋体"/>
        <w:sz w:val="28"/>
        <w:szCs w:val="28"/>
      </w:rPr>
    </w:pPr>
    <w:r>
      <w:rPr>
        <w:rStyle w:val="9"/>
        <w:rFonts w:hint="eastAsia" w:ascii="宋体" w:hAnsi="宋体"/>
        <w:sz w:val="28"/>
        <w:szCs w:val="28"/>
      </w:rPr>
      <w:t xml:space="preserve">— </w:t>
    </w: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12</w:t>
    </w:r>
    <w:r>
      <w:rPr>
        <w:rStyle w:val="9"/>
        <w:rFonts w:ascii="宋体" w:hAnsi="宋体"/>
        <w:sz w:val="28"/>
        <w:szCs w:val="28"/>
      </w:rPr>
      <w:fldChar w:fldCharType="end"/>
    </w:r>
    <w:r>
      <w:rPr>
        <w:rStyle w:val="9"/>
        <w:rFonts w:hint="eastAsia" w:ascii="宋体" w:hAnsi="宋体"/>
        <w:sz w:val="28"/>
        <w:szCs w:val="28"/>
      </w:rPr>
      <w:t xml:space="preserve"> —</w:t>
    </w:r>
  </w:p>
  <w:p w14:paraId="78B82B6D">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299441"/>
      <w:docPartObj>
        <w:docPartGallery w:val="autotext"/>
      </w:docPartObj>
    </w:sdtPr>
    <w:sdtContent>
      <w:p w14:paraId="1BDAE5E9">
        <w:pPr>
          <w:pStyle w:val="4"/>
          <w:jc w:val="center"/>
        </w:pPr>
        <w:r>
          <w:fldChar w:fldCharType="begin"/>
        </w:r>
        <w:r>
          <w:instrText xml:space="preserve"> PAGE   \* MERGEFORMAT </w:instrText>
        </w:r>
        <w:r>
          <w:fldChar w:fldCharType="separate"/>
        </w:r>
        <w:r>
          <w:rPr>
            <w:lang w:val="zh-CN"/>
          </w:rPr>
          <w:t>8</w:t>
        </w:r>
        <w:r>
          <w:rPr>
            <w:lang w:val="zh-CN"/>
          </w:rPr>
          <w:fldChar w:fldCharType="end"/>
        </w:r>
      </w:p>
    </w:sdtContent>
  </w:sdt>
  <w:p w14:paraId="43499422">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gyZjQ0NTdkODkxNmZmZGI5NzMwNzY1NTlkZjlkMGQifQ=="/>
  </w:docVars>
  <w:rsids>
    <w:rsidRoot w:val="53B52B8D"/>
    <w:rsid w:val="00045877"/>
    <w:rsid w:val="000B30A8"/>
    <w:rsid w:val="00156777"/>
    <w:rsid w:val="001A1E67"/>
    <w:rsid w:val="00242B6C"/>
    <w:rsid w:val="00287591"/>
    <w:rsid w:val="00353E74"/>
    <w:rsid w:val="00407367"/>
    <w:rsid w:val="00433CB9"/>
    <w:rsid w:val="00460385"/>
    <w:rsid w:val="00513035"/>
    <w:rsid w:val="00564A21"/>
    <w:rsid w:val="006202D7"/>
    <w:rsid w:val="006F7CB4"/>
    <w:rsid w:val="007348DE"/>
    <w:rsid w:val="008E3588"/>
    <w:rsid w:val="008F6832"/>
    <w:rsid w:val="008F7436"/>
    <w:rsid w:val="0092560B"/>
    <w:rsid w:val="00947D62"/>
    <w:rsid w:val="009648BE"/>
    <w:rsid w:val="0099516C"/>
    <w:rsid w:val="009B6197"/>
    <w:rsid w:val="00A42FD0"/>
    <w:rsid w:val="00A43F3A"/>
    <w:rsid w:val="00A518FF"/>
    <w:rsid w:val="00B720AC"/>
    <w:rsid w:val="00C93500"/>
    <w:rsid w:val="00CB0E8E"/>
    <w:rsid w:val="00CC6A00"/>
    <w:rsid w:val="00D3262C"/>
    <w:rsid w:val="00DA4AE8"/>
    <w:rsid w:val="00E0077E"/>
    <w:rsid w:val="00E225E3"/>
    <w:rsid w:val="00F80A97"/>
    <w:rsid w:val="00FD4918"/>
    <w:rsid w:val="0ECA5975"/>
    <w:rsid w:val="177F50ED"/>
    <w:rsid w:val="1E824176"/>
    <w:rsid w:val="358C04C1"/>
    <w:rsid w:val="36A26CDE"/>
    <w:rsid w:val="3B3F75CB"/>
    <w:rsid w:val="3DE674BB"/>
    <w:rsid w:val="3F7A2500"/>
    <w:rsid w:val="494510E9"/>
    <w:rsid w:val="4F40749E"/>
    <w:rsid w:val="53B52B8D"/>
    <w:rsid w:val="77F79321"/>
    <w:rsid w:val="7F4C3BFA"/>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4"/>
    <w:qFormat/>
    <w:uiPriority w:val="0"/>
    <w:pPr>
      <w:spacing w:after="120"/>
      <w:ind w:left="420" w:leftChars="200"/>
    </w:pPr>
  </w:style>
  <w:style w:type="paragraph" w:styleId="3">
    <w:name w:val="toc 5"/>
    <w:basedOn w:val="1"/>
    <w:next w:val="1"/>
    <w:qFormat/>
    <w:uiPriority w:val="0"/>
    <w:pPr>
      <w:adjustRightInd w:val="0"/>
      <w:snapToGrid w:val="0"/>
      <w:spacing w:line="594" w:lineRule="exact"/>
      <w:ind w:left="1680" w:leftChars="800"/>
    </w:pPr>
    <w:rPr>
      <w:rFonts w:ascii="Calibri" w:hAnsi="Calibri" w:eastAsia="宋体" w:cs="Times New Roman"/>
      <w:sz w:val="32"/>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2"/>
    <w:link w:val="15"/>
    <w:unhideWhenUsed/>
    <w:qFormat/>
    <w:uiPriority w:val="99"/>
    <w:pPr>
      <w:adjustRightInd w:val="0"/>
      <w:snapToGrid w:val="0"/>
      <w:ind w:firstLine="420" w:firstLineChars="200"/>
    </w:pPr>
    <w:rPr>
      <w:rFonts w:ascii="Times New Roman" w:hAnsi="Times New Roman" w:eastAsia="方正仿宋简体" w:cs="Times New Roman"/>
      <w:sz w:val="28"/>
    </w:rPr>
  </w:style>
  <w:style w:type="character" w:styleId="9">
    <w:name w:val="page number"/>
    <w:qFormat/>
    <w:uiPriority w:val="0"/>
  </w:style>
  <w:style w:type="character" w:styleId="10">
    <w:name w:val="Hyperlink"/>
    <w:basedOn w:val="8"/>
    <w:qFormat/>
    <w:uiPriority w:val="0"/>
    <w:rPr>
      <w:color w:val="0563C1" w:themeColor="hyperlink"/>
      <w:u w:val="single"/>
    </w:rPr>
  </w:style>
  <w:style w:type="paragraph" w:customStyle="1" w:styleId="11">
    <w:name w:val="null3"/>
    <w:hidden/>
    <w:qFormat/>
    <w:uiPriority w:val="0"/>
    <w:rPr>
      <w:rFonts w:hint="eastAsia" w:asciiTheme="minorHAnsi" w:hAnsiTheme="minorHAnsi" w:eastAsiaTheme="minorEastAsia" w:cstheme="minorBidi"/>
      <w:lang w:val="en-US" w:eastAsia="zh-CN" w:bidi="ar-SA"/>
    </w:rPr>
  </w:style>
  <w:style w:type="character" w:customStyle="1" w:styleId="12">
    <w:name w:val="页眉 Char"/>
    <w:basedOn w:val="8"/>
    <w:link w:val="5"/>
    <w:qFormat/>
    <w:uiPriority w:val="0"/>
    <w:rPr>
      <w:kern w:val="2"/>
      <w:sz w:val="18"/>
      <w:szCs w:val="18"/>
    </w:rPr>
  </w:style>
  <w:style w:type="character" w:customStyle="1" w:styleId="13">
    <w:name w:val="页脚 Char"/>
    <w:basedOn w:val="8"/>
    <w:link w:val="4"/>
    <w:qFormat/>
    <w:uiPriority w:val="99"/>
    <w:rPr>
      <w:kern w:val="2"/>
      <w:sz w:val="18"/>
      <w:szCs w:val="18"/>
    </w:rPr>
  </w:style>
  <w:style w:type="character" w:customStyle="1" w:styleId="14">
    <w:name w:val="正文文本缩进 Char"/>
    <w:basedOn w:val="8"/>
    <w:link w:val="2"/>
    <w:qFormat/>
    <w:uiPriority w:val="0"/>
    <w:rPr>
      <w:kern w:val="2"/>
      <w:sz w:val="21"/>
      <w:szCs w:val="24"/>
    </w:rPr>
  </w:style>
  <w:style w:type="character" w:customStyle="1" w:styleId="15">
    <w:name w:val="正文首行缩进 2 Char"/>
    <w:basedOn w:val="14"/>
    <w:link w:val="6"/>
    <w:qFormat/>
    <w:uiPriority w:val="99"/>
    <w:rPr>
      <w:rFonts w:ascii="Times New Roman" w:hAnsi="Times New Roman" w:eastAsia="方正仿宋简体" w:cs="Times New Roman"/>
      <w:kern w:val="2"/>
      <w:sz w:val="28"/>
      <w:szCs w:val="24"/>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18</Pages>
  <Words>7294</Words>
  <Characters>7499</Characters>
  <Lines>56</Lines>
  <Paragraphs>15</Paragraphs>
  <TotalTime>253</TotalTime>
  <ScaleCrop>false</ScaleCrop>
  <LinksUpToDate>false</LinksUpToDate>
  <CharactersWithSpaces>7560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苏林伟</cp:lastModifiedBy>
  <cp:lastPrinted>2024-06-14T08:51:00Z</cp:lastPrinted>
  <dcterms:modified xsi:type="dcterms:W3CDTF">2025-07-22T02:04:16Z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ABEBB09419F74AA0B7308F5FE18F5ED5_12</vt:lpwstr>
  </property>
  <property fmtid="{D5CDD505-2E9C-101B-9397-08002B2CF9AE}" pid="4" name="KSOTemplateDocerSaveRecord">
    <vt:lpwstr>eyJoZGlkIjoiY2YyMzBiMTJkYzgwMmM4NmRkZWZmYzQ3ZDNjZDQwNTMiLCJ1c2VySWQiOiIzMjk5MDc3NzIifQ==</vt:lpwstr>
  </property>
</Properties>
</file>