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DC4D51">
      <w:pPr>
        <w:rPr>
          <w:rFonts w:hint="eastAsia" w:eastAsia="方正仿宋简体"/>
        </w:rPr>
      </w:pPr>
      <w:bookmarkStart w:id="0" w:name="_Toc498001357"/>
      <w:bookmarkStart w:id="1" w:name="_Toc498001258"/>
    </w:p>
    <w:p w14:paraId="60A7D0B6">
      <w:pPr>
        <w:spacing w:line="240" w:lineRule="auto"/>
        <w:jc w:val="both"/>
        <w:rPr>
          <w:rFonts w:hint="eastAsia" w:ascii="方正小标宋简体" w:eastAsia="方正小标宋简体"/>
          <w:spacing w:val="157"/>
          <w:sz w:val="84"/>
          <w:szCs w:val="84"/>
        </w:rPr>
      </w:pPr>
    </w:p>
    <w:p w14:paraId="23B10881">
      <w:pPr>
        <w:spacing w:line="240" w:lineRule="auto"/>
        <w:jc w:val="center"/>
        <w:rPr>
          <w:rFonts w:hint="eastAsia" w:ascii="方正小标宋简体" w:eastAsia="方正小标宋简体"/>
          <w:spacing w:val="157"/>
          <w:sz w:val="100"/>
          <w:szCs w:val="100"/>
        </w:rPr>
      </w:pPr>
      <w:r>
        <w:rPr>
          <w:rFonts w:hint="eastAsia" w:ascii="方正小标宋简体" w:eastAsia="方正小标宋简体"/>
          <w:spacing w:val="157"/>
          <w:sz w:val="100"/>
          <w:szCs w:val="100"/>
        </w:rPr>
        <w:t>采</w:t>
      </w:r>
    </w:p>
    <w:p w14:paraId="622A8282">
      <w:pPr>
        <w:spacing w:line="240" w:lineRule="auto"/>
        <w:jc w:val="center"/>
        <w:rPr>
          <w:rFonts w:hint="eastAsia" w:ascii="方正小标宋简体" w:eastAsia="方正小标宋简体"/>
          <w:spacing w:val="157"/>
          <w:sz w:val="100"/>
          <w:szCs w:val="100"/>
        </w:rPr>
      </w:pPr>
      <w:r>
        <w:rPr>
          <w:rFonts w:hint="eastAsia" w:ascii="方正小标宋简体" w:eastAsia="方正小标宋简体"/>
          <w:spacing w:val="157"/>
          <w:sz w:val="100"/>
          <w:szCs w:val="100"/>
        </w:rPr>
        <w:t>购</w:t>
      </w:r>
    </w:p>
    <w:p w14:paraId="50B1FCDB">
      <w:pPr>
        <w:spacing w:line="240" w:lineRule="auto"/>
        <w:jc w:val="center"/>
        <w:rPr>
          <w:rFonts w:hint="eastAsia" w:ascii="方正小标宋简体" w:eastAsia="方正小标宋简体"/>
          <w:spacing w:val="157"/>
          <w:sz w:val="100"/>
          <w:szCs w:val="100"/>
        </w:rPr>
      </w:pPr>
      <w:r>
        <w:rPr>
          <w:rFonts w:hint="eastAsia" w:ascii="方正小标宋简体" w:eastAsia="方正小标宋简体"/>
          <w:spacing w:val="157"/>
          <w:sz w:val="100"/>
          <w:szCs w:val="100"/>
        </w:rPr>
        <w:t>文</w:t>
      </w:r>
    </w:p>
    <w:p w14:paraId="4B96A722">
      <w:pPr>
        <w:spacing w:line="240" w:lineRule="auto"/>
        <w:jc w:val="center"/>
        <w:rPr>
          <w:rFonts w:hint="eastAsia" w:ascii="方正小标宋简体" w:eastAsia="方正小标宋简体"/>
          <w:sz w:val="84"/>
          <w:szCs w:val="84"/>
        </w:rPr>
      </w:pPr>
      <w:r>
        <w:rPr>
          <w:rFonts w:hint="eastAsia" w:ascii="方正小标宋简体" w:eastAsia="方正小标宋简体"/>
          <w:spacing w:val="157"/>
          <w:sz w:val="100"/>
          <w:szCs w:val="100"/>
        </w:rPr>
        <w:t>件</w:t>
      </w:r>
    </w:p>
    <w:p w14:paraId="363A3A09">
      <w:pPr>
        <w:spacing w:line="514" w:lineRule="exact"/>
        <w:rPr>
          <w:rFonts w:hint="eastAsia" w:eastAsia="黑体" w:cs="黑体"/>
          <w:szCs w:val="32"/>
        </w:rPr>
      </w:pPr>
      <w:r>
        <w:rPr>
          <w:rFonts w:ascii="宋体" w:hAnsi="宋体" w:eastAsia="宋体"/>
          <w:b/>
          <w:color w:val="000000"/>
          <w:sz w:val="24"/>
        </w:rPr>
        <w:br w:type="page" w:clear="all"/>
      </w:r>
      <w:bookmarkEnd w:id="0"/>
      <w:bookmarkEnd w:id="1"/>
      <w:r>
        <w:rPr>
          <w:rFonts w:hint="eastAsia" w:ascii="宋体" w:hAnsi="宋体" w:eastAsia="宋体"/>
          <w:b/>
          <w:color w:val="000000"/>
          <w:sz w:val="24"/>
        </w:rPr>
        <w:t xml:space="preserve"> </w:t>
      </w:r>
      <w:r>
        <w:rPr>
          <w:rFonts w:hint="eastAsia" w:eastAsia="黑体" w:cs="黑体"/>
          <w:b/>
          <w:color w:val="000000"/>
          <w:sz w:val="24"/>
        </w:rPr>
        <w:t xml:space="preserve"> </w:t>
      </w:r>
      <w:r>
        <w:rPr>
          <w:rFonts w:hint="eastAsia" w:eastAsia="黑体" w:cs="黑体"/>
          <w:szCs w:val="32"/>
        </w:rPr>
        <w:t>一、项目说明</w:t>
      </w:r>
    </w:p>
    <w:p w14:paraId="1AD252AC">
      <w:pPr>
        <w:spacing w:line="520" w:lineRule="exact"/>
        <w:ind w:firstLine="643"/>
        <w:rPr>
          <w:rFonts w:hint="eastAsia" w:ascii="仿宋" w:hAnsi="仿宋" w:eastAsia="仿宋" w:cs="仿宋_GB2312"/>
          <w:szCs w:val="32"/>
        </w:rPr>
      </w:pPr>
      <w:r>
        <w:rPr>
          <w:rFonts w:hint="eastAsia" w:ascii="楷体" w:hAnsi="楷体" w:eastAsia="楷体" w:cs="楷体"/>
          <w:b/>
          <w:bCs/>
          <w:szCs w:val="32"/>
        </w:rPr>
        <w:t>（一）项目名称：</w:t>
      </w:r>
      <w:r>
        <w:rPr>
          <w:rFonts w:hint="eastAsia" w:ascii="仿宋_GB2312" w:hAnsi="仿宋_GB2312" w:eastAsia="仿宋_GB2312" w:cs="仿宋_GB2312"/>
          <w:szCs w:val="32"/>
          <w:lang w:val="en-US" w:eastAsia="zh-CN"/>
        </w:rPr>
        <w:t>福建地理标志媒体推广服务</w:t>
      </w:r>
      <w:r>
        <w:rPr>
          <w:rFonts w:hint="eastAsia" w:ascii="仿宋_GB2312" w:hAnsi="仿宋_GB2312" w:eastAsia="仿宋_GB2312" w:cs="仿宋_GB2312"/>
          <w:szCs w:val="32"/>
        </w:rPr>
        <w:t>项目</w:t>
      </w:r>
    </w:p>
    <w:p w14:paraId="3597B103">
      <w:pPr>
        <w:spacing w:line="514" w:lineRule="exact"/>
        <w:ind w:firstLine="643"/>
        <w:rPr>
          <w:rFonts w:hint="eastAsia" w:ascii="楷体" w:hAnsi="楷体" w:eastAsia="楷体" w:cs="楷体"/>
          <w:b/>
          <w:bCs/>
          <w:szCs w:val="32"/>
        </w:rPr>
      </w:pPr>
      <w:bookmarkStart w:id="2" w:name="_Toc498001259"/>
      <w:bookmarkStart w:id="3" w:name="_Toc498001358"/>
      <w:r>
        <w:rPr>
          <w:rFonts w:hint="eastAsia" w:ascii="楷体" w:hAnsi="楷体" w:eastAsia="楷体" w:cs="楷体"/>
          <w:b/>
          <w:bCs/>
          <w:szCs w:val="32"/>
        </w:rPr>
        <w:t>（二）资格要求</w:t>
      </w:r>
      <w:bookmarkEnd w:id="2"/>
      <w:bookmarkEnd w:id="3"/>
    </w:p>
    <w:p w14:paraId="03FF8B1A">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1.供应商应具备下列资格条件，并提供证明材料（包括但不限于）：</w:t>
      </w:r>
    </w:p>
    <w:p w14:paraId="70BF00D9">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（1）依法登记具有独立法人资格的社会组织、企业和事业单位（提供相应登记证书副本复印件，提供法人或者营业执照，自然人身份证）。</w:t>
      </w:r>
    </w:p>
    <w:p w14:paraId="2B81513A">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具有良好的商业信誉和健全的财务会计制度（提供参加本次采购活动上一年度或上一季度财务报告复印件，至少包括“包括资产负债表、利润表、现金流量表、所有者权益变动表（若有）及其附注（若有）”）。</w:t>
      </w:r>
    </w:p>
    <w:p w14:paraId="0CB4A134">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（3）具有履行合同所必需的设备和专业技术能力（根据项目需求提供履行合同所必需的设备和专业技术能力的声明及证明材料）。</w:t>
      </w:r>
    </w:p>
    <w:p w14:paraId="625E7532">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（4）有依法缴纳税收和社会保障资金的良好记录（提供参加本次政府采购活动前一年内任一个月的依法缴纳税收和社会保障资金的相关材料）。</w:t>
      </w:r>
    </w:p>
    <w:p w14:paraId="1FF6D789">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（5）参加采购活动前一年内，在经营活动中没有重大违法记录（提供参加本次采购活动前1年内在经营活动中没有违法记录的书面声明）。</w:t>
      </w:r>
    </w:p>
    <w:p w14:paraId="5C4CF44B">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（6）法律、行政法规规定的其他条件（提供项目实施所</w:t>
      </w:r>
      <w:r>
        <w:rPr>
          <w:rFonts w:hint="eastAsia" w:ascii="仿宋_GB2312" w:hAnsi="仿宋_GB2312" w:eastAsia="仿宋_GB2312" w:cs="仿宋_GB2312"/>
          <w:szCs w:val="32"/>
          <w:lang w:eastAsia="zh-CN"/>
        </w:rPr>
        <w:t>必需的</w:t>
      </w:r>
      <w:r>
        <w:rPr>
          <w:rFonts w:hint="eastAsia" w:ascii="仿宋_GB2312" w:hAnsi="仿宋_GB2312" w:eastAsia="仿宋_GB2312" w:cs="仿宋_GB2312"/>
          <w:szCs w:val="32"/>
        </w:rPr>
        <w:t>许可资质证明材料）。</w:t>
      </w:r>
    </w:p>
    <w:p w14:paraId="30DD3C73">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2.本项目不接受下列供应商：</w:t>
      </w:r>
    </w:p>
    <w:p w14:paraId="0059BA2E">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（1）联合体形式的供应商。</w:t>
      </w:r>
    </w:p>
    <w:p w14:paraId="29E389A5">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（2）供应商被“信用中国”网站（www.creditchina.gov.cn）、“中国政府采购网”(www.ccgp.gov.cn)列入失信被执行人、重大税收违法案件当事人名单、政府采购严重违法失信行为记录名单。</w:t>
      </w:r>
    </w:p>
    <w:p w14:paraId="4D34A8D9">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（3）供应商存在其它失信情况的。</w:t>
      </w:r>
    </w:p>
    <w:p w14:paraId="302EF576">
      <w:pPr>
        <w:spacing w:line="514" w:lineRule="exact"/>
        <w:ind w:firstLine="643"/>
        <w:rPr>
          <w:rFonts w:hint="eastAsia" w:ascii="楷体" w:hAnsi="楷体" w:eastAsia="楷体" w:cs="楷体"/>
          <w:b/>
          <w:bCs/>
          <w:szCs w:val="32"/>
        </w:rPr>
      </w:pPr>
      <w:bookmarkStart w:id="4" w:name="_Toc498001359"/>
      <w:bookmarkStart w:id="5" w:name="_Toc498001260"/>
      <w:r>
        <w:rPr>
          <w:rFonts w:hint="eastAsia" w:ascii="楷体" w:hAnsi="楷体" w:eastAsia="楷体" w:cs="楷体"/>
          <w:b/>
          <w:bCs/>
          <w:szCs w:val="32"/>
        </w:rPr>
        <w:t>（三）投标须知</w:t>
      </w:r>
      <w:bookmarkEnd w:id="4"/>
      <w:bookmarkEnd w:id="5"/>
    </w:p>
    <w:p w14:paraId="3D14C328">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1.各供应商填列价格以人民币为单位，须包括完成本项目所涉及的一切费用。</w:t>
      </w:r>
    </w:p>
    <w:p w14:paraId="5BABE7C9">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w:t>
      </w:r>
      <w:bookmarkStart w:id="6" w:name="_Toc498001360"/>
      <w:bookmarkStart w:id="7" w:name="_Toc498001261"/>
      <w:r>
        <w:rPr>
          <w:rFonts w:hint="eastAsia" w:ascii="仿宋_GB2312" w:hAnsi="仿宋_GB2312" w:eastAsia="仿宋_GB2312" w:cs="仿宋_GB2312"/>
          <w:szCs w:val="32"/>
        </w:rPr>
        <w:t>本项目最高限价</w:t>
      </w:r>
      <w:r>
        <w:rPr>
          <w:rFonts w:hint="eastAsia" w:ascii="仿宋_GB2312" w:hAnsi="仿宋_GB2312" w:eastAsia="仿宋_GB2312" w:cs="仿宋_GB2312"/>
          <w:szCs w:val="32"/>
          <w:lang w:val="en-US" w:eastAsia="zh-CN"/>
        </w:rPr>
        <w:t>30</w:t>
      </w:r>
      <w:r>
        <w:rPr>
          <w:rFonts w:hint="eastAsia" w:ascii="仿宋_GB2312" w:hAnsi="仿宋_GB2312" w:eastAsia="仿宋_GB2312" w:cs="仿宋_GB2312"/>
          <w:szCs w:val="32"/>
        </w:rPr>
        <w:t>万元。</w:t>
      </w:r>
    </w:p>
    <w:p w14:paraId="565A88B3">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3.按综合评标法评定。</w:t>
      </w:r>
    </w:p>
    <w:p w14:paraId="621803B7">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本采购包为面向中小企业采购，投标人须提供中小企业声明函。监狱企业、残疾人福利性单位视同小型、微型企业。</w:t>
      </w:r>
    </w:p>
    <w:p w14:paraId="1E5E967B">
      <w:pPr>
        <w:spacing w:line="514" w:lineRule="exact"/>
        <w:ind w:firstLine="643"/>
        <w:rPr>
          <w:rFonts w:hint="eastAsia" w:ascii="仿宋_GB2312" w:hAnsi="仿宋_GB2312" w:eastAsia="仿宋_GB2312" w:cs="仿宋_GB2312"/>
          <w:szCs w:val="32"/>
        </w:rPr>
      </w:pPr>
      <w:r>
        <w:rPr>
          <w:rFonts w:hint="eastAsia" w:ascii="楷体" w:hAnsi="楷体" w:eastAsia="楷体" w:cs="楷体"/>
          <w:b/>
          <w:bCs/>
          <w:szCs w:val="32"/>
        </w:rPr>
        <w:t>（四）投标</w:t>
      </w:r>
      <w:bookmarkEnd w:id="6"/>
      <w:bookmarkEnd w:id="7"/>
      <w:r>
        <w:rPr>
          <w:rFonts w:hint="eastAsia" w:ascii="楷体" w:hAnsi="楷体" w:eastAsia="楷体" w:cs="楷体"/>
          <w:b/>
          <w:bCs/>
          <w:szCs w:val="32"/>
        </w:rPr>
        <w:t>要求</w:t>
      </w:r>
    </w:p>
    <w:p w14:paraId="27F94F2F">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供应商应仔细阅读的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14:paraId="22582B38">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1.商务文件：</w:t>
      </w:r>
    </w:p>
    <w:p w14:paraId="2F93B70E">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（1）有关承诺函；</w:t>
      </w:r>
    </w:p>
    <w:p w14:paraId="0758562E">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（2）报价单；</w:t>
      </w:r>
    </w:p>
    <w:p w14:paraId="62358A0E">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（3）营业执照(法人证书)复印件；</w:t>
      </w:r>
    </w:p>
    <w:p w14:paraId="5DED9DA9">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（4）法定代表人授权委托书；</w:t>
      </w:r>
    </w:p>
    <w:p w14:paraId="7A9D8A7E">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（5）法定代表人有效身份证复印件；</w:t>
      </w:r>
    </w:p>
    <w:p w14:paraId="200F3E8C">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（6）委托代理人有效身份证复印件（若有）；</w:t>
      </w:r>
    </w:p>
    <w:p w14:paraId="40BF0A99">
      <w:pPr>
        <w:spacing w:line="514" w:lineRule="exact"/>
        <w:ind w:firstLine="640"/>
        <w:rPr>
          <w:rFonts w:hint="eastAsia" w:ascii="仿宋_GB2312" w:hAnsi="仿宋_GB2312" w:eastAsia="仿宋_GB2312" w:cs="仿宋_GB2312"/>
          <w:szCs w:val="32"/>
        </w:rPr>
      </w:pPr>
      <w:bookmarkStart w:id="8" w:name="_Hlk160823965"/>
      <w:r>
        <w:rPr>
          <w:rFonts w:hint="eastAsia" w:ascii="仿宋_GB2312" w:hAnsi="仿宋_GB2312" w:eastAsia="仿宋_GB2312" w:cs="仿宋_GB2312"/>
          <w:szCs w:val="32"/>
        </w:rPr>
        <w:t>（7）信用、财务状况报告、纳税、社保等良好记录相关材料以及</w:t>
      </w:r>
      <w:bookmarkEnd w:id="8"/>
      <w:r>
        <w:rPr>
          <w:rFonts w:hint="eastAsia" w:ascii="仿宋_GB2312" w:hAnsi="仿宋_GB2312" w:eastAsia="仿宋_GB2312" w:cs="仿宋_GB2312"/>
          <w:szCs w:val="32"/>
        </w:rPr>
        <w:t>履行合同所</w:t>
      </w:r>
      <w:r>
        <w:rPr>
          <w:rFonts w:hint="eastAsia" w:ascii="仿宋_GB2312" w:hAnsi="仿宋_GB2312" w:eastAsia="仿宋_GB2312" w:cs="仿宋_GB2312"/>
          <w:szCs w:val="32"/>
          <w:lang w:eastAsia="zh-CN"/>
        </w:rPr>
        <w:t>必需的</w:t>
      </w:r>
      <w:r>
        <w:rPr>
          <w:rFonts w:hint="eastAsia" w:ascii="仿宋_GB2312" w:hAnsi="仿宋_GB2312" w:eastAsia="仿宋_GB2312" w:cs="仿宋_GB2312"/>
          <w:szCs w:val="32"/>
        </w:rPr>
        <w:t>设备和专业技术能力等证明材料。</w:t>
      </w:r>
    </w:p>
    <w:p w14:paraId="693F3C12">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2.技术文件：</w:t>
      </w:r>
    </w:p>
    <w:p w14:paraId="187801E7">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（1）提交项目整体服务方案和项目实施计划，对本采购文件“项目技术要求”进行回应。</w:t>
      </w:r>
    </w:p>
    <w:p w14:paraId="1E2F85BF">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（2）供应商认为应提交的其他文件。</w:t>
      </w:r>
    </w:p>
    <w:p w14:paraId="6815143A">
      <w:pPr>
        <w:spacing w:line="514" w:lineRule="exact"/>
        <w:ind w:firstLine="640"/>
        <w:rPr>
          <w:rFonts w:hint="eastAsia" w:ascii="仿宋_GB2312" w:hAnsi="仿宋_GB2312" w:eastAsia="仿宋_GB2312" w:cs="仿宋_GB2312"/>
          <w:szCs w:val="32"/>
        </w:rPr>
        <w:sectPr>
          <w:footerReference r:id="rId5" w:type="default"/>
          <w:pgSz w:w="16838" w:h="11906"/>
          <w:pgMar w:top="1418" w:right="1985" w:bottom="1418" w:left="1418" w:header="850" w:footer="850" w:gutter="0"/>
          <w:cols w:space="720" w:num="1"/>
          <w:titlePg/>
        </w:sectPr>
      </w:pPr>
    </w:p>
    <w:p w14:paraId="66604A38">
      <w:pPr>
        <w:spacing w:line="514" w:lineRule="exact"/>
        <w:ind w:firstLine="640"/>
        <w:rPr>
          <w:rFonts w:hint="eastAsia" w:eastAsia="黑体" w:cs="黑体"/>
          <w:szCs w:val="32"/>
        </w:rPr>
      </w:pPr>
      <w:bookmarkStart w:id="9" w:name="_Toc498001362"/>
      <w:bookmarkStart w:id="10" w:name="_Toc498001263"/>
      <w:r>
        <w:rPr>
          <w:rFonts w:hint="eastAsia" w:eastAsia="黑体" w:cs="黑体"/>
          <w:szCs w:val="32"/>
        </w:rPr>
        <w:t>二、项目内容及具体要求</w:t>
      </w:r>
      <w:bookmarkEnd w:id="9"/>
      <w:bookmarkEnd w:id="10"/>
    </w:p>
    <w:p w14:paraId="7F5B3DB1">
      <w:pPr>
        <w:spacing w:line="514" w:lineRule="exact"/>
        <w:ind w:firstLine="643"/>
        <w:rPr>
          <w:rFonts w:ascii="楷体" w:hAnsi="楷体" w:eastAsia="楷体" w:cs="楷体"/>
          <w:b/>
          <w:bCs/>
          <w:szCs w:val="32"/>
        </w:rPr>
      </w:pPr>
      <w:bookmarkStart w:id="11" w:name="_Toc330549050"/>
      <w:bookmarkStart w:id="12" w:name="_Toc333485789"/>
      <w:bookmarkStart w:id="13" w:name="_Toc378522713"/>
      <w:bookmarkStart w:id="14" w:name="_Toc326331734"/>
      <w:bookmarkStart w:id="15" w:name="_Toc330451571"/>
      <w:bookmarkStart w:id="16" w:name="_Toc455746732"/>
      <w:bookmarkStart w:id="17" w:name="_Toc330549052"/>
      <w:bookmarkStart w:id="18" w:name="_Toc498001264"/>
      <w:bookmarkStart w:id="19" w:name="_Toc366651469"/>
      <w:bookmarkStart w:id="20" w:name="_Toc366651467"/>
      <w:bookmarkStart w:id="21" w:name="_Toc498001363"/>
      <w:bookmarkStart w:id="22" w:name="_Toc333485787"/>
      <w:bookmarkStart w:id="23" w:name="_Toc386100207"/>
      <w:bookmarkStart w:id="24" w:name="_Toc347903956"/>
      <w:bookmarkStart w:id="25" w:name="_Toc332898723"/>
      <w:bookmarkStart w:id="26" w:name="_Toc337546423"/>
      <w:bookmarkStart w:id="27" w:name="_Toc326331732"/>
      <w:bookmarkStart w:id="28" w:name="_Toc325981871"/>
      <w:bookmarkStart w:id="29" w:name="_Toc325446794"/>
      <w:bookmarkStart w:id="30" w:name="_Toc375925092"/>
      <w:bookmarkStart w:id="31" w:name="_Toc328999466"/>
      <w:bookmarkStart w:id="32" w:name="_Toc325446792"/>
      <w:bookmarkStart w:id="33" w:name="_Toc320803478"/>
      <w:r>
        <w:rPr>
          <w:rFonts w:hint="eastAsia" w:ascii="楷体" w:hAnsi="楷体" w:eastAsia="楷体" w:cs="楷体"/>
          <w:b/>
          <w:bCs/>
          <w:szCs w:val="32"/>
        </w:rPr>
        <w:t>（一）项目概述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34" w:name="_Toc498001364"/>
      <w:bookmarkStart w:id="35" w:name="_Toc498001265"/>
      <w:bookmarkStart w:id="36" w:name="_Toc362425411"/>
      <w:bookmarkStart w:id="37" w:name="_Toc363110617"/>
      <w:bookmarkStart w:id="38" w:name="_Toc351982587"/>
    </w:p>
    <w:p w14:paraId="4A30E909">
      <w:pPr>
        <w:spacing w:line="514"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宣传展示我省</w:t>
      </w:r>
      <w:r>
        <w:rPr>
          <w:rFonts w:hint="eastAsia" w:ascii="仿宋_GB2312" w:hAnsi="仿宋_GB2312" w:eastAsia="仿宋_GB2312" w:cs="仿宋_GB2312"/>
          <w:color w:val="auto"/>
          <w:sz w:val="32"/>
          <w:szCs w:val="32"/>
          <w:lang w:eastAsia="zh-CN"/>
        </w:rPr>
        <w:t>各地</w:t>
      </w:r>
      <w:r>
        <w:rPr>
          <w:rFonts w:hint="eastAsia" w:ascii="仿宋_GB2312" w:hAnsi="仿宋_GB2312" w:eastAsia="仿宋_GB2312" w:cs="仿宋_GB2312"/>
          <w:color w:val="auto"/>
          <w:sz w:val="32"/>
          <w:szCs w:val="32"/>
        </w:rPr>
        <w:t>地理标志产品风采，提升我省地理标志产品知名度和美誉度，拟</w:t>
      </w:r>
      <w:r>
        <w:rPr>
          <w:rFonts w:hint="eastAsia" w:ascii="仿宋_GB2312" w:hAnsi="仿宋_GB2312" w:eastAsia="仿宋_GB2312" w:cs="仿宋_GB2312"/>
          <w:color w:val="auto"/>
          <w:sz w:val="32"/>
          <w:szCs w:val="32"/>
          <w:lang w:eastAsia="zh-CN"/>
        </w:rPr>
        <w:t>以采购方式委托第三方</w:t>
      </w:r>
      <w:r>
        <w:rPr>
          <w:rFonts w:hint="eastAsia" w:ascii="仿宋_GB2312" w:hAnsi="仿宋_GB2312" w:eastAsia="仿宋_GB2312" w:cs="仿宋_GB2312"/>
          <w:color w:val="auto"/>
          <w:sz w:val="32"/>
          <w:szCs w:val="32"/>
          <w:lang w:val="en-US" w:eastAsia="zh-CN"/>
        </w:rPr>
        <w:t>推广福建省</w:t>
      </w:r>
      <w:r>
        <w:rPr>
          <w:rFonts w:hint="eastAsia" w:ascii="仿宋_GB2312" w:hAnsi="仿宋_GB2312" w:eastAsia="仿宋_GB2312" w:cs="仿宋_GB2312"/>
          <w:color w:val="auto"/>
          <w:sz w:val="32"/>
          <w:szCs w:val="32"/>
        </w:rPr>
        <w:t>地理标志</w:t>
      </w:r>
      <w:r>
        <w:rPr>
          <w:rFonts w:hint="eastAsia" w:ascii="仿宋_GB2312" w:hAnsi="仿宋_GB2312" w:eastAsia="仿宋_GB2312" w:cs="仿宋_GB2312"/>
          <w:color w:val="auto"/>
          <w:sz w:val="32"/>
          <w:szCs w:val="32"/>
          <w:lang w:eastAsia="zh-CN"/>
        </w:rPr>
        <w:t>产品</w:t>
      </w:r>
      <w:r>
        <w:rPr>
          <w:rFonts w:hint="eastAsia" w:ascii="仿宋_GB2312" w:hAnsi="仿宋_GB2312" w:eastAsia="仿宋_GB2312" w:cs="仿宋_GB2312"/>
          <w:color w:val="auto"/>
          <w:sz w:val="32"/>
          <w:szCs w:val="32"/>
        </w:rPr>
        <w:t>，同时也为我省优质地理标志产品参加全国各类产品推介活动</w:t>
      </w:r>
      <w:r>
        <w:rPr>
          <w:rFonts w:hint="eastAsia" w:ascii="仿宋_GB2312" w:hAnsi="仿宋_GB2312" w:eastAsia="仿宋_GB2312" w:cs="仿宋_GB2312"/>
          <w:color w:val="auto"/>
          <w:sz w:val="32"/>
          <w:szCs w:val="32"/>
          <w:lang w:val="en-US" w:eastAsia="zh-CN"/>
        </w:rPr>
        <w:t>提升影响力</w:t>
      </w:r>
      <w:r>
        <w:rPr>
          <w:rFonts w:hint="eastAsia" w:ascii="仿宋_GB2312" w:hAnsi="仿宋_GB2312" w:eastAsia="仿宋_GB2312" w:cs="仿宋_GB2312"/>
          <w:color w:val="auto"/>
          <w:sz w:val="32"/>
          <w:szCs w:val="32"/>
        </w:rPr>
        <w:t>。</w:t>
      </w:r>
    </w:p>
    <w:p w14:paraId="5FD3C4A8">
      <w:pPr>
        <w:spacing w:line="520" w:lineRule="exact"/>
        <w:ind w:firstLine="643"/>
        <w:rPr>
          <w:rFonts w:hint="eastAsia" w:ascii="仿宋_GB2312" w:hAnsi="Times New Roman" w:eastAsia="仿宋_GB2312" w:cs="Times New Roman"/>
          <w:color w:val="auto"/>
          <w:sz w:val="32"/>
          <w:szCs w:val="32"/>
          <w:lang w:eastAsia="zh-CN"/>
        </w:rPr>
      </w:pPr>
      <w:r>
        <w:rPr>
          <w:rFonts w:hint="eastAsia" w:ascii="楷体" w:hAnsi="楷体" w:eastAsia="楷体" w:cs="楷体"/>
          <w:b/>
          <w:bCs/>
          <w:szCs w:val="32"/>
        </w:rPr>
        <w:t>（二）项目技术</w:t>
      </w:r>
      <w:r>
        <w:rPr>
          <w:rFonts w:hint="eastAsia" w:ascii="楷体" w:hAnsi="楷体" w:eastAsia="楷体" w:cs="楷体"/>
          <w:b/>
          <w:bCs/>
          <w:szCs w:val="32"/>
          <w:lang w:val="en-US" w:eastAsia="zh-CN"/>
        </w:rPr>
        <w:t>和服务</w:t>
      </w:r>
      <w:r>
        <w:rPr>
          <w:rFonts w:hint="eastAsia" w:ascii="楷体" w:hAnsi="楷体" w:eastAsia="楷体" w:cs="楷体"/>
          <w:b/>
          <w:bCs/>
          <w:szCs w:val="32"/>
          <w:lang w:eastAsia="zh-CN"/>
        </w:rPr>
        <w:t>要求</w:t>
      </w:r>
      <w:bookmarkEnd w:id="34"/>
      <w:bookmarkEnd w:id="35"/>
    </w:p>
    <w:p w14:paraId="57CFBFB5">
      <w:pPr>
        <w:spacing w:line="520" w:lineRule="exact"/>
        <w:ind w:firstLine="640"/>
        <w:rPr>
          <w:rFonts w:hint="eastAsia" w:ascii="仿宋_GB2312" w:hAnsi="仿宋_GB2312" w:eastAsia="仿宋_GB2312" w:cs="仿宋_GB2312"/>
          <w:color w:val="auto"/>
          <w:sz w:val="32"/>
          <w:szCs w:val="32"/>
          <w:lang w:eastAsia="zh-CN"/>
        </w:rPr>
      </w:pPr>
      <w:bookmarkStart w:id="39" w:name="_Toc498001268"/>
      <w:bookmarkStart w:id="40" w:name="_Toc498001367"/>
      <w:bookmarkStart w:id="41" w:name="_Toc421023428"/>
      <w:bookmarkStart w:id="42" w:name="_Toc450320511"/>
      <w:bookmarkStart w:id="43" w:name="_Toc419485050"/>
      <w:bookmarkStart w:id="44" w:name="_Toc330567036"/>
      <w:bookmarkStart w:id="45" w:name="_Toc346300369"/>
      <w:bookmarkStart w:id="46" w:name="_Toc455746740"/>
      <w:bookmarkStart w:id="47" w:name="_Toc347060298"/>
      <w:bookmarkStart w:id="48" w:name="_Toc430180165"/>
      <w:bookmarkStart w:id="49" w:name="_Toc351968248"/>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在央级</w:t>
      </w:r>
      <w:r>
        <w:rPr>
          <w:rFonts w:hint="eastAsia" w:ascii="仿宋_GB2312" w:hAnsi="仿宋_GB2312" w:eastAsia="仿宋_GB2312" w:cs="仿宋_GB2312"/>
          <w:color w:val="auto"/>
          <w:sz w:val="32"/>
          <w:szCs w:val="32"/>
          <w:lang w:eastAsia="zh-CN"/>
        </w:rPr>
        <w:t>媒体，开设“福建地理标志”专题页面，专题内容为福建省市场监管局福建地理标志相关工作的最新动态、经验做法等，专题栏目</w:t>
      </w:r>
      <w:r>
        <w:rPr>
          <w:rFonts w:hint="eastAsia" w:ascii="仿宋_GB2312" w:hAnsi="仿宋_GB2312" w:eastAsia="仿宋_GB2312" w:cs="仿宋_GB2312"/>
          <w:color w:val="auto"/>
          <w:sz w:val="32"/>
          <w:szCs w:val="32"/>
          <w:lang w:val="en-US" w:eastAsia="zh-CN"/>
        </w:rPr>
        <w:t>拟设置</w:t>
      </w:r>
      <w:r>
        <w:rPr>
          <w:rFonts w:hint="eastAsia" w:ascii="仿宋_GB2312" w:hAnsi="仿宋_GB2312" w:eastAsia="仿宋_GB2312" w:cs="仿宋_GB2312"/>
          <w:color w:val="auto"/>
          <w:sz w:val="32"/>
          <w:szCs w:val="32"/>
          <w:lang w:eastAsia="zh-CN"/>
        </w:rPr>
        <w:t>头图、焦点图、热点轮播、产业观察、好品福建（如</w:t>
      </w:r>
      <w:r>
        <w:rPr>
          <w:rFonts w:hint="eastAsia" w:ascii="仿宋_GB2312" w:hAnsi="仿宋_GB2312" w:eastAsia="仿宋_GB2312" w:cs="仿宋_GB2312"/>
          <w:color w:val="auto"/>
          <w:sz w:val="32"/>
          <w:szCs w:val="32"/>
          <w:lang w:val="en-US" w:eastAsia="zh-CN"/>
        </w:rPr>
        <w:t>图文/</w:t>
      </w:r>
      <w:r>
        <w:rPr>
          <w:rFonts w:hint="eastAsia" w:ascii="仿宋_GB2312" w:hAnsi="仿宋_GB2312" w:eastAsia="仿宋_GB2312" w:cs="仿宋_GB2312"/>
          <w:color w:val="auto"/>
          <w:sz w:val="32"/>
          <w:szCs w:val="32"/>
          <w:lang w:eastAsia="zh-CN"/>
        </w:rPr>
        <w:t>海报/视频/图集</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）、媒体推广等。</w:t>
      </w:r>
    </w:p>
    <w:p w14:paraId="36BA5413">
      <w:pPr>
        <w:spacing w:line="52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2.供应商负责</w:t>
      </w:r>
      <w:r>
        <w:rPr>
          <w:rFonts w:hint="eastAsia" w:ascii="仿宋_GB2312" w:hAnsi="仿宋_GB2312" w:eastAsia="仿宋_GB2312" w:cs="仿宋_GB2312"/>
          <w:color w:val="auto"/>
          <w:sz w:val="32"/>
          <w:szCs w:val="32"/>
          <w:lang w:eastAsia="zh-CN"/>
        </w:rPr>
        <w:t>专题</w:t>
      </w:r>
      <w:r>
        <w:rPr>
          <w:rFonts w:hint="eastAsia" w:ascii="仿宋_GB2312" w:hAnsi="仿宋_GB2312" w:eastAsia="仿宋_GB2312" w:cs="仿宋_GB2312"/>
          <w:color w:val="auto"/>
          <w:sz w:val="32"/>
          <w:szCs w:val="32"/>
          <w:lang w:val="en-US" w:eastAsia="zh-CN"/>
        </w:rPr>
        <w:t>专栏</w:t>
      </w:r>
      <w:r>
        <w:rPr>
          <w:rFonts w:hint="eastAsia" w:ascii="仿宋_GB2312" w:hAnsi="仿宋_GB2312" w:eastAsia="仿宋_GB2312" w:cs="仿宋_GB2312"/>
          <w:color w:val="auto"/>
          <w:sz w:val="32"/>
          <w:szCs w:val="32"/>
          <w:lang w:eastAsia="zh-CN"/>
        </w:rPr>
        <w:t>页面</w:t>
      </w:r>
      <w:r>
        <w:rPr>
          <w:rFonts w:hint="eastAsia" w:ascii="仿宋_GB2312" w:hAnsi="仿宋_GB2312" w:eastAsia="仿宋_GB2312" w:cs="仿宋_GB2312"/>
          <w:color w:val="auto"/>
          <w:sz w:val="32"/>
          <w:szCs w:val="32"/>
          <w:lang w:val="en-US" w:eastAsia="zh-CN"/>
        </w:rPr>
        <w:t>设计。</w:t>
      </w:r>
    </w:p>
    <w:p w14:paraId="78ACA8AF">
      <w:pPr>
        <w:numPr>
          <w:ilvl w:val="0"/>
          <w:numId w:val="0"/>
        </w:numPr>
        <w:spacing w:line="52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将该专题以图片</w:t>
      </w:r>
      <w:r>
        <w:rPr>
          <w:rFonts w:hint="eastAsia" w:ascii="仿宋_GB2312" w:hAnsi="仿宋_GB2312" w:eastAsia="仿宋_GB2312" w:cs="仿宋_GB2312"/>
          <w:color w:val="auto"/>
          <w:sz w:val="32"/>
          <w:szCs w:val="32"/>
          <w:lang w:val="en-US" w:eastAsia="zh-CN"/>
        </w:rPr>
        <w:t>/文字链</w:t>
      </w:r>
      <w:r>
        <w:rPr>
          <w:rFonts w:hint="eastAsia" w:ascii="仿宋_GB2312" w:hAnsi="仿宋_GB2312" w:eastAsia="仿宋_GB2312" w:cs="仿宋_GB2312"/>
          <w:color w:val="auto"/>
          <w:sz w:val="32"/>
          <w:szCs w:val="32"/>
          <w:lang w:eastAsia="zh-CN"/>
        </w:rPr>
        <w:t>形式，链接至</w:t>
      </w:r>
      <w:r>
        <w:rPr>
          <w:rFonts w:hint="eastAsia" w:ascii="仿宋_GB2312" w:hAnsi="仿宋_GB2312" w:eastAsia="仿宋_GB2312" w:cs="仿宋_GB2312"/>
          <w:color w:val="auto"/>
          <w:sz w:val="32"/>
          <w:szCs w:val="32"/>
          <w:lang w:val="en-US" w:eastAsia="zh-CN"/>
        </w:rPr>
        <w:t>央级</w:t>
      </w:r>
      <w:r>
        <w:rPr>
          <w:rFonts w:hint="eastAsia" w:ascii="仿宋_GB2312" w:hAnsi="仿宋_GB2312" w:eastAsia="仿宋_GB2312" w:cs="仿宋_GB2312"/>
          <w:color w:val="auto"/>
          <w:sz w:val="32"/>
          <w:szCs w:val="32"/>
          <w:lang w:eastAsia="zh-CN"/>
        </w:rPr>
        <w:t>网络媒体平台首页</w:t>
      </w:r>
      <w:r>
        <w:rPr>
          <w:rFonts w:hint="eastAsia" w:ascii="仿宋_GB2312" w:hAnsi="仿宋_GB2312" w:eastAsia="仿宋_GB2312" w:cs="仿宋_GB2312"/>
          <w:color w:val="auto"/>
          <w:sz w:val="32"/>
          <w:szCs w:val="32"/>
          <w:lang w:val="en-US" w:eastAsia="zh-CN"/>
        </w:rPr>
        <w:t>推广1个月</w:t>
      </w:r>
      <w:r>
        <w:rPr>
          <w:rFonts w:hint="eastAsia" w:ascii="仿宋_GB2312" w:hAnsi="仿宋_GB2312" w:eastAsia="仿宋_GB2312" w:cs="仿宋_GB2312"/>
          <w:color w:val="auto"/>
          <w:sz w:val="32"/>
          <w:szCs w:val="32"/>
          <w:lang w:eastAsia="zh-CN"/>
        </w:rPr>
        <w:t>。</w:t>
      </w:r>
    </w:p>
    <w:p w14:paraId="2CDD18AB">
      <w:pPr>
        <w:spacing w:line="52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合作期内需</w:t>
      </w:r>
      <w:r>
        <w:rPr>
          <w:rFonts w:hint="eastAsia" w:ascii="仿宋_GB2312" w:hAnsi="仿宋_GB2312" w:eastAsia="仿宋_GB2312" w:cs="仿宋_GB2312"/>
          <w:color w:val="auto"/>
          <w:sz w:val="32"/>
          <w:szCs w:val="32"/>
          <w:lang w:val="en-US" w:eastAsia="zh-CN"/>
        </w:rPr>
        <w:t>安排1名有</w:t>
      </w:r>
      <w:r>
        <w:rPr>
          <w:rFonts w:hint="eastAsia" w:ascii="仿宋_GB2312" w:hAnsi="仿宋_GB2312" w:eastAsia="仿宋_GB2312" w:cs="仿宋_GB2312"/>
          <w:color w:val="auto"/>
          <w:sz w:val="32"/>
          <w:szCs w:val="32"/>
          <w:lang w:eastAsia="zh-CN"/>
        </w:rPr>
        <w:t>新闻采编工作经验的工作人员对接以开展日常专题更新及维护工作。</w:t>
      </w:r>
    </w:p>
    <w:p w14:paraId="607242EF">
      <w:pPr>
        <w:spacing w:line="52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5.根据采购方要求，供应商需提供海报设计服务，提供至少5张海报设计。</w:t>
      </w:r>
    </w:p>
    <w:p w14:paraId="107F8F20">
      <w:pPr>
        <w:spacing w:line="52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推广投放：在</w:t>
      </w:r>
      <w:r>
        <w:rPr>
          <w:rFonts w:hint="eastAsia" w:ascii="仿宋_GB2312" w:hAnsi="仿宋_GB2312" w:eastAsia="仿宋_GB2312" w:cs="仿宋_GB2312"/>
          <w:color w:val="auto"/>
          <w:sz w:val="32"/>
          <w:szCs w:val="32"/>
          <w:lang w:val="en-US" w:eastAsia="zh-CN"/>
        </w:rPr>
        <w:t>央级</w:t>
      </w:r>
      <w:r>
        <w:rPr>
          <w:rFonts w:hint="eastAsia" w:ascii="仿宋_GB2312" w:hAnsi="仿宋_GB2312" w:eastAsia="仿宋_GB2312" w:cs="仿宋_GB2312"/>
          <w:color w:val="auto"/>
          <w:sz w:val="32"/>
          <w:szCs w:val="32"/>
          <w:lang w:eastAsia="zh-CN"/>
        </w:rPr>
        <w:t>网络媒体微信公众</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lang w:eastAsia="zh-CN"/>
        </w:rPr>
        <w:t>粉丝数不少于100万</w:t>
      </w:r>
      <w:r>
        <w:rPr>
          <w:rFonts w:hint="eastAsia" w:ascii="仿宋_GB2312" w:hAnsi="仿宋_GB2312" w:eastAsia="仿宋_GB2312" w:cs="仿宋_GB2312"/>
          <w:color w:val="auto"/>
          <w:sz w:val="32"/>
          <w:szCs w:val="32"/>
          <w:lang w:val="en-US" w:eastAsia="zh-CN"/>
        </w:rPr>
        <w:t>的移动端</w:t>
      </w:r>
      <w:r>
        <w:rPr>
          <w:rFonts w:hint="eastAsia" w:ascii="仿宋_GB2312" w:hAnsi="仿宋_GB2312" w:eastAsia="仿宋_GB2312" w:cs="仿宋_GB2312"/>
          <w:color w:val="auto"/>
          <w:sz w:val="32"/>
          <w:szCs w:val="32"/>
          <w:lang w:eastAsia="zh-CN"/>
        </w:rPr>
        <w:t>平台推文顶部标签进行推广，</w:t>
      </w:r>
      <w:r>
        <w:rPr>
          <w:rFonts w:hint="eastAsia" w:ascii="仿宋_GB2312" w:hAnsi="仿宋_GB2312" w:eastAsia="仿宋_GB2312" w:cs="仿宋_GB2312"/>
          <w:color w:val="auto"/>
          <w:sz w:val="32"/>
          <w:szCs w:val="32"/>
          <w:lang w:val="en-US" w:eastAsia="zh-CN"/>
        </w:rPr>
        <w:t>推广</w:t>
      </w:r>
      <w:r>
        <w:rPr>
          <w:rFonts w:hint="eastAsia" w:ascii="仿宋_GB2312" w:hAnsi="仿宋_GB2312" w:eastAsia="仿宋_GB2312" w:cs="仿宋_GB2312"/>
          <w:color w:val="auto"/>
          <w:sz w:val="32"/>
          <w:szCs w:val="32"/>
          <w:lang w:eastAsia="zh-CN"/>
        </w:rPr>
        <w:t>时间至少</w:t>
      </w:r>
      <w:r>
        <w:rPr>
          <w:rFonts w:hint="eastAsia" w:ascii="仿宋_GB2312" w:hAnsi="仿宋_GB2312" w:eastAsia="仿宋_GB2312" w:cs="仿宋_GB2312"/>
          <w:color w:val="auto"/>
          <w:sz w:val="32"/>
          <w:szCs w:val="32"/>
          <w:lang w:val="en-US" w:eastAsia="zh-CN"/>
        </w:rPr>
        <w:t>10天</w:t>
      </w:r>
      <w:r>
        <w:rPr>
          <w:rFonts w:hint="eastAsia" w:ascii="仿宋_GB2312" w:hAnsi="仿宋_GB2312" w:eastAsia="仿宋_GB2312" w:cs="仿宋_GB2312"/>
          <w:color w:val="auto"/>
          <w:sz w:val="32"/>
          <w:szCs w:val="32"/>
          <w:lang w:eastAsia="zh-CN"/>
        </w:rPr>
        <w:t>。</w:t>
      </w:r>
    </w:p>
    <w:p w14:paraId="1254F4F5">
      <w:pPr>
        <w:spacing w:line="52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主题策划</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：结合福建地理标志重点工作开展主题策划</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，内容如福建省市场监管局在培育和发展地理标志培育、运用、保护等方面的工作经验和成效。</w:t>
      </w:r>
    </w:p>
    <w:p w14:paraId="411FAF3F">
      <w:pPr>
        <w:spacing w:line="52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媒体推广：在至少1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家省级及以上的网络媒体进行推广（如微信/微博/网端/移动端等），其中至少包含</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家央级媒体平台推广；</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并配合完成日常相关宣传任务，刊发福建地理标志相关工作动态信息宣传</w:t>
      </w:r>
      <w:r>
        <w:rPr>
          <w:rFonts w:hint="eastAsia" w:ascii="仿宋_GB2312" w:hAnsi="仿宋_GB2312" w:eastAsia="仿宋_GB2312" w:cs="仿宋_GB2312"/>
          <w:color w:val="auto"/>
          <w:sz w:val="32"/>
          <w:szCs w:val="32"/>
          <w:lang w:val="en-US" w:eastAsia="zh-CN"/>
        </w:rPr>
        <w:t>至少30次（天）</w:t>
      </w:r>
      <w:r>
        <w:rPr>
          <w:rFonts w:hint="eastAsia" w:ascii="仿宋_GB2312" w:hAnsi="仿宋_GB2312" w:eastAsia="仿宋_GB2312" w:cs="仿宋_GB2312"/>
          <w:color w:val="auto"/>
          <w:sz w:val="32"/>
          <w:szCs w:val="32"/>
          <w:lang w:eastAsia="zh-CN"/>
        </w:rPr>
        <w:t>。</w:t>
      </w:r>
    </w:p>
    <w:p w14:paraId="72724E8A">
      <w:pPr>
        <w:keepNext w:val="0"/>
        <w:keepLines w:val="0"/>
        <w:pageBreakBefore w:val="0"/>
        <w:widowControl w:val="0"/>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人员配合：合作期间根据</w:t>
      </w:r>
      <w:r>
        <w:rPr>
          <w:rFonts w:hint="eastAsia" w:ascii="仿宋_GB2312" w:hAnsi="仿宋_GB2312" w:eastAsia="仿宋_GB2312" w:cs="仿宋_GB2312"/>
          <w:color w:val="auto"/>
          <w:sz w:val="32"/>
          <w:szCs w:val="32"/>
          <w:lang w:val="en-US" w:eastAsia="zh-CN"/>
        </w:rPr>
        <w:t>采购方</w:t>
      </w:r>
      <w:r>
        <w:rPr>
          <w:rFonts w:hint="eastAsia" w:ascii="仿宋_GB2312" w:hAnsi="仿宋_GB2312" w:eastAsia="仿宋_GB2312" w:cs="仿宋_GB2312"/>
          <w:color w:val="auto"/>
          <w:sz w:val="32"/>
          <w:szCs w:val="32"/>
          <w:lang w:eastAsia="zh-CN"/>
        </w:rPr>
        <w:t>需要须配合安排人员到场推广</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lang w:eastAsia="zh-CN"/>
        </w:rPr>
        <w:t>活动。</w:t>
      </w:r>
    </w:p>
    <w:p w14:paraId="7EE48E06">
      <w:pPr>
        <w:widowControl/>
        <w:spacing w:line="514" w:lineRule="exact"/>
        <w:ind w:firstLine="640"/>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在项目服务期间，成交供应商</w:t>
      </w:r>
      <w:bookmarkStart w:id="50" w:name="_Hlk159515109"/>
      <w:r>
        <w:rPr>
          <w:rFonts w:hint="eastAsia" w:ascii="仿宋_GB2312" w:hAnsi="仿宋_GB2312" w:eastAsia="仿宋_GB2312" w:cs="仿宋_GB2312"/>
          <w:color w:val="auto"/>
          <w:szCs w:val="32"/>
        </w:rPr>
        <w:t>应采购人要求</w:t>
      </w:r>
      <w:bookmarkEnd w:id="50"/>
      <w:r>
        <w:rPr>
          <w:rFonts w:hint="eastAsia" w:ascii="仿宋_GB2312" w:hAnsi="仿宋_GB2312" w:eastAsia="仿宋_GB2312" w:cs="仿宋_GB2312"/>
          <w:color w:val="auto"/>
          <w:szCs w:val="32"/>
        </w:rPr>
        <w:t>，</w:t>
      </w:r>
      <w:bookmarkStart w:id="51" w:name="_Hlk159515140"/>
      <w:r>
        <w:rPr>
          <w:rFonts w:hint="eastAsia" w:ascii="仿宋_GB2312" w:hAnsi="仿宋_GB2312" w:eastAsia="仿宋_GB2312" w:cs="仿宋_GB2312"/>
          <w:color w:val="auto"/>
          <w:szCs w:val="32"/>
        </w:rPr>
        <w:t>必须2小时响应，指定专人进行现场沟通交流，协助处理本项目服务相关事项。</w:t>
      </w:r>
      <w:bookmarkEnd w:id="51"/>
    </w:p>
    <w:p w14:paraId="565CFDA0">
      <w:pPr>
        <w:widowControl/>
        <w:spacing w:line="514" w:lineRule="exact"/>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Cs w:val="32"/>
          <w:lang w:val="en-US" w:eastAsia="zh-CN"/>
        </w:rPr>
        <w:t>11.</w:t>
      </w:r>
      <w:r>
        <w:rPr>
          <w:rFonts w:hint="eastAsia" w:ascii="仿宋_GB2312" w:hAnsi="仿宋_GB2312" w:eastAsia="仿宋_GB2312" w:cs="仿宋_GB2312"/>
          <w:color w:val="auto"/>
          <w:sz w:val="32"/>
          <w:szCs w:val="32"/>
          <w:lang w:val="en-US" w:eastAsia="zh-CN"/>
        </w:rPr>
        <w:t>发布时效要求：对采购人提出的发布内容要求，成交供应商不得无故拒绝刊登或拖延刊登。</w:t>
      </w:r>
    </w:p>
    <w:p w14:paraId="2376BAF8">
      <w:pPr>
        <w:keepNext w:val="0"/>
        <w:keepLines w:val="0"/>
        <w:pageBreakBefore w:val="0"/>
        <w:widowControl w:val="0"/>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12.未经采购人同意，成交供应商需承诺不得擅自使用所有的文字、图像、工作中收集的各类资料及最终成果。</w:t>
      </w:r>
    </w:p>
    <w:p w14:paraId="667CDA92">
      <w:pPr>
        <w:keepNext w:val="0"/>
        <w:keepLines w:val="0"/>
        <w:pageBreakBefore w:val="0"/>
        <w:widowControl w:val="0"/>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13.供应商应具有成熟的媒体运营团队，有全媒体宣传运营的经验。</w:t>
      </w:r>
    </w:p>
    <w:p w14:paraId="615D2F22">
      <w:pPr>
        <w:widowControl/>
        <w:spacing w:line="514" w:lineRule="exact"/>
        <w:ind w:firstLine="643"/>
        <w:jc w:val="left"/>
        <w:rPr>
          <w:rFonts w:hint="eastAsia" w:ascii="楷体" w:hAnsi="楷体" w:eastAsia="楷体" w:cs="楷体"/>
          <w:b/>
          <w:bCs/>
          <w:color w:val="auto"/>
          <w:szCs w:val="32"/>
        </w:rPr>
      </w:pPr>
      <w:r>
        <w:rPr>
          <w:rFonts w:hint="eastAsia" w:ascii="楷体" w:hAnsi="楷体" w:eastAsia="楷体" w:cs="楷体"/>
          <w:b/>
          <w:bCs/>
          <w:color w:val="auto"/>
          <w:szCs w:val="32"/>
        </w:rPr>
        <w:t>（</w:t>
      </w:r>
      <w:r>
        <w:rPr>
          <w:rFonts w:hint="eastAsia" w:ascii="楷体" w:hAnsi="楷体" w:eastAsia="楷体" w:cs="楷体"/>
          <w:b/>
          <w:bCs/>
          <w:color w:val="auto"/>
          <w:szCs w:val="32"/>
          <w:lang w:val="en-US" w:eastAsia="zh-CN"/>
        </w:rPr>
        <w:t>三</w:t>
      </w:r>
      <w:r>
        <w:rPr>
          <w:rFonts w:hint="eastAsia" w:ascii="楷体" w:hAnsi="楷体" w:eastAsia="楷体" w:cs="楷体"/>
          <w:b/>
          <w:bCs/>
          <w:color w:val="auto"/>
          <w:szCs w:val="32"/>
        </w:rPr>
        <w:t>）验收要求</w:t>
      </w:r>
    </w:p>
    <w:p w14:paraId="4AFD1E9D">
      <w:pPr>
        <w:keepNext w:val="0"/>
        <w:keepLines w:val="0"/>
        <w:pageBreakBefore w:val="0"/>
        <w:widowControl w:val="0"/>
        <w:spacing w:line="514"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Cs w:val="32"/>
        </w:rPr>
        <w:t>成交供应商</w:t>
      </w:r>
      <w:r>
        <w:rPr>
          <w:rFonts w:hint="eastAsia" w:ascii="仿宋_GB2312" w:hAnsi="仿宋_GB2312" w:eastAsia="仿宋_GB2312" w:cs="仿宋_GB2312"/>
          <w:color w:val="auto"/>
          <w:sz w:val="32"/>
          <w:szCs w:val="32"/>
          <w:lang w:val="en-US" w:eastAsia="zh-CN"/>
        </w:rPr>
        <w:t>按照采购内容要求完成服务，提供《福建地理标志媒体推广服务项目结案报告》，采购人应对项目进行验收。</w:t>
      </w:r>
    </w:p>
    <w:p w14:paraId="55D2B951">
      <w:pPr>
        <w:spacing w:line="514" w:lineRule="exact"/>
        <w:ind w:firstLine="643"/>
        <w:rPr>
          <w:rFonts w:hint="eastAsia" w:ascii="楷体" w:hAnsi="楷体" w:eastAsia="楷体" w:cs="楷体"/>
          <w:b/>
          <w:bCs/>
          <w:color w:val="auto"/>
          <w:szCs w:val="32"/>
        </w:rPr>
      </w:pPr>
      <w:r>
        <w:rPr>
          <w:rFonts w:hint="eastAsia" w:ascii="楷体" w:hAnsi="楷体" w:eastAsia="楷体" w:cs="楷体"/>
          <w:b/>
          <w:bCs/>
          <w:color w:val="auto"/>
          <w:szCs w:val="32"/>
        </w:rPr>
        <w:t>（</w:t>
      </w:r>
      <w:r>
        <w:rPr>
          <w:rFonts w:hint="eastAsia" w:ascii="楷体" w:hAnsi="楷体" w:eastAsia="楷体" w:cs="楷体"/>
          <w:b/>
          <w:bCs/>
          <w:color w:val="auto"/>
          <w:szCs w:val="32"/>
          <w:lang w:val="en-US" w:eastAsia="zh-CN"/>
        </w:rPr>
        <w:t>四</w:t>
      </w:r>
      <w:r>
        <w:rPr>
          <w:rFonts w:hint="eastAsia" w:ascii="楷体" w:hAnsi="楷体" w:eastAsia="楷体" w:cs="楷体"/>
          <w:b/>
          <w:bCs/>
          <w:color w:val="auto"/>
          <w:szCs w:val="32"/>
        </w:rPr>
        <w:t>）项目付款方式</w:t>
      </w:r>
      <w:bookmarkEnd w:id="39"/>
      <w:bookmarkEnd w:id="40"/>
    </w:p>
    <w:p w14:paraId="38B75972">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成交供应商与采购人签订合同后，采购人向成交供应商转账支付</w:t>
      </w:r>
      <w:r>
        <w:rPr>
          <w:rFonts w:hint="eastAsia" w:ascii="仿宋_GB2312" w:hAnsi="仿宋_GB2312" w:eastAsia="仿宋_GB2312" w:cs="仿宋_GB2312"/>
          <w:color w:val="auto"/>
          <w:szCs w:val="32"/>
          <w:lang w:val="en-US" w:eastAsia="zh-CN"/>
        </w:rPr>
        <w:t>50</w:t>
      </w:r>
      <w:r>
        <w:rPr>
          <w:rFonts w:hint="eastAsia" w:ascii="仿宋_GB2312" w:hAnsi="仿宋_GB2312" w:eastAsia="仿宋_GB2312" w:cs="仿宋_GB2312"/>
          <w:color w:val="auto"/>
          <w:szCs w:val="32"/>
        </w:rPr>
        <w:t>%项目费用。成交供应商完成本项目要求的所有成果并通过采购人验收后</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个工作日内，采购人向成交供应商转账支付余下</w:t>
      </w:r>
      <w:r>
        <w:rPr>
          <w:rFonts w:hint="eastAsia" w:ascii="仿宋_GB2312" w:hAnsi="仿宋_GB2312" w:eastAsia="仿宋_GB2312" w:cs="仿宋_GB2312"/>
          <w:color w:val="auto"/>
          <w:szCs w:val="32"/>
          <w:lang w:val="en-US" w:eastAsia="zh-CN"/>
        </w:rPr>
        <w:t>50</w:t>
      </w:r>
      <w:r>
        <w:rPr>
          <w:rFonts w:hint="eastAsia" w:ascii="仿宋_GB2312" w:hAnsi="仿宋_GB2312" w:eastAsia="仿宋_GB2312" w:cs="仿宋_GB2312"/>
          <w:color w:val="auto"/>
          <w:szCs w:val="32"/>
        </w:rPr>
        <w:t>%费用。</w:t>
      </w:r>
    </w:p>
    <w:p w14:paraId="01226457">
      <w:pPr>
        <w:spacing w:line="514" w:lineRule="exact"/>
        <w:ind w:firstLine="643"/>
        <w:rPr>
          <w:rFonts w:hint="eastAsia" w:ascii="仿宋_GB2312" w:hAnsi="仿宋_GB2312" w:eastAsia="仿宋_GB2312" w:cs="仿宋_GB2312"/>
          <w:color w:val="auto"/>
          <w:szCs w:val="32"/>
        </w:rPr>
      </w:pPr>
      <w:bookmarkStart w:id="52" w:name="_Toc498001269"/>
      <w:bookmarkStart w:id="53" w:name="_Toc498001368"/>
      <w:r>
        <w:rPr>
          <w:rFonts w:hint="eastAsia" w:ascii="楷体" w:hAnsi="楷体" w:eastAsia="楷体" w:cs="楷体"/>
          <w:b/>
          <w:bCs/>
          <w:color w:val="auto"/>
          <w:szCs w:val="32"/>
        </w:rPr>
        <w:t>（</w:t>
      </w:r>
      <w:r>
        <w:rPr>
          <w:rFonts w:hint="eastAsia" w:ascii="楷体" w:hAnsi="楷体" w:eastAsia="楷体" w:cs="楷体"/>
          <w:b/>
          <w:bCs/>
          <w:color w:val="auto"/>
          <w:szCs w:val="32"/>
          <w:lang w:val="en-US" w:eastAsia="zh-CN"/>
        </w:rPr>
        <w:t>五</w:t>
      </w:r>
      <w:r>
        <w:rPr>
          <w:rFonts w:hint="eastAsia" w:ascii="楷体" w:hAnsi="楷体" w:eastAsia="楷体" w:cs="楷体"/>
          <w:b/>
          <w:bCs/>
          <w:color w:val="auto"/>
          <w:szCs w:val="32"/>
        </w:rPr>
        <w:t>）项目服务期限</w:t>
      </w:r>
      <w:bookmarkEnd w:id="41"/>
      <w:bookmarkEnd w:id="42"/>
      <w:bookmarkEnd w:id="43"/>
      <w:bookmarkEnd w:id="44"/>
      <w:bookmarkEnd w:id="45"/>
      <w:bookmarkEnd w:id="46"/>
      <w:bookmarkEnd w:id="47"/>
      <w:bookmarkEnd w:id="48"/>
      <w:bookmarkEnd w:id="49"/>
      <w:bookmarkEnd w:id="52"/>
      <w:bookmarkEnd w:id="53"/>
    </w:p>
    <w:p w14:paraId="27E48102">
      <w:pPr>
        <w:spacing w:line="514" w:lineRule="exact"/>
        <w:ind w:firstLine="640"/>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项目实施期限：2024年</w:t>
      </w:r>
      <w:r>
        <w:rPr>
          <w:rFonts w:hint="eastAsia" w:ascii="仿宋_GB2312" w:hAnsi="仿宋_GB2312" w:eastAsia="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30</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val="en-US" w:eastAsia="zh-CN"/>
        </w:rPr>
        <w:t>前完成服务，12月10日前完成验收。</w:t>
      </w:r>
    </w:p>
    <w:p w14:paraId="741371EA">
      <w:pPr>
        <w:spacing w:line="514" w:lineRule="exact"/>
        <w:ind w:firstLine="643"/>
        <w:rPr>
          <w:rFonts w:hint="eastAsia" w:ascii="楷体" w:hAnsi="楷体" w:eastAsia="楷体" w:cs="楷体"/>
          <w:b/>
          <w:bCs/>
          <w:color w:val="auto"/>
          <w:szCs w:val="32"/>
        </w:rPr>
      </w:pPr>
      <w:bookmarkStart w:id="54" w:name="_Toc498001270"/>
      <w:bookmarkStart w:id="55" w:name="_Toc419485053"/>
      <w:bookmarkStart w:id="56" w:name="_Toc455746742"/>
      <w:bookmarkStart w:id="57" w:name="_Toc498001369"/>
      <w:bookmarkStart w:id="58" w:name="_Toc430180167"/>
      <w:bookmarkStart w:id="59" w:name="_Toc450320513"/>
      <w:bookmarkStart w:id="60" w:name="_Toc421023430"/>
      <w:r>
        <w:rPr>
          <w:rFonts w:hint="eastAsia" w:ascii="楷体" w:hAnsi="楷体" w:eastAsia="楷体" w:cs="楷体"/>
          <w:b/>
          <w:bCs/>
          <w:color w:val="auto"/>
          <w:szCs w:val="32"/>
        </w:rPr>
        <w:t>（</w:t>
      </w:r>
      <w:r>
        <w:rPr>
          <w:rFonts w:hint="eastAsia" w:ascii="楷体" w:hAnsi="楷体" w:eastAsia="楷体" w:cs="楷体"/>
          <w:b/>
          <w:bCs/>
          <w:color w:val="auto"/>
          <w:szCs w:val="32"/>
          <w:lang w:val="en-US" w:eastAsia="zh-CN"/>
        </w:rPr>
        <w:t>六</w:t>
      </w:r>
      <w:r>
        <w:rPr>
          <w:rFonts w:hint="eastAsia" w:ascii="楷体" w:hAnsi="楷体" w:eastAsia="楷体" w:cs="楷体"/>
          <w:b/>
          <w:bCs/>
          <w:color w:val="auto"/>
          <w:szCs w:val="32"/>
        </w:rPr>
        <w:t>）违约责任</w:t>
      </w:r>
      <w:bookmarkEnd w:id="54"/>
      <w:bookmarkEnd w:id="55"/>
      <w:bookmarkEnd w:id="56"/>
      <w:bookmarkEnd w:id="57"/>
      <w:bookmarkEnd w:id="58"/>
      <w:bookmarkEnd w:id="59"/>
      <w:bookmarkEnd w:id="60"/>
    </w:p>
    <w:p w14:paraId="4C71C217">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1.因成交供应商原因造成采购合同无法按时签订，视为成交供应商违约，成交供应商违约对采购人造成的损失的，需另行支付相应的赔偿。</w:t>
      </w:r>
    </w:p>
    <w:p w14:paraId="230C1945">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2.在签订采购合同之后，成交供应商要求解除合同的，视为成交供应商违约，对采购人造成的损失的，成交供应商需支付相应的赔偿。</w:t>
      </w:r>
    </w:p>
    <w:p w14:paraId="514E8ACD">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3.因成交供应商原因发生重大质量事故，除依约承担赔偿责任外，还将按有关管理办法规定执行。同时，采购人有权保留更换成交供应商的权利，并报相关行政主管部门处罚。</w:t>
      </w:r>
    </w:p>
    <w:p w14:paraId="7E13C1CF">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7D1114A8">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若成交供应商未能按合同规定的时间或双方另行确定的延期项目实施期限按时完成的(不可抗力除外)，每逾期一天，成交供应商应按项目金额的0.1%向采购人支付逾期的违约金。若成交供应商逾期达15天(含15天)以上的，采购人有权单方解除本合同，成交供应商应按项目总金额的30%支付违约金。若因此给采购人造成损失的，还应赔偿采购人所受的损失。</w:t>
      </w:r>
    </w:p>
    <w:p w14:paraId="62818771">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6.成交供应商擅自转包的，采购人有权解除合同，且成交供应商应向采购人支付合同总金额20%的违约金，对采购人造成的损失的，需另行支付相应的赔偿。</w:t>
      </w:r>
    </w:p>
    <w:p w14:paraId="5773028E">
      <w:pPr>
        <w:spacing w:line="514" w:lineRule="exact"/>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7.在明确违约责任后，成交供应商应在接到书面通知书起七天内支付违约金、赔偿金等。</w:t>
      </w:r>
    </w:p>
    <w:p w14:paraId="57779D80">
      <w:pPr>
        <w:spacing w:line="514" w:lineRule="exact"/>
        <w:ind w:firstLine="64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8.本次采购文件未明确的其它约定事项或条款，待采购人与成交供应商签订合同时，由双方协商订立。</w:t>
      </w:r>
      <w:bookmarkEnd w:id="36"/>
      <w:bookmarkEnd w:id="37"/>
      <w:bookmarkEnd w:id="38"/>
    </w:p>
    <w:p w14:paraId="5B14D64D">
      <w:pPr>
        <w:spacing w:line="514" w:lineRule="exact"/>
        <w:jc w:val="center"/>
        <w:rPr>
          <w:rFonts w:ascii="仿宋_GB2312" w:hAnsi="仿宋_GB2312" w:eastAsia="仿宋_GB2312" w:cs="仿宋_GB2312"/>
          <w:color w:val="auto"/>
          <w:szCs w:val="32"/>
        </w:rPr>
      </w:pPr>
    </w:p>
    <w:p w14:paraId="3623D8C9">
      <w:pPr>
        <w:spacing w:line="514" w:lineRule="exact"/>
        <w:jc w:val="center"/>
        <w:rPr>
          <w:rFonts w:hint="eastAsia" w:ascii="仿宋_GB2312" w:hAnsi="仿宋_GB2312" w:eastAsia="仿宋_GB2312" w:cs="仿宋_GB2312"/>
          <w:color w:val="auto"/>
          <w:szCs w:val="32"/>
        </w:rPr>
      </w:pPr>
    </w:p>
    <w:p w14:paraId="205DBA28">
      <w:pPr>
        <w:rPr>
          <w:rFonts w:hint="eastAsia" w:ascii="宋体" w:hAnsi="宋体" w:eastAsia="宋体"/>
          <w:b/>
          <w:color w:val="auto"/>
          <w:sz w:val="30"/>
          <w:szCs w:val="30"/>
        </w:rPr>
      </w:pPr>
      <w:r>
        <w:rPr>
          <w:rFonts w:hint="eastAsia" w:ascii="宋体" w:hAnsi="宋体" w:eastAsia="宋体"/>
          <w:b/>
          <w:color w:val="auto"/>
          <w:sz w:val="30"/>
          <w:szCs w:val="30"/>
        </w:rPr>
        <w:br w:type="page" w:clear="all"/>
      </w:r>
    </w:p>
    <w:p w14:paraId="7823E9A6">
      <w:pPr>
        <w:rPr>
          <w:rFonts w:hint="eastAsia" w:ascii="宋体" w:hAnsi="宋体" w:eastAsia="宋体"/>
          <w:b/>
          <w:color w:val="000000"/>
          <w:sz w:val="30"/>
          <w:szCs w:val="30"/>
        </w:rPr>
      </w:pPr>
    </w:p>
    <w:p w14:paraId="62172C4A">
      <w:pPr>
        <w:numPr>
          <w:ilvl w:val="0"/>
          <w:numId w:val="1"/>
        </w:numPr>
        <w:ind w:firstLine="5060"/>
        <w:rPr>
          <w:rFonts w:hint="eastAsia" w:ascii="宋体" w:hAnsi="宋体" w:eastAsia="宋体"/>
          <w:b/>
          <w:color w:val="000000"/>
          <w:sz w:val="36"/>
          <w:szCs w:val="36"/>
        </w:rPr>
      </w:pPr>
      <w:r>
        <w:rPr>
          <w:rFonts w:ascii="宋体" w:hAnsi="宋体" w:eastAsia="宋体"/>
          <w:b/>
          <w:color w:val="000000"/>
          <w:sz w:val="36"/>
          <w:szCs w:val="36"/>
        </w:rPr>
        <w:t>项目</w:t>
      </w:r>
      <w:r>
        <w:rPr>
          <w:rFonts w:hint="eastAsia" w:ascii="宋体" w:hAnsi="宋体" w:eastAsia="宋体"/>
          <w:b/>
          <w:color w:val="000000"/>
          <w:sz w:val="36"/>
          <w:szCs w:val="36"/>
        </w:rPr>
        <w:t>评分表</w:t>
      </w:r>
    </w:p>
    <w:p w14:paraId="53DD5252">
      <w:pPr>
        <w:numPr>
          <w:ilvl w:val="0"/>
          <w:numId w:val="0"/>
        </w:numPr>
        <w:rPr>
          <w:rFonts w:hint="eastAsia" w:ascii="宋体" w:hAnsi="宋体" w:eastAsia="宋体"/>
          <w:b/>
          <w:color w:val="000000"/>
          <w:sz w:val="36"/>
          <w:szCs w:val="36"/>
        </w:rPr>
      </w:pPr>
    </w:p>
    <w:tbl>
      <w:tblPr>
        <w:tblStyle w:val="29"/>
        <w:tblW w:w="123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67"/>
        <w:gridCol w:w="1656"/>
        <w:gridCol w:w="5961"/>
      </w:tblGrid>
      <w:tr w14:paraId="1BB15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atLeast"/>
        </w:trPr>
        <w:tc>
          <w:tcPr>
            <w:tcW w:w="12384" w:type="dxa"/>
            <w:gridSpan w:val="3"/>
            <w:noWrap w:val="0"/>
          </w:tcPr>
          <w:p w14:paraId="1A134555">
            <w:pPr>
              <w:pStyle w:val="184"/>
              <w:jc w:val="both"/>
              <w:rPr>
                <w:sz w:val="32"/>
                <w:szCs w:val="32"/>
              </w:rPr>
            </w:pPr>
            <w:r>
              <w:rPr>
                <w:rFonts w:hint="eastAsia"/>
                <w:b/>
                <w:sz w:val="32"/>
                <w:szCs w:val="32"/>
                <w:lang w:eastAsia="zh-CN"/>
              </w:rPr>
              <w:t>技术</w:t>
            </w:r>
            <w:r>
              <w:rPr>
                <w:b/>
                <w:sz w:val="32"/>
                <w:szCs w:val="32"/>
              </w:rPr>
              <w:t>项</w:t>
            </w:r>
            <w:r>
              <w:rPr>
                <w:rFonts w:hint="eastAsia"/>
                <w:b/>
                <w:sz w:val="32"/>
                <w:szCs w:val="32"/>
                <w:lang w:val="en-US" w:eastAsia="zh-CN"/>
              </w:rPr>
              <w:t xml:space="preserve">  </w:t>
            </w:r>
            <w:r>
              <w:rPr>
                <w:b/>
                <w:sz w:val="32"/>
                <w:szCs w:val="32"/>
              </w:rPr>
              <w:t>满分为</w:t>
            </w:r>
            <w:r>
              <w:rPr>
                <w:rFonts w:hint="eastAsia"/>
                <w:b/>
                <w:sz w:val="32"/>
                <w:szCs w:val="32"/>
                <w:lang w:val="en-US" w:eastAsia="zh-CN"/>
              </w:rPr>
              <w:t>60</w:t>
            </w:r>
            <w:r>
              <w:rPr>
                <w:b/>
                <w:sz w:val="32"/>
                <w:szCs w:val="32"/>
              </w:rPr>
              <w:t>.00分</w:t>
            </w:r>
          </w:p>
          <w:p w14:paraId="6C94FAD6">
            <w:pPr>
              <w:pStyle w:val="184"/>
              <w:jc w:val="both"/>
            </w:pPr>
          </w:p>
        </w:tc>
      </w:tr>
      <w:tr w14:paraId="0390E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6" w:hRule="atLeast"/>
        </w:trPr>
        <w:tc>
          <w:tcPr>
            <w:tcW w:w="4767" w:type="dxa"/>
            <w:noWrap w:val="0"/>
          </w:tcPr>
          <w:p w14:paraId="3840FF66">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项目</w:t>
            </w:r>
          </w:p>
        </w:tc>
        <w:tc>
          <w:tcPr>
            <w:tcW w:w="1656" w:type="dxa"/>
            <w:noWrap w:val="0"/>
          </w:tcPr>
          <w:p w14:paraId="53741256">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分值</w:t>
            </w:r>
          </w:p>
        </w:tc>
        <w:tc>
          <w:tcPr>
            <w:tcW w:w="5961" w:type="dxa"/>
            <w:noWrap w:val="0"/>
          </w:tcPr>
          <w:p w14:paraId="3BF441CB">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描述</w:t>
            </w:r>
          </w:p>
        </w:tc>
      </w:tr>
      <w:tr w14:paraId="063D9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3" w:hRule="atLeast"/>
        </w:trPr>
        <w:tc>
          <w:tcPr>
            <w:tcW w:w="4767" w:type="dxa"/>
            <w:noWrap w:val="0"/>
          </w:tcPr>
          <w:p w14:paraId="65AD6EB3">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技术服务要求响应情况</w:t>
            </w:r>
          </w:p>
        </w:tc>
        <w:tc>
          <w:tcPr>
            <w:tcW w:w="1656" w:type="dxa"/>
            <w:noWrap w:val="0"/>
          </w:tcPr>
          <w:p w14:paraId="22C0798F">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39</w:t>
            </w:r>
            <w:r>
              <w:rPr>
                <w:rFonts w:hint="eastAsia" w:ascii="仿宋_GB2312" w:hAnsi="仿宋_GB2312" w:eastAsia="仿宋_GB2312" w:cs="仿宋_GB2312"/>
                <w:szCs w:val="32"/>
              </w:rPr>
              <w:t>.00</w:t>
            </w:r>
          </w:p>
        </w:tc>
        <w:tc>
          <w:tcPr>
            <w:tcW w:w="5961" w:type="dxa"/>
            <w:noWrap w:val="0"/>
          </w:tcPr>
          <w:p w14:paraId="31A32014">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根据供应商对磋商文件“二、项目内容及具体要求”各项技术要求及服务要求的逐项应答情况并结合相关佐证材料（若有）进行评分：完全满足磋商文件要求得 39 分，每负偏离一项扣 3分；正偏离不加分。</w:t>
            </w:r>
          </w:p>
        </w:tc>
      </w:tr>
      <w:tr w14:paraId="388ED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7" w:hRule="atLeast"/>
        </w:trPr>
        <w:tc>
          <w:tcPr>
            <w:tcW w:w="4767" w:type="dxa"/>
            <w:noWrap w:val="0"/>
          </w:tcPr>
          <w:p w14:paraId="1AD557EC">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媒体推广方案</w:t>
            </w:r>
          </w:p>
        </w:tc>
        <w:tc>
          <w:tcPr>
            <w:tcW w:w="1656" w:type="dxa"/>
            <w:noWrap w:val="0"/>
          </w:tcPr>
          <w:p w14:paraId="55011B14">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3.00</w:t>
            </w:r>
          </w:p>
        </w:tc>
        <w:tc>
          <w:tcPr>
            <w:tcW w:w="5961" w:type="dxa"/>
            <w:noWrap w:val="0"/>
          </w:tcPr>
          <w:p w14:paraId="5B18C31F">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根据供应商提供的媒体宣传计划是否合理全面、能否最大程度满足项目需求，由评委进行评议：推广方案科学、合理、可行的得3分；推广方案较完善、创意性较好、但内容一般的得2分；推广方案安排不够合理性、创意性差、活动内容不太丰富的得1分，未提供本项不得分。</w:t>
            </w:r>
          </w:p>
        </w:tc>
      </w:tr>
      <w:tr w14:paraId="67B34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7" w:hRule="atLeast"/>
        </w:trPr>
        <w:tc>
          <w:tcPr>
            <w:tcW w:w="4767" w:type="dxa"/>
            <w:noWrap w:val="0"/>
          </w:tcPr>
          <w:p w14:paraId="29017676">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媒体资源</w:t>
            </w:r>
          </w:p>
        </w:tc>
        <w:tc>
          <w:tcPr>
            <w:tcW w:w="1656" w:type="dxa"/>
            <w:noWrap w:val="0"/>
          </w:tcPr>
          <w:p w14:paraId="3BE4B660">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3.00</w:t>
            </w:r>
          </w:p>
        </w:tc>
        <w:tc>
          <w:tcPr>
            <w:tcW w:w="5961" w:type="dxa"/>
            <w:noWrap w:val="0"/>
          </w:tcPr>
          <w:p w14:paraId="65468499">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根据投标人提供的媒体资源情况，在</w:t>
            </w:r>
            <w:r>
              <w:rPr>
                <w:rFonts w:hint="eastAsia" w:ascii="仿宋_GB2312" w:hAnsi="仿宋_GB2312" w:eastAsia="仿宋_GB2312" w:cs="仿宋_GB2312"/>
                <w:szCs w:val="32"/>
                <w:lang w:eastAsia="zh-CN"/>
              </w:rPr>
              <w:t>省</w:t>
            </w:r>
            <w:r>
              <w:rPr>
                <w:rFonts w:hint="eastAsia" w:ascii="仿宋_GB2312" w:hAnsi="仿宋_GB2312" w:eastAsia="仿宋_GB2312" w:cs="仿宋_GB2312"/>
                <w:szCs w:val="32"/>
              </w:rPr>
              <w:t>级</w:t>
            </w:r>
            <w:r>
              <w:rPr>
                <w:rFonts w:hint="eastAsia" w:ascii="仿宋_GB2312" w:hAnsi="仿宋_GB2312" w:eastAsia="仿宋_GB2312" w:cs="仿宋_GB2312"/>
                <w:szCs w:val="32"/>
                <w:lang w:eastAsia="zh-CN"/>
              </w:rPr>
              <w:t>及以上</w:t>
            </w:r>
            <w:r>
              <w:rPr>
                <w:rFonts w:hint="eastAsia" w:ascii="仿宋_GB2312" w:hAnsi="仿宋_GB2312" w:eastAsia="仿宋_GB2312" w:cs="仿宋_GB2312"/>
                <w:szCs w:val="32"/>
              </w:rPr>
              <w:t>主流媒体的网站、官微上进行推广</w:t>
            </w:r>
            <w:r>
              <w:rPr>
                <w:rFonts w:hint="eastAsia" w:ascii="仿宋_GB2312" w:hAnsi="仿宋_GB2312" w:eastAsia="仿宋_GB2312" w:cs="仿宋_GB2312"/>
                <w:szCs w:val="32"/>
                <w:lang w:eastAsia="zh-CN"/>
              </w:rPr>
              <w:t>，在</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lang w:eastAsia="zh-CN"/>
              </w:rPr>
              <w:t>家及以上</w:t>
            </w:r>
            <w:r>
              <w:rPr>
                <w:rFonts w:hint="eastAsia" w:ascii="仿宋_GB2312" w:hAnsi="仿宋_GB2312" w:eastAsia="仿宋_GB2312" w:cs="仿宋_GB2312"/>
                <w:szCs w:val="32"/>
              </w:rPr>
              <w:t>媒体平台</w:t>
            </w:r>
            <w:r>
              <w:rPr>
                <w:rFonts w:hint="eastAsia" w:ascii="仿宋_GB2312" w:hAnsi="仿宋_GB2312" w:eastAsia="仿宋_GB2312" w:cs="仿宋_GB2312"/>
                <w:szCs w:val="32"/>
                <w:lang w:eastAsia="zh-CN"/>
              </w:rPr>
              <w:t>进行推广</w:t>
            </w:r>
            <w:r>
              <w:rPr>
                <w:rFonts w:hint="eastAsia" w:ascii="仿宋_GB2312" w:hAnsi="仿宋_GB2312" w:eastAsia="仿宋_GB2312" w:cs="仿宋_GB2312"/>
                <w:szCs w:val="32"/>
              </w:rPr>
              <w:t>得</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分，</w:t>
            </w:r>
            <w:r>
              <w:rPr>
                <w:rFonts w:hint="eastAsia" w:ascii="仿宋_GB2312" w:hAnsi="仿宋_GB2312" w:eastAsia="仿宋_GB2312" w:cs="仿宋_GB2312"/>
                <w:szCs w:val="32"/>
                <w:lang w:eastAsia="zh-CN"/>
              </w:rPr>
              <w:t>在</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家</w:t>
            </w:r>
            <w:r>
              <w:rPr>
                <w:rFonts w:hint="eastAsia" w:ascii="仿宋_GB2312" w:hAnsi="仿宋_GB2312" w:eastAsia="仿宋_GB2312" w:cs="仿宋_GB2312"/>
                <w:szCs w:val="32"/>
              </w:rPr>
              <w:t>媒体平台</w:t>
            </w:r>
            <w:r>
              <w:rPr>
                <w:rFonts w:hint="eastAsia" w:ascii="仿宋_GB2312" w:hAnsi="仿宋_GB2312" w:eastAsia="仿宋_GB2312" w:cs="仿宋_GB2312"/>
                <w:szCs w:val="32"/>
                <w:lang w:eastAsia="zh-CN"/>
              </w:rPr>
              <w:t>进行推广</w:t>
            </w:r>
            <w:r>
              <w:rPr>
                <w:rFonts w:hint="eastAsia" w:ascii="仿宋_GB2312" w:hAnsi="仿宋_GB2312" w:eastAsia="仿宋_GB2312" w:cs="仿宋_GB2312"/>
                <w:szCs w:val="32"/>
              </w:rPr>
              <w:t>得</w:t>
            </w:r>
            <w:r>
              <w:rPr>
                <w:rFonts w:hint="eastAsia" w:ascii="仿宋_GB2312" w:hAnsi="仿宋_GB2312" w:eastAsia="仿宋_GB2312" w:cs="仿宋_GB2312"/>
                <w:szCs w:val="32"/>
                <w:lang w:val="en-US" w:eastAsia="zh-CN"/>
              </w:rPr>
              <w:t>1.5</w:t>
            </w:r>
            <w:r>
              <w:rPr>
                <w:rFonts w:hint="eastAsia" w:ascii="仿宋_GB2312" w:hAnsi="仿宋_GB2312" w:eastAsia="仿宋_GB2312" w:cs="仿宋_GB2312"/>
                <w:szCs w:val="32"/>
              </w:rPr>
              <w:t>分，</w:t>
            </w:r>
            <w:r>
              <w:rPr>
                <w:rFonts w:hint="eastAsia" w:ascii="仿宋_GB2312" w:hAnsi="仿宋_GB2312" w:eastAsia="仿宋_GB2312" w:cs="仿宋_GB2312"/>
                <w:szCs w:val="32"/>
                <w:lang w:eastAsia="zh-CN"/>
              </w:rPr>
              <w:t>在</w:t>
            </w:r>
            <w:r>
              <w:rPr>
                <w:rFonts w:hint="eastAsia" w:ascii="仿宋_GB2312" w:hAnsi="仿宋_GB2312" w:eastAsia="仿宋_GB2312" w:cs="仿宋_GB2312"/>
                <w:szCs w:val="32"/>
                <w:lang w:val="en-US" w:eastAsia="zh-CN"/>
              </w:rPr>
              <w:t>1家媒体平台进行推广得0.5分，</w:t>
            </w:r>
            <w:r>
              <w:rPr>
                <w:rFonts w:hint="eastAsia" w:ascii="仿宋_GB2312" w:hAnsi="仿宋_GB2312" w:eastAsia="仿宋_GB2312" w:cs="仿宋_GB2312"/>
                <w:szCs w:val="32"/>
                <w:lang w:eastAsia="zh-CN"/>
              </w:rPr>
              <w:t>未提供的不得分，</w:t>
            </w:r>
            <w:r>
              <w:rPr>
                <w:rFonts w:hint="eastAsia" w:ascii="仿宋_GB2312" w:hAnsi="仿宋_GB2312" w:eastAsia="仿宋_GB2312" w:cs="仿宋_GB2312"/>
                <w:szCs w:val="32"/>
              </w:rPr>
              <w:t>满分</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分。须提供</w:t>
            </w:r>
            <w:r>
              <w:rPr>
                <w:rFonts w:hint="eastAsia" w:ascii="仿宋_GB2312" w:hAnsi="仿宋_GB2312" w:eastAsia="仿宋_GB2312" w:cs="仿宋_GB2312"/>
                <w:szCs w:val="32"/>
                <w:lang w:eastAsia="zh-CN"/>
              </w:rPr>
              <w:t>省级及以上</w:t>
            </w:r>
            <w:r>
              <w:rPr>
                <w:rFonts w:hint="eastAsia" w:ascii="仿宋_GB2312" w:hAnsi="仿宋_GB2312" w:eastAsia="仿宋_GB2312" w:cs="仿宋_GB2312"/>
                <w:szCs w:val="32"/>
              </w:rPr>
              <w:t>媒体平台</w:t>
            </w:r>
            <w:r>
              <w:rPr>
                <w:rFonts w:hint="eastAsia" w:ascii="仿宋_GB2312" w:hAnsi="仿宋_GB2312" w:eastAsia="仿宋_GB2312" w:cs="仿宋_GB2312"/>
                <w:szCs w:val="32"/>
                <w:lang w:eastAsia="zh-CN"/>
              </w:rPr>
              <w:t>推广</w:t>
            </w:r>
            <w:r>
              <w:rPr>
                <w:rFonts w:hint="eastAsia" w:ascii="仿宋_GB2312" w:hAnsi="仿宋_GB2312" w:eastAsia="仿宋_GB2312" w:cs="仿宋_GB2312"/>
                <w:szCs w:val="32"/>
              </w:rPr>
              <w:t>合作</w:t>
            </w:r>
            <w:r>
              <w:rPr>
                <w:rFonts w:hint="eastAsia" w:ascii="仿宋_GB2312" w:hAnsi="仿宋_GB2312" w:eastAsia="仿宋_GB2312" w:cs="仿宋_GB2312"/>
                <w:szCs w:val="32"/>
                <w:lang w:eastAsia="zh-CN"/>
              </w:rPr>
              <w:t>案例</w:t>
            </w:r>
            <w:r>
              <w:rPr>
                <w:rFonts w:hint="eastAsia" w:ascii="仿宋_GB2312" w:hAnsi="仿宋_GB2312" w:eastAsia="仿宋_GB2312" w:cs="仿宋_GB2312"/>
                <w:szCs w:val="32"/>
              </w:rPr>
              <w:t>，未提供或不符合媒体要求的不得分。</w:t>
            </w:r>
          </w:p>
        </w:tc>
      </w:tr>
      <w:tr w14:paraId="00398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5" w:hRule="atLeast"/>
        </w:trPr>
        <w:tc>
          <w:tcPr>
            <w:tcW w:w="4767" w:type="dxa"/>
            <w:noWrap w:val="0"/>
          </w:tcPr>
          <w:p w14:paraId="002001F6">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应急处理预案及舆情监督方案</w:t>
            </w:r>
          </w:p>
        </w:tc>
        <w:tc>
          <w:tcPr>
            <w:tcW w:w="1656" w:type="dxa"/>
            <w:noWrap w:val="0"/>
          </w:tcPr>
          <w:p w14:paraId="15B4D8A1">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3.00</w:t>
            </w:r>
          </w:p>
        </w:tc>
        <w:tc>
          <w:tcPr>
            <w:tcW w:w="5961" w:type="dxa"/>
            <w:noWrap w:val="0"/>
          </w:tcPr>
          <w:p w14:paraId="4A86EFBB">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根据各投标人所提供的各类事件的应急处理预案及舆情监督方案是否能有效规避负面舆情影响情况，由评委进行打分：方案详细周全，措施到位且能很好</w:t>
            </w:r>
            <w:r>
              <w:rPr>
                <w:rFonts w:hint="eastAsia" w:ascii="仿宋_GB2312" w:hAnsi="仿宋_GB2312" w:eastAsia="仿宋_GB2312" w:cs="仿宋_GB2312"/>
                <w:szCs w:val="32"/>
                <w:lang w:val="en-US" w:eastAsia="zh-CN"/>
              </w:rPr>
              <w:t>地</w:t>
            </w:r>
            <w:bookmarkStart w:id="61" w:name="_GoBack"/>
            <w:bookmarkEnd w:id="61"/>
            <w:r>
              <w:rPr>
                <w:rFonts w:hint="eastAsia" w:ascii="仿宋_GB2312" w:hAnsi="仿宋_GB2312" w:eastAsia="仿宋_GB2312" w:cs="仿宋_GB2312"/>
                <w:szCs w:val="32"/>
              </w:rPr>
              <w:t>有效规避负面舆情影响、确保所提供的服务满足现实服务需求的得3分；方案较为周全且措施力度且能较好的规避负面舆情影响、满足现实服务需求的得2分；方案有所欠缺或措施力度一般但能基本能规避负面舆情影响、满足现实服务需求的得1分；方案明显不符合本项目或缺乏实质性内容或未提供的不得分。</w:t>
            </w:r>
          </w:p>
        </w:tc>
      </w:tr>
      <w:tr w14:paraId="5FE8F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99" w:hRule="atLeast"/>
        </w:trPr>
        <w:tc>
          <w:tcPr>
            <w:tcW w:w="4767" w:type="dxa"/>
            <w:noWrap w:val="0"/>
          </w:tcPr>
          <w:p w14:paraId="3F9BFB6D">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项目质量承诺和保障措施</w:t>
            </w:r>
          </w:p>
        </w:tc>
        <w:tc>
          <w:tcPr>
            <w:tcW w:w="1656" w:type="dxa"/>
            <w:noWrap w:val="0"/>
          </w:tcPr>
          <w:p w14:paraId="546B9AE9">
            <w:pPr>
              <w:spacing w:line="514"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3.00</w:t>
            </w:r>
          </w:p>
        </w:tc>
        <w:tc>
          <w:tcPr>
            <w:tcW w:w="5961" w:type="dxa"/>
            <w:noWrap w:val="0"/>
          </w:tcPr>
          <w:p w14:paraId="3CFE7667">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rPr>
              <w:t>根据投标人针对本项目完成质量的承诺及保障措施情况，由评委进行打分：整体方案完整且合理可行能很</w:t>
            </w:r>
            <w:r>
              <w:rPr>
                <w:rFonts w:hint="eastAsia" w:ascii="仿宋_GB2312" w:hAnsi="仿宋_GB2312" w:eastAsia="仿宋_GB2312" w:cs="仿宋_GB2312"/>
                <w:szCs w:val="32"/>
                <w:lang w:eastAsia="zh-CN"/>
              </w:rPr>
              <w:t>好地确保</w:t>
            </w:r>
            <w:r>
              <w:rPr>
                <w:rFonts w:hint="eastAsia" w:ascii="仿宋_GB2312" w:hAnsi="仿宋_GB2312" w:eastAsia="仿宋_GB2312" w:cs="仿宋_GB2312"/>
                <w:szCs w:val="32"/>
              </w:rPr>
              <w:t>所提供的服务满足现实服务需求的得3分；整体方案较完整、较为合理可行能满足现实服务需求的得2分；整体方案简略粗糙或具体措施力度一般但能满足现实服务需求的得1分；方案明显不符合本项目或缺乏实质性内容或未提供的不得分。</w:t>
            </w:r>
          </w:p>
        </w:tc>
      </w:tr>
      <w:tr w14:paraId="469EE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2" w:hRule="atLeast"/>
        </w:trPr>
        <w:tc>
          <w:tcPr>
            <w:tcW w:w="4767" w:type="dxa"/>
            <w:shd w:val="clear" w:color="auto" w:fill="auto"/>
            <w:noWrap w:val="0"/>
            <w:vAlign w:val="top"/>
          </w:tcPr>
          <w:p w14:paraId="13E8C83B">
            <w:pPr>
              <w:spacing w:line="514" w:lineRule="exact"/>
              <w:rPr>
                <w:rFonts w:hint="eastAsia" w:ascii="仿宋_GB2312" w:hAnsi="仿宋_GB2312" w:eastAsia="仿宋_GB2312" w:cs="仿宋_GB2312"/>
                <w:szCs w:val="32"/>
                <w:lang w:val="en-US" w:eastAsia="zh-Hans"/>
              </w:rPr>
            </w:pPr>
            <w:r>
              <w:rPr>
                <w:rFonts w:hint="eastAsia" w:ascii="仿宋_GB2312" w:hAnsi="仿宋_GB2312" w:eastAsia="仿宋_GB2312" w:cs="仿宋_GB2312"/>
                <w:szCs w:val="32"/>
              </w:rPr>
              <w:t>服务响应承诺</w:t>
            </w:r>
          </w:p>
        </w:tc>
        <w:tc>
          <w:tcPr>
            <w:tcW w:w="1656" w:type="dxa"/>
            <w:shd w:val="clear" w:color="auto" w:fill="auto"/>
            <w:noWrap w:val="0"/>
            <w:vAlign w:val="top"/>
          </w:tcPr>
          <w:p w14:paraId="1643F6A8">
            <w:pPr>
              <w:spacing w:line="514" w:lineRule="exact"/>
              <w:ind w:firstLine="640"/>
              <w:rPr>
                <w:rFonts w:hint="eastAsia" w:ascii="仿宋_GB2312" w:hAnsi="仿宋_GB2312" w:eastAsia="仿宋_GB2312" w:cs="仿宋_GB2312"/>
                <w:szCs w:val="32"/>
                <w:lang w:val="en-US" w:eastAsia="zh-Hans"/>
              </w:rPr>
            </w:pPr>
            <w:r>
              <w:rPr>
                <w:rFonts w:hint="eastAsia" w:ascii="仿宋_GB2312" w:hAnsi="仿宋_GB2312" w:eastAsia="仿宋_GB2312" w:cs="仿宋_GB2312"/>
                <w:szCs w:val="32"/>
              </w:rPr>
              <w:t>3.00</w:t>
            </w:r>
          </w:p>
        </w:tc>
        <w:tc>
          <w:tcPr>
            <w:tcW w:w="5961" w:type="dxa"/>
            <w:shd w:val="clear" w:color="auto" w:fill="auto"/>
            <w:noWrap w:val="0"/>
            <w:vAlign w:val="top"/>
          </w:tcPr>
          <w:p w14:paraId="7EC34413">
            <w:pPr>
              <w:spacing w:line="514" w:lineRule="exact"/>
              <w:rPr>
                <w:rFonts w:hint="eastAsia" w:ascii="仿宋_GB2312" w:hAnsi="仿宋_GB2312" w:eastAsia="仿宋_GB2312" w:cs="仿宋_GB2312"/>
                <w:szCs w:val="32"/>
                <w:lang w:val="en-US" w:eastAsia="zh-Hans"/>
              </w:rPr>
            </w:pPr>
            <w:r>
              <w:rPr>
                <w:rFonts w:hint="eastAsia" w:ascii="仿宋_GB2312" w:hAnsi="仿宋_GB2312" w:eastAsia="仿宋_GB2312" w:cs="仿宋_GB2312"/>
                <w:szCs w:val="32"/>
              </w:rPr>
              <w:t>根据投标人接到采购人应急事件通知的响应时间承诺进行评分：响应时间＜30分钟的得3分，30分钟≤响应时间＜45分钟的得2分，45分钟≤响应时间≤1小时得1分，响应时间＞1小时的不得分（响应时间接到接到采购人应急事件通知到指派专人到达采购人地址所需时间）。</w:t>
            </w:r>
          </w:p>
        </w:tc>
      </w:tr>
      <w:tr w14:paraId="1D83C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2" w:hRule="atLeast"/>
        </w:trPr>
        <w:tc>
          <w:tcPr>
            <w:tcW w:w="4767" w:type="dxa"/>
            <w:shd w:val="clear" w:color="auto" w:fill="auto"/>
            <w:noWrap w:val="0"/>
            <w:vAlign w:val="top"/>
          </w:tcPr>
          <w:p w14:paraId="378CD139">
            <w:pPr>
              <w:spacing w:line="514" w:lineRule="exact"/>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内容发布</w:t>
            </w:r>
            <w:r>
              <w:rPr>
                <w:rFonts w:hint="eastAsia" w:ascii="仿宋_GB2312" w:hAnsi="仿宋_GB2312" w:eastAsia="仿宋_GB2312" w:cs="仿宋_GB2312"/>
                <w:szCs w:val="32"/>
                <w:lang w:eastAsia="zh-CN"/>
              </w:rPr>
              <w:t>管理方案</w:t>
            </w:r>
          </w:p>
        </w:tc>
        <w:tc>
          <w:tcPr>
            <w:tcW w:w="1656" w:type="dxa"/>
            <w:shd w:val="clear" w:color="auto" w:fill="auto"/>
            <w:noWrap w:val="0"/>
            <w:vAlign w:val="top"/>
          </w:tcPr>
          <w:p w14:paraId="55D9D74F">
            <w:pPr>
              <w:spacing w:line="514"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61" w:type="dxa"/>
            <w:shd w:val="clear" w:color="auto" w:fill="auto"/>
            <w:noWrap w:val="0"/>
            <w:vAlign w:val="top"/>
          </w:tcPr>
          <w:p w14:paraId="15BC9D5A">
            <w:pPr>
              <w:spacing w:line="514" w:lineRule="exact"/>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根据供应商针对本项目制定媒体内容采编发布“三审制”和“三校一读”管理办法，方案科学、合理、可操作性强的得3分；内容较具体或部分可操作性强的得2分；描述简单或可操作性不强的得1分；未提供的不得分。</w:t>
            </w:r>
          </w:p>
        </w:tc>
      </w:tr>
      <w:tr w14:paraId="19F8A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2" w:hRule="atLeast"/>
        </w:trPr>
        <w:tc>
          <w:tcPr>
            <w:tcW w:w="4767" w:type="dxa"/>
            <w:shd w:val="clear" w:color="auto" w:fill="auto"/>
            <w:noWrap w:val="0"/>
            <w:vAlign w:val="center"/>
          </w:tcPr>
          <w:p w14:paraId="5B8BE1CE">
            <w:pPr>
              <w:spacing w:line="514" w:lineRule="exact"/>
              <w:rPr>
                <w:rFonts w:hint="default" w:ascii="仿宋_GB2312" w:hAnsi="仿宋_GB2312" w:eastAsia="仿宋_GB2312" w:cs="仿宋_GB2312"/>
                <w:color w:val="FF0000"/>
                <w:szCs w:val="32"/>
                <w:lang w:val="en-US" w:eastAsia="zh-CN"/>
              </w:rPr>
            </w:pPr>
            <w:r>
              <w:rPr>
                <w:rFonts w:hint="eastAsia" w:ascii="仿宋_GB2312" w:hAnsi="仿宋_GB2312" w:eastAsia="仿宋_GB2312" w:cs="仿宋_GB2312"/>
                <w:szCs w:val="32"/>
                <w:lang w:val="en-US" w:eastAsia="zh-CN"/>
              </w:rPr>
              <w:t>项目保密承诺</w:t>
            </w:r>
          </w:p>
        </w:tc>
        <w:tc>
          <w:tcPr>
            <w:tcW w:w="1656" w:type="dxa"/>
            <w:shd w:val="clear" w:color="auto" w:fill="auto"/>
            <w:noWrap w:val="0"/>
            <w:vAlign w:val="center"/>
          </w:tcPr>
          <w:p w14:paraId="5BCDAAAB">
            <w:pPr>
              <w:spacing w:line="514" w:lineRule="exact"/>
              <w:ind w:firstLine="640"/>
              <w:rPr>
                <w:rFonts w:hint="default" w:ascii="仿宋_GB2312" w:hAnsi="仿宋_GB2312" w:eastAsia="仿宋_GB2312" w:cs="仿宋_GB2312"/>
                <w:color w:val="FF0000"/>
                <w:szCs w:val="32"/>
                <w:lang w:val="en-US" w:eastAsia="zh-CN"/>
              </w:rPr>
            </w:pPr>
            <w:r>
              <w:rPr>
                <w:rFonts w:hint="eastAsia" w:ascii="仿宋_GB2312" w:hAnsi="仿宋_GB2312" w:eastAsia="仿宋_GB2312" w:cs="仿宋_GB2312"/>
                <w:szCs w:val="32"/>
                <w:lang w:val="en-US" w:eastAsia="zh-CN"/>
              </w:rPr>
              <w:t>3.00</w:t>
            </w:r>
          </w:p>
        </w:tc>
        <w:tc>
          <w:tcPr>
            <w:tcW w:w="5961" w:type="dxa"/>
            <w:shd w:val="clear" w:color="auto" w:fill="auto"/>
            <w:noWrap w:val="0"/>
            <w:vAlign w:val="center"/>
          </w:tcPr>
          <w:p w14:paraId="6BDE56C6">
            <w:pPr>
              <w:spacing w:line="514" w:lineRule="exact"/>
              <w:ind w:firstLine="640"/>
              <w:rPr>
                <w:rFonts w:hint="eastAsia" w:ascii="仿宋_GB2312" w:hAnsi="仿宋_GB2312" w:eastAsia="仿宋_GB2312" w:cs="仿宋_GB2312"/>
                <w:color w:val="FF0000"/>
                <w:szCs w:val="32"/>
                <w:lang w:val="en-US" w:eastAsia="zh-CN"/>
              </w:rPr>
            </w:pPr>
            <w:r>
              <w:rPr>
                <w:rFonts w:hint="eastAsia" w:ascii="仿宋_GB2312" w:hAnsi="仿宋_GB2312" w:eastAsia="仿宋_GB2312" w:cs="仿宋_GB2312"/>
                <w:szCs w:val="32"/>
                <w:lang w:val="en-US" w:eastAsia="zh-CN"/>
              </w:rPr>
              <w:t>供应商承诺为保证信息安全，为本项目配备专项项目管理人员得3分，须提供书面承诺，格式自拟，未提供不得分。</w:t>
            </w:r>
          </w:p>
        </w:tc>
      </w:tr>
    </w:tbl>
    <w:p w14:paraId="7A159948">
      <w:pPr>
        <w:pStyle w:val="184"/>
        <w:jc w:val="both"/>
        <w:rPr>
          <w:b/>
          <w:color w:val="auto"/>
          <w:sz w:val="32"/>
          <w:szCs w:val="32"/>
        </w:rPr>
      </w:pPr>
    </w:p>
    <w:p w14:paraId="077FD936">
      <w:pPr>
        <w:pStyle w:val="184"/>
        <w:jc w:val="both"/>
        <w:rPr>
          <w:b/>
          <w:color w:val="auto"/>
          <w:sz w:val="32"/>
          <w:szCs w:val="32"/>
        </w:rPr>
      </w:pPr>
    </w:p>
    <w:p w14:paraId="605AD434">
      <w:pPr>
        <w:pStyle w:val="184"/>
        <w:jc w:val="both"/>
        <w:rPr>
          <w:color w:val="auto"/>
          <w:sz w:val="32"/>
          <w:szCs w:val="32"/>
        </w:rPr>
      </w:pPr>
      <w:r>
        <w:rPr>
          <w:b/>
          <w:color w:val="auto"/>
          <w:sz w:val="32"/>
          <w:szCs w:val="32"/>
        </w:rPr>
        <w:t>商务项（F3×A3）满分为</w:t>
      </w:r>
      <w:r>
        <w:rPr>
          <w:rFonts w:hint="eastAsia"/>
          <w:b/>
          <w:color w:val="auto"/>
          <w:sz w:val="32"/>
          <w:szCs w:val="32"/>
          <w:lang w:val="en-US" w:eastAsia="zh-CN"/>
        </w:rPr>
        <w:t>30</w:t>
      </w:r>
      <w:r>
        <w:rPr>
          <w:b/>
          <w:color w:val="auto"/>
          <w:sz w:val="32"/>
          <w:szCs w:val="32"/>
        </w:rPr>
        <w:t>.00分</w:t>
      </w:r>
    </w:p>
    <w:tbl>
      <w:tblPr>
        <w:tblStyle w:val="29"/>
        <w:tblW w:w="122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83"/>
        <w:gridCol w:w="1496"/>
        <w:gridCol w:w="5980"/>
      </w:tblGrid>
      <w:tr w14:paraId="289A3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3" w:hRule="atLeast"/>
        </w:trPr>
        <w:tc>
          <w:tcPr>
            <w:tcW w:w="4783" w:type="dxa"/>
            <w:noWrap w:val="0"/>
          </w:tcPr>
          <w:p w14:paraId="5A4FE79D">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项目</w:t>
            </w:r>
          </w:p>
        </w:tc>
        <w:tc>
          <w:tcPr>
            <w:tcW w:w="1496" w:type="dxa"/>
            <w:noWrap w:val="0"/>
          </w:tcPr>
          <w:p w14:paraId="259977C5">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分值</w:t>
            </w:r>
          </w:p>
        </w:tc>
        <w:tc>
          <w:tcPr>
            <w:tcW w:w="5980" w:type="dxa"/>
            <w:noWrap w:val="0"/>
          </w:tcPr>
          <w:p w14:paraId="0438A64C">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描述</w:t>
            </w:r>
          </w:p>
        </w:tc>
      </w:tr>
      <w:tr w14:paraId="173FC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4" w:hRule="atLeast"/>
        </w:trPr>
        <w:tc>
          <w:tcPr>
            <w:tcW w:w="4783" w:type="dxa"/>
            <w:noWrap w:val="0"/>
          </w:tcPr>
          <w:p w14:paraId="6504D9A7">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项目团队</w:t>
            </w:r>
          </w:p>
        </w:tc>
        <w:tc>
          <w:tcPr>
            <w:tcW w:w="1496" w:type="dxa"/>
            <w:noWrap w:val="0"/>
          </w:tcPr>
          <w:p w14:paraId="294FBF2A">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5175CD95">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投标人投入的服务团队具备采编资格证或记者证，每提供一本得1分，满分3分。需提供相关证书复印件、身份证复印件及提供提交响应文件截止时间前六个月（不含提交响应文件截止时间的当月）中任一月份供应商为缴纳的社会保障资金缴纳凭据复印件，未提供或提供不完整不得分。</w:t>
            </w:r>
          </w:p>
        </w:tc>
      </w:tr>
      <w:tr w14:paraId="41093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0" w:hRule="atLeast"/>
        </w:trPr>
        <w:tc>
          <w:tcPr>
            <w:tcW w:w="4783" w:type="dxa"/>
            <w:noWrap w:val="0"/>
          </w:tcPr>
          <w:p w14:paraId="2817F13B">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项目负责人</w:t>
            </w:r>
          </w:p>
        </w:tc>
        <w:tc>
          <w:tcPr>
            <w:tcW w:w="1496" w:type="dxa"/>
            <w:noWrap w:val="0"/>
          </w:tcPr>
          <w:p w14:paraId="46CC3BD7">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10AC9F05">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投标人拟为本项目拟配置项目负责人，具有汉语言文学、新闻学、传播学、编导等相关专业大学本科及以上学历，具有5年以上宣传工作经验（提供个人简历），且具备中级职称的，都不具备以上条件不得分。需提供相关人员学历证书、职称证书或职称证明文件及身份证等复印件，提供不全的本项不得分。以及响应截止日期前6个月内任3个月（不含响应截止时间当月）供应商为其缴纳社保的证明材料复印件，得3分。未提供或提供不全的本项不得分。</w:t>
            </w:r>
          </w:p>
        </w:tc>
      </w:tr>
      <w:tr w14:paraId="07FBF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6" w:hRule="atLeast"/>
        </w:trPr>
        <w:tc>
          <w:tcPr>
            <w:tcW w:w="4783" w:type="dxa"/>
            <w:noWrap w:val="0"/>
          </w:tcPr>
          <w:p w14:paraId="6CFB588D">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人员配备</w:t>
            </w:r>
          </w:p>
        </w:tc>
        <w:tc>
          <w:tcPr>
            <w:tcW w:w="1496" w:type="dxa"/>
            <w:noWrap w:val="0"/>
          </w:tcPr>
          <w:p w14:paraId="7F0A2D50">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5063199C">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投标人投入的服务团队具备采编类高级职称，每提供一本得2分，中级职称每提供一本得1分，满分3分。需提供技术专业证书复印件或相关证明文件。未按上述要求提供证明材料或所提供的证明材料无法明确体现、佐证以上内容的不得分。</w:t>
            </w:r>
          </w:p>
        </w:tc>
      </w:tr>
      <w:tr w14:paraId="07A83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9" w:hRule="atLeast"/>
        </w:trPr>
        <w:tc>
          <w:tcPr>
            <w:tcW w:w="4783" w:type="dxa"/>
            <w:noWrap w:val="0"/>
          </w:tcPr>
          <w:p w14:paraId="5897D9E7">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综合实力1</w:t>
            </w:r>
          </w:p>
        </w:tc>
        <w:tc>
          <w:tcPr>
            <w:tcW w:w="1496" w:type="dxa"/>
            <w:noWrap w:val="0"/>
          </w:tcPr>
          <w:p w14:paraId="33541E84">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1CF5AD70">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供应商具有中央媒体资质的得3分，具有省级媒体资质的得2分，具有市级媒体资质的得1分，需提供有效期内的证明材料。未提供的不得分。</w:t>
            </w:r>
          </w:p>
        </w:tc>
      </w:tr>
      <w:tr w14:paraId="506FF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9" w:hRule="atLeast"/>
        </w:trPr>
        <w:tc>
          <w:tcPr>
            <w:tcW w:w="4783" w:type="dxa"/>
            <w:noWrap w:val="0"/>
          </w:tcPr>
          <w:p w14:paraId="1EF94727">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综合实力2</w:t>
            </w:r>
          </w:p>
        </w:tc>
        <w:tc>
          <w:tcPr>
            <w:tcW w:w="1496" w:type="dxa"/>
            <w:noWrap w:val="0"/>
          </w:tcPr>
          <w:p w14:paraId="5D6937DB">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7C817E27">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供应商具有互联网新闻信息服务单位许可信息资质、信息网络传播视听节目许可证或所属新闻单位信息网络传播视听节目许可证。提供有效期内的证书复印件。未提供的不得分。</w:t>
            </w:r>
          </w:p>
        </w:tc>
      </w:tr>
      <w:tr w14:paraId="0EEA1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6" w:hRule="atLeast"/>
        </w:trPr>
        <w:tc>
          <w:tcPr>
            <w:tcW w:w="4783" w:type="dxa"/>
            <w:noWrap w:val="0"/>
          </w:tcPr>
          <w:p w14:paraId="7F07FF99">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作品案例1</w:t>
            </w:r>
          </w:p>
        </w:tc>
        <w:tc>
          <w:tcPr>
            <w:tcW w:w="1496" w:type="dxa"/>
            <w:noWrap w:val="0"/>
          </w:tcPr>
          <w:p w14:paraId="43868F73">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33D4E760">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拟投入本项目的团队人员在CN刊物上公开发表的文章，每提供3篇文章得1份，满分3分。需提供相关刊物复印件（刊物封面、文章内容页）及报价截止时间前6个月任一月（不含投标截止时间当月）投标人为其缴纳的社保证明材料并加盖投标人公章，否则不得分。</w:t>
            </w:r>
          </w:p>
        </w:tc>
      </w:tr>
      <w:tr w14:paraId="48F06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7" w:hRule="atLeast"/>
        </w:trPr>
        <w:tc>
          <w:tcPr>
            <w:tcW w:w="4783" w:type="dxa"/>
            <w:noWrap w:val="0"/>
          </w:tcPr>
          <w:p w14:paraId="47051379">
            <w:pPr>
              <w:spacing w:line="514"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获奖情况1</w:t>
            </w:r>
          </w:p>
        </w:tc>
        <w:tc>
          <w:tcPr>
            <w:tcW w:w="1496" w:type="dxa"/>
            <w:noWrap w:val="0"/>
          </w:tcPr>
          <w:p w14:paraId="6CB97569">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06323C88">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根据供应商提供的制作团队或主创人员获奖情况（新闻类奖项作品），由磋商小组进行评分：获得省级及以上新闻类奖项作品，每提供1份得1分，满分3分。须提供获奖证书复印件，未提供不得分。</w:t>
            </w:r>
          </w:p>
        </w:tc>
      </w:tr>
      <w:tr w14:paraId="66BB5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7" w:hRule="atLeast"/>
        </w:trPr>
        <w:tc>
          <w:tcPr>
            <w:tcW w:w="4783" w:type="dxa"/>
            <w:noWrap w:val="0"/>
          </w:tcPr>
          <w:p w14:paraId="20438E3C">
            <w:pPr>
              <w:spacing w:line="514"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获奖情况2</w:t>
            </w:r>
          </w:p>
        </w:tc>
        <w:tc>
          <w:tcPr>
            <w:tcW w:w="1496" w:type="dxa"/>
            <w:noWrap w:val="0"/>
          </w:tcPr>
          <w:p w14:paraId="0049E8C7">
            <w:pPr>
              <w:spacing w:line="514"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tcPr>
          <w:p w14:paraId="726EF776">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根据供应商提供的视频类作品的获奖情况，由磋商小组进行评分：制作作品获得全国性视频类奖项的得3分；省级视频类奖项的得2分；市级视频类奖项的得1分，满分3分。须提供获奖证书及相关证明（如该作品为委托制作的，则还须提供委托制作的合同复印件），未提供或不符合要求的本项不得分。</w:t>
            </w:r>
          </w:p>
        </w:tc>
      </w:tr>
      <w:tr w14:paraId="4D63A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6" w:hRule="atLeast"/>
        </w:trPr>
        <w:tc>
          <w:tcPr>
            <w:tcW w:w="4783" w:type="dxa"/>
            <w:noWrap w:val="0"/>
            <w:vAlign w:val="top"/>
          </w:tcPr>
          <w:p w14:paraId="1D3F89EB">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经验</w:t>
            </w:r>
          </w:p>
        </w:tc>
        <w:tc>
          <w:tcPr>
            <w:tcW w:w="1496" w:type="dxa"/>
            <w:noWrap w:val="0"/>
            <w:vAlign w:val="top"/>
          </w:tcPr>
          <w:p w14:paraId="04425D21">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noWrap w:val="0"/>
            <w:vAlign w:val="top"/>
          </w:tcPr>
          <w:p w14:paraId="6A13C845">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供应商提供自2021年1月1日（日期以合同签订时间为准）起至递交首次响应文件截止时间，由供应商所完成的同类型项目业绩情况，由磋商小组进行评分：每提供1份得1分，满分3分。需提供项目合同复印件，未提供的不得分。</w:t>
            </w:r>
          </w:p>
        </w:tc>
      </w:tr>
      <w:tr w14:paraId="639F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0" w:hRule="atLeast"/>
        </w:trPr>
        <w:tc>
          <w:tcPr>
            <w:tcW w:w="4783" w:type="dxa"/>
            <w:shd w:val="clear" w:color="auto" w:fill="FFFFFF"/>
            <w:noWrap w:val="0"/>
            <w:vAlign w:val="center"/>
          </w:tcPr>
          <w:p w14:paraId="13706C36">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满意度</w:t>
            </w:r>
          </w:p>
        </w:tc>
        <w:tc>
          <w:tcPr>
            <w:tcW w:w="1496" w:type="dxa"/>
            <w:shd w:val="clear" w:color="auto" w:fill="FFFFFF"/>
            <w:noWrap w:val="0"/>
            <w:vAlign w:val="center"/>
          </w:tcPr>
          <w:p w14:paraId="57EEA88B">
            <w:pPr>
              <w:spacing w:line="514"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3.00</w:t>
            </w:r>
          </w:p>
        </w:tc>
        <w:tc>
          <w:tcPr>
            <w:tcW w:w="5980" w:type="dxa"/>
            <w:shd w:val="clear" w:color="auto" w:fill="FFFFFF"/>
            <w:noWrap w:val="0"/>
            <w:vAlign w:val="center"/>
          </w:tcPr>
          <w:p w14:paraId="3EF5165C">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根据报价供应商提供的2021年1月1日以来完成的省级或以上行政事业单位评价满意度进行评审，每提供一份评价为优秀、满意等肯定性质的证明材料得1分，满分3分。未提供不得分。与“经验”提供同一项目的不重复得分。</w:t>
            </w:r>
          </w:p>
        </w:tc>
      </w:tr>
    </w:tbl>
    <w:p w14:paraId="3F15C34D">
      <w:pPr>
        <w:numPr>
          <w:ilvl w:val="0"/>
          <w:numId w:val="0"/>
        </w:numPr>
        <w:rPr>
          <w:rFonts w:hint="eastAsia" w:ascii="宋体" w:hAnsi="宋体" w:eastAsia="宋体"/>
          <w:b/>
          <w:color w:val="000000"/>
          <w:sz w:val="30"/>
          <w:szCs w:val="30"/>
        </w:rPr>
      </w:pPr>
    </w:p>
    <w:p w14:paraId="75BCBFD5">
      <w:pPr>
        <w:rPr>
          <w:rFonts w:ascii="宋体" w:hAnsi="宋体" w:eastAsia="宋体"/>
          <w:b/>
          <w:color w:val="000000"/>
          <w:sz w:val="32"/>
          <w:szCs w:val="32"/>
        </w:rPr>
      </w:pPr>
      <w:r>
        <w:rPr>
          <w:rFonts w:hint="eastAsia" w:ascii="宋体" w:hAnsi="宋体" w:eastAsia="宋体"/>
          <w:b/>
          <w:color w:val="000000"/>
          <w:sz w:val="32"/>
          <w:szCs w:val="32"/>
        </w:rPr>
        <w:t xml:space="preserve">价格部分评分 </w:t>
      </w:r>
      <w:r>
        <w:rPr>
          <w:rFonts w:ascii="宋体" w:hAnsi="宋体" w:eastAsia="宋体"/>
          <w:b/>
          <w:color w:val="000000"/>
          <w:sz w:val="32"/>
          <w:szCs w:val="32"/>
        </w:rPr>
        <w:t xml:space="preserve"> </w:t>
      </w:r>
      <w:r>
        <w:rPr>
          <w:rFonts w:hint="eastAsia" w:ascii="宋体" w:hAnsi="宋体" w:eastAsia="宋体"/>
          <w:b/>
          <w:color w:val="000000"/>
          <w:sz w:val="32"/>
          <w:szCs w:val="32"/>
        </w:rPr>
        <w:t>满分1</w:t>
      </w:r>
      <w:r>
        <w:rPr>
          <w:rFonts w:hint="eastAsia" w:ascii="宋体" w:hAnsi="宋体" w:eastAsia="宋体"/>
          <w:b/>
          <w:color w:val="000000"/>
          <w:sz w:val="32"/>
          <w:szCs w:val="32"/>
          <w:lang w:val="en-US" w:eastAsia="zh-CN"/>
        </w:rPr>
        <w:t>0</w:t>
      </w:r>
      <w:r>
        <w:rPr>
          <w:rFonts w:hint="eastAsia" w:ascii="宋体" w:hAnsi="宋体" w:eastAsia="宋体"/>
          <w:b/>
          <w:color w:val="000000"/>
          <w:sz w:val="32"/>
          <w:szCs w:val="32"/>
        </w:rPr>
        <w:t>分</w:t>
      </w:r>
    </w:p>
    <w:tbl>
      <w:tblPr>
        <w:tblStyle w:val="29"/>
        <w:tblW w:w="12168"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684"/>
        <w:gridCol w:w="1500"/>
        <w:gridCol w:w="5984"/>
      </w:tblGrid>
      <w:tr w14:paraId="19660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9" w:hRule="atLeast"/>
          <w:tblHeader/>
        </w:trPr>
        <w:tc>
          <w:tcPr>
            <w:tcW w:w="4684" w:type="dxa"/>
            <w:tcBorders>
              <w:top w:val="single" w:color="auto" w:sz="6" w:space="0"/>
              <w:left w:val="single" w:color="auto" w:sz="6" w:space="0"/>
              <w:bottom w:val="single" w:color="auto" w:sz="6" w:space="0"/>
              <w:right w:val="single" w:color="auto" w:sz="6" w:space="0"/>
            </w:tcBorders>
            <w:noWrap w:val="0"/>
            <w:vAlign w:val="center"/>
          </w:tcPr>
          <w:p w14:paraId="7BCCAD29">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项目</w:t>
            </w:r>
          </w:p>
        </w:tc>
        <w:tc>
          <w:tcPr>
            <w:tcW w:w="1500" w:type="dxa"/>
            <w:tcBorders>
              <w:top w:val="single" w:color="auto" w:sz="6" w:space="0"/>
              <w:left w:val="single" w:color="auto" w:sz="6" w:space="0"/>
              <w:bottom w:val="single" w:color="auto" w:sz="6" w:space="0"/>
              <w:right w:val="single" w:color="auto" w:sz="6" w:space="0"/>
            </w:tcBorders>
            <w:noWrap w:val="0"/>
            <w:vAlign w:val="center"/>
          </w:tcPr>
          <w:p w14:paraId="5CA1832D">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分值</w:t>
            </w:r>
          </w:p>
        </w:tc>
        <w:tc>
          <w:tcPr>
            <w:tcW w:w="5984" w:type="dxa"/>
            <w:tcBorders>
              <w:top w:val="single" w:color="auto" w:sz="6" w:space="0"/>
              <w:left w:val="single" w:color="auto" w:sz="6" w:space="0"/>
              <w:bottom w:val="single" w:color="auto" w:sz="6" w:space="0"/>
              <w:right w:val="single" w:color="auto" w:sz="6" w:space="0"/>
            </w:tcBorders>
            <w:noWrap w:val="0"/>
            <w:vAlign w:val="center"/>
          </w:tcPr>
          <w:p w14:paraId="71E2FFBF">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评分方法描述</w:t>
            </w:r>
          </w:p>
        </w:tc>
      </w:tr>
      <w:tr w14:paraId="217CA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6" w:hRule="atLeast"/>
        </w:trPr>
        <w:tc>
          <w:tcPr>
            <w:tcW w:w="4684" w:type="dxa"/>
            <w:tcBorders>
              <w:top w:val="single" w:color="auto" w:sz="6" w:space="0"/>
              <w:left w:val="single" w:color="auto" w:sz="6" w:space="0"/>
              <w:right w:val="single" w:color="auto" w:sz="6" w:space="0"/>
            </w:tcBorders>
            <w:noWrap w:val="0"/>
            <w:vAlign w:val="center"/>
          </w:tcPr>
          <w:p w14:paraId="3DDABD59">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报价情况</w:t>
            </w:r>
          </w:p>
        </w:tc>
        <w:tc>
          <w:tcPr>
            <w:tcW w:w="1500" w:type="dxa"/>
            <w:tcBorders>
              <w:top w:val="single" w:color="auto" w:sz="6" w:space="0"/>
              <w:left w:val="single" w:color="auto" w:sz="6" w:space="0"/>
              <w:right w:val="single" w:color="auto" w:sz="6" w:space="0"/>
            </w:tcBorders>
            <w:noWrap w:val="0"/>
            <w:vAlign w:val="center"/>
          </w:tcPr>
          <w:p w14:paraId="41D6CC61">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10</w:t>
            </w:r>
          </w:p>
        </w:tc>
        <w:tc>
          <w:tcPr>
            <w:tcW w:w="5984" w:type="dxa"/>
            <w:tcBorders>
              <w:top w:val="single" w:color="auto" w:sz="6" w:space="0"/>
              <w:left w:val="single" w:color="auto" w:sz="6" w:space="0"/>
              <w:right w:val="single" w:color="auto" w:sz="6" w:space="0"/>
            </w:tcBorders>
            <w:noWrap w:val="0"/>
            <w:vAlign w:val="center"/>
          </w:tcPr>
          <w:p w14:paraId="6BC09246">
            <w:pPr>
              <w:spacing w:line="514"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采用低价优先法计算，即满足采购文件要求且报价最低的供应商的价格为基准价，其价格分为满分。其他供应商的价格分统一按照下列公式计算：报价得分=（基准价／报价）×价格权值（0.10）×100。</w:t>
            </w:r>
          </w:p>
        </w:tc>
      </w:tr>
    </w:tbl>
    <w:p w14:paraId="28C13FAE">
      <w:pPr>
        <w:rPr>
          <w:u w:val="single"/>
        </w:rPr>
      </w:pPr>
      <w:r>
        <w:rPr>
          <w:rFonts w:hint="eastAsia"/>
        </w:rPr>
        <w:t xml:space="preserve"> </w:t>
      </w:r>
    </w:p>
    <w:p w14:paraId="2C233647"/>
    <w:sectPr>
      <w:pgSz w:w="16838" w:h="11906"/>
      <w:pgMar w:top="1440" w:right="1800" w:bottom="1440" w:left="1800" w:header="851" w:footer="794"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3D74">
    <w:pPr>
      <w:widowControl w:val="0"/>
      <w:spacing w:line="594" w:lineRule="exact"/>
      <w:jc w:val="center"/>
      <w:rPr>
        <w:rFonts w:ascii="Calibri" w:hAnsi="Calibri" w:eastAsia="宋体" w:cs="Times New Roman"/>
        <w:sz w:val="21"/>
        <w:szCs w:val="21"/>
        <w:lang w:val="en-US" w:eastAsia="zh-CN" w:bidi="ar-SA"/>
      </w:rPr>
    </w:pPr>
    <w:r>
      <w:rPr>
        <w:rFonts w:hint="eastAsia" w:ascii="Calibri" w:hAnsi="Calibri" w:eastAsia="宋体" w:cs="Times New Roman"/>
        <w:sz w:val="21"/>
        <w:szCs w:val="21"/>
        <w:lang w:val="en-US" w:eastAsia="zh-CN" w:bidi="ar-SA"/>
      </w:rPr>
      <w:t xml:space="preserve">— </w:t>
    </w:r>
    <w:r>
      <w:rPr>
        <w:rFonts w:ascii="Calibri" w:hAnsi="Calibri" w:eastAsia="宋体" w:cs="Times New Roman"/>
        <w:sz w:val="21"/>
        <w:szCs w:val="21"/>
        <w:lang w:val="en-US" w:eastAsia="zh-CN" w:bidi="ar-SA"/>
      </w:rPr>
      <w:fldChar w:fldCharType="begin"/>
    </w:r>
    <w:r>
      <w:rPr>
        <w:rFonts w:ascii="Calibri" w:hAnsi="Calibri" w:eastAsia="宋体" w:cs="Times New Roman"/>
        <w:sz w:val="21"/>
        <w:szCs w:val="21"/>
        <w:lang w:val="en-US" w:eastAsia="zh-CN" w:bidi="ar-SA"/>
      </w:rPr>
      <w:instrText xml:space="preserve">PAGE   \* MERGEFORMAT</w:instrText>
    </w:r>
    <w:r>
      <w:rPr>
        <w:rFonts w:ascii="Calibri" w:hAnsi="Calibri" w:eastAsia="宋体" w:cs="Times New Roman"/>
        <w:sz w:val="21"/>
        <w:szCs w:val="21"/>
        <w:lang w:val="en-US" w:eastAsia="zh-CN" w:bidi="ar-SA"/>
      </w:rPr>
      <w:fldChar w:fldCharType="separate"/>
    </w:r>
    <w:r>
      <w:rPr>
        <w:rFonts w:ascii="Calibri" w:hAnsi="Calibri" w:eastAsia="宋体" w:cs="Times New Roman"/>
        <w:sz w:val="21"/>
        <w:szCs w:val="21"/>
        <w:lang w:val="zh-CN" w:eastAsia="zh-CN" w:bidi="ar-SA"/>
      </w:rPr>
      <w:t>13</w:t>
    </w:r>
    <w:r>
      <w:rPr>
        <w:rFonts w:ascii="Calibri" w:hAnsi="Calibri" w:eastAsia="宋体" w:cs="Times New Roman"/>
        <w:sz w:val="21"/>
        <w:szCs w:val="21"/>
        <w:lang w:val="en-US" w:eastAsia="zh-CN" w:bidi="ar-SA"/>
      </w:rPr>
      <w:fldChar w:fldCharType="end"/>
    </w:r>
    <w:r>
      <w:rPr>
        <w:rFonts w:hint="eastAsia" w:ascii="Calibri" w:hAnsi="Calibri" w:eastAsia="宋体" w:cs="Times New Roman"/>
        <w:sz w:val="21"/>
        <w:szCs w:val="21"/>
        <w:lang w:val="en-US" w:eastAsia="zh-CN" w:bidi="ar-SA"/>
      </w:rPr>
      <w:t xml:space="preserve"> —</w:t>
    </w:r>
  </w:p>
  <w:p w14:paraId="2FA9DF40">
    <w:pPr>
      <w:widowControl w:val="0"/>
      <w:spacing w:line="594" w:lineRule="exact"/>
      <w:ind w:right="360" w:firstLine="360"/>
      <w:jc w:val="left"/>
      <w:rPr>
        <w:rFonts w:ascii="Calibri" w:hAnsi="Calibri" w:eastAsia="宋体" w:cs="Times New Roman"/>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11F5D"/>
    <w:rsid w:val="768D3D95"/>
    <w:rsid w:val="77C6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jc w:val="both"/>
    </w:pPr>
    <w:rPr>
      <w:rFonts w:hint="default" w:ascii="黑体" w:hAnsi="黑体" w:eastAsia="方正仿宋简体" w:cs="Times New Roman"/>
      <w:sz w:val="32"/>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unhideWhenUsed/>
    <w:qFormat/>
    <w:uiPriority w:val="99"/>
    <w:pPr>
      <w:widowControl w:val="0"/>
      <w:spacing w:line="594" w:lineRule="exact"/>
      <w:ind w:firstLine="420"/>
      <w:jc w:val="both"/>
    </w:pPr>
    <w:rPr>
      <w:rFonts w:hint="default" w:ascii="黑体" w:hAnsi="黑体" w:eastAsia="方正仿宋简体" w:cs="Times New Roman"/>
      <w:sz w:val="32"/>
      <w:szCs w:val="24"/>
      <w:lang w:val="en-US" w:eastAsia="zh-CN" w:bidi="ar-SA"/>
    </w:r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Strong"/>
    <w:basedOn w:val="31"/>
    <w:qFormat/>
    <w:uiPriority w:val="0"/>
    <w:rPr>
      <w:b/>
    </w:rPr>
  </w:style>
  <w:style w:type="character" w:styleId="33">
    <w:name w:val="endnote reference"/>
    <w:basedOn w:val="31"/>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link w:val="2"/>
    <w:qFormat/>
    <w:uiPriority w:val="9"/>
    <w:rPr>
      <w:rFonts w:ascii="等线" w:hAnsi="等线" w:eastAsia="等线" w:cs="等线"/>
      <w:sz w:val="40"/>
      <w:szCs w:val="40"/>
    </w:rPr>
  </w:style>
  <w:style w:type="character" w:customStyle="1" w:styleId="37">
    <w:name w:val="Heading 2 Char"/>
    <w:basedOn w:val="31"/>
    <w:link w:val="3"/>
    <w:qFormat/>
    <w:uiPriority w:val="9"/>
    <w:rPr>
      <w:rFonts w:ascii="等线" w:hAnsi="等线" w:eastAsia="等线" w:cs="等线"/>
      <w:sz w:val="34"/>
    </w:rPr>
  </w:style>
  <w:style w:type="character" w:customStyle="1" w:styleId="38">
    <w:name w:val="Heading 3 Char"/>
    <w:basedOn w:val="31"/>
    <w:link w:val="4"/>
    <w:qFormat/>
    <w:uiPriority w:val="9"/>
    <w:rPr>
      <w:rFonts w:ascii="等线" w:hAnsi="等线" w:eastAsia="等线" w:cs="等线"/>
      <w:sz w:val="30"/>
      <w:szCs w:val="30"/>
    </w:rPr>
  </w:style>
  <w:style w:type="character" w:customStyle="1" w:styleId="39">
    <w:name w:val="Heading 4 Char"/>
    <w:basedOn w:val="31"/>
    <w:link w:val="5"/>
    <w:qFormat/>
    <w:uiPriority w:val="9"/>
    <w:rPr>
      <w:rFonts w:ascii="等线" w:hAnsi="等线" w:eastAsia="等线" w:cs="等线"/>
      <w:b/>
      <w:bCs/>
      <w:sz w:val="26"/>
      <w:szCs w:val="26"/>
    </w:rPr>
  </w:style>
  <w:style w:type="character" w:customStyle="1" w:styleId="40">
    <w:name w:val="Heading 5 Char"/>
    <w:basedOn w:val="31"/>
    <w:link w:val="6"/>
    <w:qFormat/>
    <w:uiPriority w:val="9"/>
    <w:rPr>
      <w:rFonts w:ascii="等线" w:hAnsi="等线" w:eastAsia="等线" w:cs="等线"/>
      <w:b/>
      <w:bCs/>
      <w:sz w:val="24"/>
      <w:szCs w:val="24"/>
    </w:rPr>
  </w:style>
  <w:style w:type="character" w:customStyle="1" w:styleId="41">
    <w:name w:val="Heading 6 Char"/>
    <w:basedOn w:val="31"/>
    <w:link w:val="7"/>
    <w:qFormat/>
    <w:uiPriority w:val="9"/>
    <w:rPr>
      <w:rFonts w:ascii="等线" w:hAnsi="等线" w:eastAsia="等线" w:cs="等线"/>
      <w:b/>
      <w:bCs/>
      <w:sz w:val="22"/>
      <w:szCs w:val="22"/>
    </w:rPr>
  </w:style>
  <w:style w:type="character" w:customStyle="1" w:styleId="42">
    <w:name w:val="Heading 7 Char"/>
    <w:basedOn w:val="31"/>
    <w:link w:val="8"/>
    <w:qFormat/>
    <w:uiPriority w:val="9"/>
    <w:rPr>
      <w:rFonts w:ascii="等线" w:hAnsi="等线" w:eastAsia="等线" w:cs="等线"/>
      <w:b/>
      <w:bCs/>
      <w:i/>
      <w:iCs/>
      <w:sz w:val="22"/>
      <w:szCs w:val="22"/>
    </w:rPr>
  </w:style>
  <w:style w:type="character" w:customStyle="1" w:styleId="43">
    <w:name w:val="Heading 8 Char"/>
    <w:basedOn w:val="31"/>
    <w:link w:val="9"/>
    <w:qFormat/>
    <w:uiPriority w:val="9"/>
    <w:rPr>
      <w:rFonts w:ascii="等线" w:hAnsi="等线" w:eastAsia="等线" w:cs="等线"/>
      <w:i/>
      <w:iCs/>
      <w:sz w:val="22"/>
      <w:szCs w:val="22"/>
    </w:rPr>
  </w:style>
  <w:style w:type="character" w:customStyle="1" w:styleId="44">
    <w:name w:val="Heading 9 Char"/>
    <w:basedOn w:val="31"/>
    <w:link w:val="10"/>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qFormat/>
    <w:uiPriority w:val="10"/>
    <w:rPr>
      <w:sz w:val="48"/>
      <w:szCs w:val="48"/>
    </w:rPr>
  </w:style>
  <w:style w:type="character" w:customStyle="1" w:styleId="48">
    <w:name w:val="Subtitle Char"/>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1"/>
    <w:link w:val="19"/>
    <w:qFormat/>
    <w:uiPriority w:val="99"/>
  </w:style>
  <w:style w:type="character" w:customStyle="1" w:styleId="54">
    <w:name w:val="Footer Char"/>
    <w:basedOn w:val="31"/>
    <w:link w:val="18"/>
    <w:qFormat/>
    <w:uiPriority w:val="99"/>
  </w:style>
  <w:style w:type="character" w:customStyle="1" w:styleId="55">
    <w:name w:val="Caption Char"/>
    <w:link w:val="18"/>
    <w:qFormat/>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1">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2">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3">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4">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5">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8">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9">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0">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1">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2">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5">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6">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7">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8">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9">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0">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1">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2">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3">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7">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8">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9">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0">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1">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3">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5">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6">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7">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0">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1">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2">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3">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4">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7">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4">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5">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6">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7">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8">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1">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2">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3">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4">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5">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6">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7">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8">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9">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4">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5">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6">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0">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2">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3">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4">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5">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6">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9">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0">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1">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2">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3">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6">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7">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8">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9">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0">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4974</Words>
  <Characters>5158</Characters>
  <TotalTime>0</TotalTime>
  <ScaleCrop>false</ScaleCrop>
  <LinksUpToDate>false</LinksUpToDate>
  <CharactersWithSpaces>5168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2024-08-16T05:40:00Z</dcterms:created>
  <dc:creator>图图</dc:creator>
  <cp:lastModifiedBy>苏林伟</cp:lastModifiedBy>
  <dcterms:modified xsi:type="dcterms:W3CDTF">2025-05-06T07:18:32Z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108D52090CEC453C8F6C2D91477333CA_13</vt:lpwstr>
  </property>
  <property fmtid="{D5CDD505-2E9C-101B-9397-08002B2CF9AE}" pid="4" name="KSOTemplateDocerSaveRecord">
    <vt:lpwstr>eyJoZGlkIjoiY2YyMzBiMTJkYzgwMmM4NmRkZWZmYzQ3ZDNjZDQwNTMiLCJ1c2VySWQiOiIzMjk5MDc3NzIifQ==</vt:lpwstr>
  </property>
</Properties>
</file>