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eastAsia="方正小标宋简体"/>
          <w:spacing w:val="157"/>
          <w:kern w:val="0"/>
          <w:sz w:val="100"/>
          <w:szCs w:val="100"/>
        </w:rPr>
      </w:pPr>
    </w:p>
    <w:p>
      <w:pPr>
        <w:spacing w:line="240" w:lineRule="auto"/>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pPr>
        <w:spacing w:line="240" w:lineRule="auto"/>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pPr>
        <w:spacing w:line="240" w:lineRule="auto"/>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pPr>
        <w:spacing w:line="240" w:lineRule="auto"/>
        <w:jc w:val="center"/>
        <w:rPr>
          <w:rFonts w:ascii="方正小标宋简体" w:eastAsia="方正小标宋简体"/>
          <w:sz w:val="84"/>
          <w:szCs w:val="84"/>
        </w:rPr>
      </w:pPr>
      <w:r>
        <w:rPr>
          <w:rFonts w:hint="eastAsia" w:ascii="方正小标宋简体" w:eastAsia="方正小标宋简体"/>
          <w:spacing w:val="157"/>
          <w:kern w:val="0"/>
          <w:sz w:val="100"/>
          <w:szCs w:val="100"/>
        </w:rPr>
        <w:t>件</w:t>
      </w:r>
    </w:p>
    <w:p/>
    <w:p/>
    <w:p>
      <w:pPr>
        <w:spacing w:line="514" w:lineRule="exact"/>
        <w:rPr>
          <w:rFonts w:eastAsia="黑体" w:cs="黑体"/>
          <w:szCs w:val="32"/>
        </w:rPr>
      </w:pPr>
      <w:r>
        <w:rPr>
          <w:rFonts w:hint="eastAsia" w:eastAsia="黑体" w:cs="黑体"/>
          <w:szCs w:val="32"/>
        </w:rPr>
        <w:t>一、项目说明</w:t>
      </w:r>
    </w:p>
    <w:p>
      <w:pPr>
        <w:spacing w:line="514" w:lineRule="exact"/>
        <w:ind w:firstLine="643" w:firstLineChars="200"/>
        <w:rPr>
          <w:rFonts w:ascii="仿宋" w:hAnsi="仿宋" w:eastAsia="仿宋" w:cs="仿宋_GB2312"/>
          <w:szCs w:val="32"/>
        </w:rPr>
      </w:pPr>
      <w:r>
        <w:rPr>
          <w:rFonts w:hint="eastAsia" w:ascii="楷体" w:hAnsi="楷体" w:eastAsia="楷体" w:cs="楷体"/>
          <w:b/>
          <w:bCs/>
          <w:szCs w:val="32"/>
        </w:rPr>
        <w:t>（一）项目名称：</w:t>
      </w:r>
      <w:r>
        <w:rPr>
          <w:rFonts w:ascii="仿宋" w:hAnsi="仿宋" w:eastAsia="仿宋" w:cs="仿宋_GB2312"/>
          <w:szCs w:val="32"/>
        </w:rPr>
        <w:t>第十三届中国知识产权年会展馆布展服务采购</w:t>
      </w:r>
      <w:r>
        <w:rPr>
          <w:rFonts w:hint="eastAsia" w:ascii="仿宋" w:hAnsi="仿宋" w:eastAsia="仿宋" w:cs="仿宋_GB2312"/>
          <w:szCs w:val="32"/>
        </w:rPr>
        <w:t>项目</w:t>
      </w:r>
    </w:p>
    <w:p>
      <w:pPr>
        <w:spacing w:line="514" w:lineRule="exact"/>
        <w:ind w:firstLine="643" w:firstLineChars="200"/>
        <w:rPr>
          <w:rFonts w:ascii="楷体" w:hAnsi="楷体" w:eastAsia="楷体" w:cs="楷体"/>
          <w:b/>
          <w:bCs/>
          <w:szCs w:val="32"/>
        </w:rPr>
      </w:pPr>
      <w:bookmarkStart w:id="0" w:name="_Toc498001358"/>
      <w:bookmarkStart w:id="1" w:name="_Toc498001259"/>
      <w:r>
        <w:rPr>
          <w:rFonts w:hint="eastAsia" w:ascii="楷体" w:hAnsi="楷体" w:eastAsia="楷体" w:cs="楷体"/>
          <w:b/>
          <w:bCs/>
          <w:szCs w:val="32"/>
        </w:rPr>
        <w:t>（二）资格要求</w:t>
      </w:r>
      <w:bookmarkEnd w:id="0"/>
      <w:bookmarkEnd w:id="1"/>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1.供应商应具备下列资格条件，并提供证明材料（包括但不限于）：</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（1）依法登记具有独立法人资格的社会组织、企业和事业单位（提供相应登记证书副本复印件，提供法人或者营业执照，自然人身份证）。</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（2）具有良好的商业信誉和健全的财务会计制度（提供参加本次采购活动上一年度或上一季度财务报告复印件，至少包括“</w:t>
      </w:r>
      <w:r>
        <w:rPr>
          <w:rFonts w:ascii="仿宋" w:hAnsi="仿宋" w:eastAsia="仿宋" w:cs="仿宋_GB2312"/>
          <w:szCs w:val="32"/>
        </w:rPr>
        <w:t>包括资产负</w:t>
      </w:r>
      <w:r>
        <w:rPr>
          <w:rFonts w:hint="eastAsia" w:ascii="仿宋" w:hAnsi="仿宋" w:eastAsia="仿宋" w:cs="仿宋_GB2312"/>
          <w:szCs w:val="32"/>
        </w:rPr>
        <w:t>债表、利润表、现金流量表、所有者权益变动表（若有）及其附注（</w:t>
      </w:r>
      <w:r>
        <w:rPr>
          <w:rFonts w:ascii="仿宋" w:hAnsi="仿宋" w:eastAsia="仿宋" w:cs="仿宋_GB2312"/>
          <w:szCs w:val="32"/>
        </w:rPr>
        <w:t>若有）</w:t>
      </w:r>
      <w:r>
        <w:rPr>
          <w:rFonts w:hint="eastAsia" w:ascii="仿宋" w:hAnsi="仿宋" w:eastAsia="仿宋" w:cs="仿宋_GB2312"/>
          <w:szCs w:val="32"/>
        </w:rPr>
        <w:t>”）。</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（3）具有履行合同所必需的设备和专业技术能力（根据项目需求提供履行合同所必需的设备和专业技术能力的声明及证明材料）。</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（4）有依法缴纳税收和社会保障资金的良好记录（提供参加本次政府采购活动前一年内任一个月的依法缴纳税收和社会保障资金的相关材料）。</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（5）参加采购活动前一年内，在经营活动中没有重大违法记录（提供参加本次采购活动前</w:t>
      </w:r>
      <w:r>
        <w:rPr>
          <w:rFonts w:ascii="仿宋" w:hAnsi="仿宋" w:eastAsia="仿宋" w:cs="仿宋_GB2312"/>
          <w:szCs w:val="32"/>
        </w:rPr>
        <w:t>1</w:t>
      </w:r>
      <w:r>
        <w:rPr>
          <w:rFonts w:hint="eastAsia" w:ascii="仿宋" w:hAnsi="仿宋" w:eastAsia="仿宋" w:cs="仿宋_GB2312"/>
          <w:szCs w:val="32"/>
        </w:rPr>
        <w:t>年内在经营活动中没有违法记录的书面声明）。</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（6）法律、行政法规规定的其他条件（提供项目实施所必须的许可资质证明材料）。</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2.本项目不接受下列供应商：</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（1）联合体形式的供应商。</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（2）供应商被“信用中国”网站（www.creditchina.gov.cn）、“中国政府采购网”(www.ccgp.gov.cn)列入失信被执行人、重大税收违法案件当事人名单、政府采购严重违法失信行为记录名单。</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（3）供应商存在其他失信情况的。</w:t>
      </w:r>
    </w:p>
    <w:p>
      <w:pPr>
        <w:spacing w:line="514" w:lineRule="exact"/>
        <w:ind w:firstLine="643" w:firstLineChars="200"/>
        <w:rPr>
          <w:rFonts w:ascii="楷体" w:hAnsi="楷体" w:eastAsia="楷体" w:cs="楷体"/>
          <w:b/>
          <w:bCs/>
          <w:szCs w:val="32"/>
        </w:rPr>
      </w:pPr>
      <w:bookmarkStart w:id="2" w:name="_Toc498001260"/>
      <w:bookmarkStart w:id="3" w:name="_Toc498001359"/>
      <w:r>
        <w:rPr>
          <w:rFonts w:hint="eastAsia" w:ascii="楷体" w:hAnsi="楷体" w:eastAsia="楷体" w:cs="楷体"/>
          <w:b/>
          <w:bCs/>
          <w:szCs w:val="32"/>
        </w:rPr>
        <w:t>（三）投标须知</w:t>
      </w:r>
      <w:bookmarkEnd w:id="2"/>
      <w:bookmarkEnd w:id="3"/>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1.各供应商填列价格以人民币为单位，须包括完成本项目所涉及的一切费用。</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w:t>
      </w:r>
      <w:bookmarkStart w:id="4" w:name="_Toc498001360"/>
      <w:bookmarkStart w:id="5" w:name="_Toc498001261"/>
      <w:r>
        <w:rPr>
          <w:rFonts w:hint="eastAsia" w:ascii="仿宋" w:hAnsi="仿宋" w:eastAsia="仿宋" w:cs="仿宋_GB2312"/>
          <w:szCs w:val="32"/>
        </w:rPr>
        <w:t>本项目最高限价</w:t>
      </w:r>
      <w:r>
        <w:rPr>
          <w:rFonts w:hint="eastAsia" w:ascii="仿宋" w:hAnsi="仿宋" w:eastAsia="仿宋" w:cs="仿宋_GB2312"/>
          <w:szCs w:val="32"/>
          <w:u w:val="single"/>
        </w:rPr>
        <w:t>4</w:t>
      </w:r>
      <w:r>
        <w:rPr>
          <w:rFonts w:ascii="仿宋" w:hAnsi="仿宋" w:eastAsia="仿宋" w:cs="仿宋_GB2312"/>
          <w:szCs w:val="32"/>
          <w:u w:val="single"/>
        </w:rPr>
        <w:t>5</w:t>
      </w:r>
      <w:r>
        <w:rPr>
          <w:rFonts w:hint="eastAsia" w:ascii="仿宋" w:hAnsi="仿宋" w:eastAsia="仿宋" w:cs="仿宋_GB2312"/>
          <w:szCs w:val="32"/>
        </w:rPr>
        <w:t>万元。</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3.按综合评标法评定。</w:t>
      </w:r>
    </w:p>
    <w:p>
      <w:pPr>
        <w:spacing w:line="514" w:lineRule="exact"/>
        <w:ind w:firstLine="643" w:firstLineChars="200"/>
        <w:rPr>
          <w:rFonts w:ascii="仿宋_GB2312" w:hAnsi="仿宋_GB2312" w:eastAsia="仿宋_GB2312" w:cs="仿宋_GB2312"/>
          <w:szCs w:val="32"/>
        </w:rPr>
      </w:pPr>
      <w:r>
        <w:rPr>
          <w:rFonts w:hint="eastAsia" w:ascii="楷体" w:hAnsi="楷体" w:eastAsia="楷体" w:cs="楷体"/>
          <w:b/>
          <w:bCs/>
          <w:szCs w:val="32"/>
        </w:rPr>
        <w:t>（四）投标</w:t>
      </w:r>
      <w:bookmarkEnd w:id="4"/>
      <w:bookmarkEnd w:id="5"/>
      <w:r>
        <w:rPr>
          <w:rFonts w:hint="eastAsia" w:ascii="楷体" w:hAnsi="楷体" w:eastAsia="楷体" w:cs="楷体"/>
          <w:b/>
          <w:bCs/>
          <w:szCs w:val="32"/>
        </w:rPr>
        <w:t>要求</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1.商务文件：</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（1）有关承诺函；</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（2）报价单；</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（3）营业执照(法人证书)复印件；</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（4）法定代表人授权委托书；</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（5）法定代表人有效身份证复印件；</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（6）委托代理人有效身份证复印件（若有）；</w:t>
      </w:r>
    </w:p>
    <w:p>
      <w:pPr>
        <w:spacing w:line="514" w:lineRule="exact"/>
        <w:ind w:firstLine="640" w:firstLineChars="200"/>
        <w:rPr>
          <w:rFonts w:ascii="仿宋" w:hAnsi="仿宋" w:eastAsia="仿宋" w:cs="仿宋_GB2312"/>
          <w:szCs w:val="32"/>
        </w:rPr>
      </w:pPr>
      <w:bookmarkStart w:id="6" w:name="_Hlk160823965"/>
      <w:r>
        <w:rPr>
          <w:rFonts w:hint="eastAsia" w:ascii="仿宋" w:hAnsi="仿宋" w:eastAsia="仿宋" w:cs="仿宋_GB2312"/>
          <w:szCs w:val="32"/>
        </w:rPr>
        <w:t>（7）信用、财务状况报告、纳税、社保等良好记录相关材料以及</w:t>
      </w:r>
      <w:bookmarkEnd w:id="6"/>
      <w:r>
        <w:rPr>
          <w:rFonts w:hint="eastAsia" w:ascii="仿宋" w:hAnsi="仿宋" w:eastAsia="仿宋" w:cs="仿宋_GB2312"/>
          <w:szCs w:val="32"/>
        </w:rPr>
        <w:t>履行合同所必需的设备和专业技术能力等证明材料。</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2.技术文件：</w:t>
      </w:r>
    </w:p>
    <w:p>
      <w:pPr>
        <w:spacing w:line="514" w:lineRule="exact"/>
        <w:ind w:firstLine="640" w:firstLineChars="200"/>
        <w:rPr>
          <w:rFonts w:ascii="仿宋" w:hAnsi="仿宋" w:eastAsia="仿宋" w:cs="仿宋_GB2312"/>
          <w:szCs w:val="32"/>
        </w:rPr>
      </w:pPr>
      <w:r>
        <w:rPr>
          <w:rFonts w:hint="eastAsia" w:ascii="仿宋" w:hAnsi="仿宋" w:eastAsia="仿宋" w:cs="仿宋_GB2312"/>
          <w:szCs w:val="32"/>
        </w:rPr>
        <w:t>（1）提交项目整体服务方案和项目实施计划，对本采购文件“项目技术要求”进行回应。</w:t>
      </w:r>
    </w:p>
    <w:p>
      <w:pPr>
        <w:spacing w:line="514" w:lineRule="exact"/>
        <w:ind w:firstLine="640" w:firstLineChars="200"/>
        <w:rPr>
          <w:rFonts w:ascii="仿宋" w:hAnsi="仿宋" w:eastAsia="仿宋" w:cs="微软雅黑"/>
          <w:szCs w:val="32"/>
        </w:rPr>
      </w:pPr>
      <w:r>
        <w:rPr>
          <w:rFonts w:hint="eastAsia" w:ascii="仿宋" w:hAnsi="仿宋" w:eastAsia="仿宋" w:cs="微软雅黑"/>
          <w:szCs w:val="32"/>
        </w:rPr>
        <w:t>（2）供应商认为应提交的其他文件。</w:t>
      </w:r>
    </w:p>
    <w:p>
      <w:pPr>
        <w:spacing w:line="514" w:lineRule="exact"/>
        <w:ind w:firstLine="640" w:firstLineChars="200"/>
        <w:rPr>
          <w:rFonts w:ascii="仿宋_GB2312" w:hAnsi="仿宋_GB2312" w:eastAsia="仿宋_GB2312" w:cs="仿宋_GB2312"/>
          <w:szCs w:val="32"/>
        </w:rPr>
        <w:sectPr>
          <w:footerReference r:id="rId3" w:type="default"/>
          <w:pgSz w:w="16838" w:h="11906" w:orient="landscape"/>
          <w:pgMar w:top="1418" w:right="1985" w:bottom="1418" w:left="1418" w:header="850" w:footer="850" w:gutter="0"/>
          <w:cols w:space="720" w:num="1"/>
          <w:titlePg/>
          <w:docGrid w:linePitch="435" w:charSpace="0"/>
        </w:sectPr>
      </w:pPr>
    </w:p>
    <w:p>
      <w:pPr>
        <w:spacing w:line="514" w:lineRule="exact"/>
        <w:ind w:firstLine="640" w:firstLineChars="200"/>
      </w:pPr>
      <w:bookmarkStart w:id="7" w:name="_Toc498001263"/>
      <w:bookmarkStart w:id="8" w:name="_Toc498001362"/>
      <w:r>
        <w:rPr>
          <w:rFonts w:hint="eastAsia" w:eastAsia="黑体" w:cs="黑体"/>
          <w:szCs w:val="32"/>
        </w:rPr>
        <w:t>二、项目内容及具体要求</w:t>
      </w:r>
      <w:bookmarkEnd w:id="7"/>
      <w:bookmarkEnd w:id="8"/>
      <w:bookmarkStart w:id="9" w:name="_Toc498001265"/>
      <w:bookmarkStart w:id="10" w:name="_Toc498001364"/>
      <w:bookmarkStart w:id="11" w:name="_Toc363110617"/>
      <w:bookmarkStart w:id="12" w:name="_Toc351982587"/>
      <w:bookmarkStart w:id="13" w:name="_Toc362425411"/>
    </w:p>
    <w:bookmarkEnd w:id="9"/>
    <w:bookmarkEnd w:id="10"/>
    <w:p>
      <w:pPr>
        <w:spacing w:line="514" w:lineRule="exact"/>
        <w:ind w:firstLine="643" w:firstLineChars="200"/>
        <w:rPr>
          <w:rFonts w:ascii="楷体" w:hAnsi="楷体" w:eastAsia="楷体" w:cs="楷体"/>
          <w:b/>
          <w:bCs/>
          <w:szCs w:val="32"/>
        </w:rPr>
      </w:pPr>
      <w:bookmarkStart w:id="14" w:name="_Toc498001268"/>
      <w:bookmarkStart w:id="15" w:name="_Toc498001367"/>
      <w:bookmarkStart w:id="16" w:name="_Toc346300369"/>
      <w:bookmarkStart w:id="17" w:name="_Toc419485050"/>
      <w:bookmarkStart w:id="18" w:name="_Toc351968248"/>
      <w:bookmarkStart w:id="19" w:name="_Toc450320511"/>
      <w:bookmarkStart w:id="20" w:name="_Toc421023428"/>
      <w:bookmarkStart w:id="21" w:name="_Toc330567036"/>
      <w:bookmarkStart w:id="22" w:name="_Toc430180165"/>
      <w:bookmarkStart w:id="23" w:name="_Toc455746740"/>
      <w:bookmarkStart w:id="24" w:name="_Toc347060298"/>
      <w:r>
        <w:rPr>
          <w:rFonts w:hint="eastAsia" w:ascii="楷体" w:hAnsi="楷体" w:eastAsia="楷体" w:cs="楷体"/>
          <w:b/>
          <w:bCs/>
          <w:szCs w:val="32"/>
        </w:rPr>
        <w:t>（一）项目概述</w:t>
      </w:r>
      <w:bookmarkStart w:id="35" w:name="_GoBack"/>
      <w:bookmarkEnd w:id="35"/>
    </w:p>
    <w:p>
      <w:pPr>
        <w:spacing w:line="514" w:lineRule="exact"/>
        <w:ind w:firstLine="640" w:firstLineChars="200"/>
        <w:rPr>
          <w:rFonts w:ascii="方正仿宋_GB2312" w:hAnsi="方正仿宋_GB2312" w:eastAsia="方正仿宋_GB2312" w:cs="方正仿宋_GB2312"/>
          <w:szCs w:val="32"/>
        </w:rPr>
      </w:pPr>
      <w:r>
        <w:rPr>
          <w:rFonts w:ascii="方正仿宋_GB2312" w:hAnsi="方正仿宋_GB2312" w:eastAsia="方正仿宋_GB2312" w:cs="方正仿宋_GB2312"/>
          <w:szCs w:val="32"/>
        </w:rPr>
        <w:t>本项目为第十三届中国知识产权年会福建省地理标志</w:t>
      </w:r>
      <w:r>
        <w:rPr>
          <w:rFonts w:hint="eastAsia" w:ascii="方正仿宋_GB2312" w:hAnsi="方正仿宋_GB2312" w:eastAsia="方正仿宋_GB2312" w:cs="方正仿宋_GB2312"/>
          <w:szCs w:val="32"/>
        </w:rPr>
        <w:t>展馆</w:t>
      </w:r>
      <w:r>
        <w:rPr>
          <w:rFonts w:ascii="方正仿宋_GB2312" w:hAnsi="方正仿宋_GB2312" w:eastAsia="方正仿宋_GB2312" w:cs="方正仿宋_GB2312"/>
          <w:szCs w:val="32"/>
        </w:rPr>
        <w:t>布展服务采购项目，采购项目内容包括</w:t>
      </w:r>
      <w:r>
        <w:rPr>
          <w:rFonts w:hint="eastAsia" w:ascii="方正仿宋_GB2312" w:hAnsi="方正仿宋_GB2312" w:eastAsia="方正仿宋_GB2312" w:cs="方正仿宋_GB2312"/>
          <w:szCs w:val="32"/>
        </w:rPr>
        <w:t>展馆的租赁、设计、布置、施工搭建、调试及技术、现场保障、组织地标产品相关企业参展以及展会期间的活动策划、宣传推广等一体化服务。</w:t>
      </w:r>
    </w:p>
    <w:p>
      <w:pPr>
        <w:spacing w:line="514" w:lineRule="exact"/>
        <w:ind w:firstLine="643" w:firstLineChars="200"/>
        <w:rPr>
          <w:rFonts w:ascii="楷体" w:hAnsi="楷体" w:eastAsia="楷体" w:cs="楷体"/>
          <w:b/>
          <w:bCs/>
          <w:szCs w:val="32"/>
        </w:rPr>
      </w:pPr>
      <w:r>
        <w:rPr>
          <w:rFonts w:hint="eastAsia" w:ascii="楷体" w:hAnsi="楷体" w:eastAsia="楷体" w:cs="楷体"/>
          <w:b/>
          <w:bCs/>
          <w:szCs w:val="32"/>
        </w:rPr>
        <w:t>（二）项目技术要求</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（项号1）1.布展参展福建省地理标志特装展区，全方位展示福建省地理标志和区域品牌建设工作，提升福建省地标产业的影响力和知名度。</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（项号2）2.在微信视频号、公众号等线上渠道或平台进行推广宣传。</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具体要求如下:</w:t>
      </w:r>
    </w:p>
    <w:p>
      <w:pPr>
        <w:widowControl/>
        <w:adjustRightInd/>
        <w:snapToGrid/>
        <w:spacing w:line="514" w:lineRule="exact"/>
        <w:ind w:firstLine="640" w:firstLineChars="200"/>
        <w:jc w:val="left"/>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（项号3）</w:t>
      </w:r>
      <w:bookmarkStart w:id="25" w:name="_Hlk159515140"/>
      <w:r>
        <w:rPr>
          <w:rFonts w:hint="eastAsia" w:ascii="方正仿宋_GB2312" w:hAnsi="方正仿宋_GB2312" w:eastAsia="方正仿宋_GB2312" w:cs="方正仿宋_GB2312"/>
          <w:szCs w:val="32"/>
        </w:rPr>
        <w:t>3、供应商</w:t>
      </w:r>
      <w:r>
        <w:rPr>
          <w:rFonts w:hint="eastAsia" w:ascii="方正仿宋_GB2312" w:hAnsi="方正仿宋_GB2312" w:eastAsia="方正仿宋_GB2312" w:cs="方正仿宋_GB2312"/>
          <w:szCs w:val="32"/>
          <w:lang w:eastAsia="zh-Hans"/>
        </w:rPr>
        <w:t>需提供24小时响应服务</w:t>
      </w:r>
      <w:r>
        <w:rPr>
          <w:rFonts w:hint="eastAsia" w:ascii="方正仿宋_GB2312" w:hAnsi="方正仿宋_GB2312" w:eastAsia="方正仿宋_GB2312" w:cs="方正仿宋_GB2312"/>
          <w:szCs w:val="32"/>
        </w:rPr>
        <w:t>；</w:t>
      </w:r>
    </w:p>
    <w:bookmarkEnd w:id="25"/>
    <w:p>
      <w:pPr>
        <w:spacing w:line="514" w:lineRule="exact"/>
        <w:ind w:firstLine="640" w:firstLineChars="200"/>
        <w:rPr>
          <w:rFonts w:ascii="方正仿宋_GB2312" w:hAnsi="方正仿宋_GB2312" w:eastAsia="方正仿宋_GB2312" w:cs="方正仿宋_GB2312"/>
          <w:szCs w:val="32"/>
          <w:lang w:eastAsia="zh-Hans"/>
        </w:rPr>
      </w:pPr>
      <w:r>
        <w:rPr>
          <w:rFonts w:hint="eastAsia" w:ascii="方正仿宋_GB2312" w:hAnsi="方正仿宋_GB2312" w:eastAsia="方正仿宋_GB2312" w:cs="方正仿宋_GB2312"/>
          <w:szCs w:val="32"/>
        </w:rPr>
        <w:t>（项号</w:t>
      </w:r>
      <w:r>
        <w:rPr>
          <w:rFonts w:ascii="方正仿宋_GB2312" w:hAnsi="方正仿宋_GB2312" w:eastAsia="方正仿宋_GB2312" w:cs="方正仿宋_GB2312"/>
          <w:szCs w:val="32"/>
        </w:rPr>
        <w:t>4</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4</w:t>
      </w:r>
      <w:r>
        <w:rPr>
          <w:rFonts w:hint="eastAsia" w:ascii="方正仿宋_GB2312" w:hAnsi="方正仿宋_GB2312" w:eastAsia="方正仿宋_GB2312" w:cs="方正仿宋_GB2312"/>
          <w:szCs w:val="32"/>
        </w:rPr>
        <w:t>、供应商</w:t>
      </w:r>
      <w:r>
        <w:rPr>
          <w:rFonts w:hint="eastAsia" w:ascii="方正仿宋_GB2312" w:hAnsi="方正仿宋_GB2312" w:eastAsia="方正仿宋_GB2312" w:cs="方正仿宋_GB2312"/>
          <w:szCs w:val="32"/>
          <w:lang w:eastAsia="zh-Hans"/>
        </w:rPr>
        <w:t>需提供具备专业背景的服务团队；</w:t>
      </w:r>
    </w:p>
    <w:p>
      <w:pPr>
        <w:spacing w:line="514" w:lineRule="exact"/>
        <w:ind w:firstLine="640" w:firstLineChars="200"/>
        <w:rPr>
          <w:rFonts w:ascii="方正仿宋_GB2312" w:hAnsi="方正仿宋_GB2312" w:eastAsia="方正仿宋_GB2312" w:cs="方正仿宋_GB2312"/>
          <w:szCs w:val="32"/>
          <w:lang w:eastAsia="zh-Hans"/>
        </w:rPr>
      </w:pPr>
      <w:r>
        <w:rPr>
          <w:rFonts w:hint="eastAsia" w:ascii="方正仿宋_GB2312" w:hAnsi="方正仿宋_GB2312" w:eastAsia="方正仿宋_GB2312" w:cs="方正仿宋_GB2312"/>
          <w:szCs w:val="32"/>
        </w:rPr>
        <w:t>（项号</w:t>
      </w:r>
      <w:r>
        <w:rPr>
          <w:rFonts w:ascii="方正仿宋_GB2312" w:hAnsi="方正仿宋_GB2312" w:eastAsia="方正仿宋_GB2312" w:cs="方正仿宋_GB2312"/>
          <w:szCs w:val="32"/>
        </w:rPr>
        <w:t>5</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5</w:t>
      </w:r>
      <w:r>
        <w:rPr>
          <w:rFonts w:hint="eastAsia" w:ascii="方正仿宋_GB2312" w:hAnsi="方正仿宋_GB2312" w:eastAsia="方正仿宋_GB2312" w:cs="方正仿宋_GB2312"/>
          <w:szCs w:val="32"/>
        </w:rPr>
        <w:t>、供应商</w:t>
      </w:r>
      <w:r>
        <w:rPr>
          <w:rFonts w:hint="eastAsia" w:ascii="方正仿宋_GB2312" w:hAnsi="方正仿宋_GB2312" w:eastAsia="方正仿宋_GB2312" w:cs="方正仿宋_GB2312"/>
          <w:szCs w:val="32"/>
          <w:lang w:eastAsia="zh-Hans"/>
        </w:rPr>
        <w:t>应提供高清或以上的专业摄像机、单反相机作为拍摄器材配套；</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（项号</w:t>
      </w:r>
      <w:r>
        <w:rPr>
          <w:rFonts w:ascii="方正仿宋_GB2312" w:hAnsi="方正仿宋_GB2312" w:eastAsia="方正仿宋_GB2312" w:cs="方正仿宋_GB2312"/>
          <w:szCs w:val="32"/>
        </w:rPr>
        <w:t>6</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6</w:t>
      </w:r>
      <w:r>
        <w:rPr>
          <w:rFonts w:hint="eastAsia" w:ascii="方正仿宋_GB2312" w:hAnsi="方正仿宋_GB2312" w:eastAsia="方正仿宋_GB2312" w:cs="方正仿宋_GB2312"/>
          <w:szCs w:val="32"/>
        </w:rPr>
        <w:t>、供应商</w:t>
      </w:r>
      <w:r>
        <w:rPr>
          <w:rFonts w:hint="eastAsia" w:ascii="方正仿宋_GB2312" w:hAnsi="方正仿宋_GB2312" w:eastAsia="方正仿宋_GB2312" w:cs="方正仿宋_GB2312"/>
          <w:szCs w:val="32"/>
          <w:lang w:eastAsia="zh-Hans"/>
        </w:rPr>
        <w:t>应提供专业的后期剪辑设备作为后期制作器材配套；</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（项号</w:t>
      </w:r>
      <w:r>
        <w:rPr>
          <w:rFonts w:ascii="方正仿宋_GB2312" w:hAnsi="方正仿宋_GB2312" w:eastAsia="方正仿宋_GB2312" w:cs="方正仿宋_GB2312"/>
          <w:szCs w:val="32"/>
        </w:rPr>
        <w:t>7</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7</w:t>
      </w:r>
      <w:r>
        <w:rPr>
          <w:rFonts w:hint="eastAsia" w:ascii="方正仿宋_GB2312" w:hAnsi="方正仿宋_GB2312" w:eastAsia="方正仿宋_GB2312" w:cs="方正仿宋_GB2312"/>
          <w:szCs w:val="32"/>
        </w:rPr>
        <w:t>、供应商需具备展馆搭建布展的经验；</w:t>
      </w:r>
    </w:p>
    <w:p>
      <w:pPr>
        <w:spacing w:line="514" w:lineRule="exact"/>
        <w:ind w:firstLine="640" w:firstLineChars="200"/>
        <w:rPr>
          <w:rFonts w:ascii="方正仿宋_GB2312" w:hAnsi="方正仿宋_GB2312" w:eastAsia="方正仿宋_GB2312" w:cs="方正仿宋_GB2312"/>
          <w:szCs w:val="32"/>
          <w:lang w:eastAsia="zh-Hans"/>
        </w:rPr>
      </w:pPr>
      <w:r>
        <w:rPr>
          <w:rFonts w:hint="eastAsia" w:ascii="方正仿宋_GB2312" w:hAnsi="方正仿宋_GB2312" w:eastAsia="方正仿宋_GB2312" w:cs="方正仿宋_GB2312"/>
          <w:szCs w:val="32"/>
        </w:rPr>
        <w:t>（项号</w:t>
      </w:r>
      <w:r>
        <w:rPr>
          <w:rFonts w:ascii="方正仿宋_GB2312" w:hAnsi="方正仿宋_GB2312" w:eastAsia="方正仿宋_GB2312" w:cs="方正仿宋_GB2312"/>
          <w:szCs w:val="32"/>
        </w:rPr>
        <w:t>8</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8</w:t>
      </w:r>
      <w:r>
        <w:rPr>
          <w:rFonts w:hint="eastAsia" w:ascii="方正仿宋_GB2312" w:hAnsi="方正仿宋_GB2312" w:eastAsia="方正仿宋_GB2312" w:cs="方正仿宋_GB2312"/>
          <w:szCs w:val="32"/>
        </w:rPr>
        <w:t>、供应商</w:t>
      </w:r>
      <w:r>
        <w:rPr>
          <w:rFonts w:hint="eastAsia" w:ascii="方正仿宋_GB2312" w:hAnsi="方正仿宋_GB2312" w:eastAsia="方正仿宋_GB2312" w:cs="方正仿宋_GB2312"/>
          <w:szCs w:val="32"/>
          <w:lang w:eastAsia="zh-Hans"/>
        </w:rPr>
        <w:t>需</w:t>
      </w:r>
      <w:r>
        <w:rPr>
          <w:rFonts w:hint="eastAsia" w:ascii="方正仿宋_GB2312" w:hAnsi="方正仿宋_GB2312" w:eastAsia="方正仿宋_GB2312" w:cs="方正仿宋_GB2312"/>
          <w:szCs w:val="32"/>
        </w:rPr>
        <w:t>具备</w:t>
      </w:r>
      <w:r>
        <w:rPr>
          <w:rFonts w:hint="eastAsia" w:ascii="方正仿宋_GB2312" w:hAnsi="方正仿宋_GB2312" w:eastAsia="方正仿宋_GB2312" w:cs="方正仿宋_GB2312"/>
          <w:szCs w:val="32"/>
          <w:lang w:eastAsia="zh-Hans"/>
        </w:rPr>
        <w:t>专业的直播</w:t>
      </w:r>
      <w:r>
        <w:rPr>
          <w:rFonts w:hint="eastAsia" w:ascii="方正仿宋_GB2312" w:hAnsi="方正仿宋_GB2312" w:eastAsia="方正仿宋_GB2312" w:cs="方正仿宋_GB2312"/>
          <w:szCs w:val="32"/>
        </w:rPr>
        <w:t>设备</w:t>
      </w:r>
      <w:r>
        <w:rPr>
          <w:rFonts w:hint="eastAsia" w:ascii="方正仿宋_GB2312" w:hAnsi="方正仿宋_GB2312" w:eastAsia="方正仿宋_GB2312" w:cs="方正仿宋_GB2312"/>
          <w:szCs w:val="32"/>
          <w:lang w:eastAsia="zh-Hans"/>
        </w:rPr>
        <w:t>及</w:t>
      </w:r>
      <w:r>
        <w:rPr>
          <w:rFonts w:hint="eastAsia" w:ascii="方正仿宋_GB2312" w:hAnsi="方正仿宋_GB2312" w:eastAsia="方正仿宋_GB2312" w:cs="方正仿宋_GB2312"/>
          <w:szCs w:val="32"/>
        </w:rPr>
        <w:t>技术</w:t>
      </w:r>
      <w:r>
        <w:rPr>
          <w:rFonts w:hint="eastAsia" w:ascii="方正仿宋_GB2312" w:hAnsi="方正仿宋_GB2312" w:eastAsia="方正仿宋_GB2312" w:cs="方正仿宋_GB2312"/>
          <w:szCs w:val="32"/>
          <w:lang w:eastAsia="zh-Hans"/>
        </w:rPr>
        <w:t>支持；</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（项号</w:t>
      </w:r>
      <w:r>
        <w:rPr>
          <w:rFonts w:ascii="方正仿宋_GB2312" w:hAnsi="方正仿宋_GB2312" w:eastAsia="方正仿宋_GB2312" w:cs="方正仿宋_GB2312"/>
          <w:szCs w:val="32"/>
        </w:rPr>
        <w:t>9</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9</w:t>
      </w:r>
      <w:r>
        <w:rPr>
          <w:rFonts w:hint="eastAsia" w:ascii="方正仿宋_GB2312" w:hAnsi="方正仿宋_GB2312" w:eastAsia="方正仿宋_GB2312" w:cs="方正仿宋_GB2312"/>
          <w:szCs w:val="32"/>
        </w:rPr>
        <w:t>、供应商需具备与会展相关单位、部门协调的能力。</w:t>
      </w:r>
    </w:p>
    <w:p>
      <w:pPr>
        <w:spacing w:line="514" w:lineRule="exact"/>
        <w:ind w:firstLine="643" w:firstLineChars="200"/>
        <w:rPr>
          <w:rFonts w:ascii="楷体" w:hAnsi="楷体" w:eastAsia="楷体" w:cs="楷体"/>
          <w:b/>
          <w:bCs/>
          <w:szCs w:val="32"/>
        </w:rPr>
      </w:pPr>
      <w:r>
        <w:rPr>
          <w:rFonts w:hint="eastAsia" w:ascii="楷体" w:hAnsi="楷体" w:eastAsia="楷体" w:cs="楷体"/>
          <w:b/>
          <w:bCs/>
          <w:szCs w:val="32"/>
        </w:rPr>
        <w:t>（三）服务要求</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★1、福建省地理标志特装展区的租赁、设计、布置、施工搭建、调试及技术、现场保障、组织地标产品相关企业参展以及展会期间的活动策划、宣传推广等一体化服务，展区面积：5</w:t>
      </w:r>
      <w:r>
        <w:rPr>
          <w:rFonts w:ascii="方正仿宋_GB2312" w:hAnsi="方正仿宋_GB2312" w:eastAsia="方正仿宋_GB2312" w:cs="方正仿宋_GB2312"/>
          <w:szCs w:val="32"/>
        </w:rPr>
        <w:t>2平方米；</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★2、设计充分考虑展馆空间利用，视野开阔，通透明亮；可容纳各参展单位无障碍进驻，内设展台可作为独立单位，又体现整体性，可互融互补；</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3</w:t>
      </w:r>
      <w:r>
        <w:rPr>
          <w:rFonts w:hint="eastAsia" w:ascii="方正仿宋_GB2312" w:hAnsi="方正仿宋_GB2312" w:eastAsia="方正仿宋_GB2312" w:cs="方正仿宋_GB2312"/>
          <w:szCs w:val="32"/>
        </w:rPr>
        <w:t>、展区以图片、实物、文字等为载体，充分运用高新技术手段强化展示效果，全方位、多视角展示福建省地标产业，与展区整体相适应；</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4</w:t>
      </w: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展会期间，在展馆现场举办一场直播活动，不含主持人</w:t>
      </w:r>
      <w:r>
        <w:rPr>
          <w:rFonts w:hint="eastAsia" w:ascii="方正仿宋_GB2312" w:hAnsi="方正仿宋_GB2312" w:eastAsia="方正仿宋_GB2312" w:cs="方正仿宋_GB2312"/>
          <w:szCs w:val="32"/>
        </w:rPr>
        <w:t>/主播，用于推荐地标产品；</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5</w:t>
      </w:r>
      <w:r>
        <w:rPr>
          <w:rFonts w:hint="eastAsia" w:ascii="方正仿宋_GB2312" w:hAnsi="方正仿宋_GB2312" w:eastAsia="方正仿宋_GB2312" w:cs="方正仿宋_GB2312"/>
          <w:szCs w:val="32"/>
        </w:rPr>
        <w:t>、提供展会现场的照片拍摄（2天）及现场活动快剪视频（1分钟内），并发布到微信视频号、公众号等线上新媒体渠道投放宣传；</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6</w:t>
      </w:r>
      <w:r>
        <w:rPr>
          <w:rFonts w:hint="eastAsia" w:ascii="方正仿宋_GB2312" w:hAnsi="方正仿宋_GB2312" w:eastAsia="方正仿宋_GB2312" w:cs="方正仿宋_GB2312"/>
          <w:szCs w:val="32"/>
        </w:rPr>
        <w:t>、设计并制作宣传品等物料，设计风格与展馆及地标产品相融合，设计美观大方实用；</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7</w:t>
      </w:r>
      <w:r>
        <w:rPr>
          <w:rFonts w:hint="eastAsia" w:ascii="方正仿宋_GB2312" w:hAnsi="方正仿宋_GB2312" w:eastAsia="方正仿宋_GB2312" w:cs="方正仿宋_GB2312"/>
          <w:szCs w:val="32"/>
        </w:rPr>
        <w:t>、展馆现场提供摄影师、技术人员、工作人员在展会期间做好展会现场保障、技术保障、拍摄记录及宣传用途，活动整体包含工作人员食宿、摄影拍摄等费用；</w:t>
      </w:r>
    </w:p>
    <w:p>
      <w:pPr>
        <w:spacing w:line="514" w:lineRule="exact"/>
        <w:ind w:firstLine="640" w:firstLineChars="200"/>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w:t>
      </w:r>
      <w:r>
        <w:rPr>
          <w:rFonts w:ascii="方正仿宋_GB2312" w:hAnsi="方正仿宋_GB2312" w:eastAsia="方正仿宋_GB2312" w:cs="方正仿宋_GB2312"/>
          <w:szCs w:val="32"/>
        </w:rPr>
        <w:t>8</w:t>
      </w:r>
      <w:r>
        <w:rPr>
          <w:rFonts w:hint="eastAsia" w:ascii="方正仿宋_GB2312" w:hAnsi="方正仿宋_GB2312" w:eastAsia="方正仿宋_GB2312" w:cs="方正仿宋_GB2312"/>
          <w:szCs w:val="32"/>
        </w:rPr>
        <w:t>、负责此次参展展品等相关物料的物流运输等。</w:t>
      </w:r>
    </w:p>
    <w:p>
      <w:pPr>
        <w:widowControl/>
        <w:adjustRightInd/>
        <w:snapToGrid/>
        <w:spacing w:line="514" w:lineRule="exact"/>
        <w:ind w:firstLine="643" w:firstLineChars="200"/>
        <w:jc w:val="left"/>
        <w:rPr>
          <w:rFonts w:ascii="楷体" w:hAnsi="楷体" w:eastAsia="楷体" w:cs="楷体"/>
          <w:b/>
          <w:bCs/>
          <w:szCs w:val="32"/>
        </w:rPr>
      </w:pPr>
      <w:r>
        <w:rPr>
          <w:rFonts w:hint="eastAsia" w:ascii="楷体" w:hAnsi="楷体" w:eastAsia="楷体" w:cs="楷体"/>
          <w:b/>
          <w:bCs/>
          <w:szCs w:val="32"/>
        </w:rPr>
        <w:t>（四）验收要求</w:t>
      </w:r>
    </w:p>
    <w:p>
      <w:pPr>
        <w:widowControl/>
        <w:adjustRightInd/>
        <w:snapToGrid/>
        <w:spacing w:line="514" w:lineRule="exact"/>
        <w:ind w:firstLine="640" w:firstLineChars="200"/>
        <w:jc w:val="left"/>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成交供应商所提供的材料不违反国家相关法律法规，所有文件格式符合合同要求；交付的条目数量以采购人要求发送的格式和版本为标准，并符合招标文件的要求。验收时由乙方和采购人共同对展馆质量等根据招标文件的有关规定逐项检验。</w:t>
      </w:r>
    </w:p>
    <w:p>
      <w:pPr>
        <w:widowControl/>
        <w:adjustRightInd/>
        <w:snapToGrid/>
        <w:spacing w:line="514" w:lineRule="exact"/>
        <w:ind w:firstLine="640" w:firstLineChars="200"/>
        <w:jc w:val="left"/>
        <w:rPr>
          <w:rFonts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 xml:space="preserve">若验收不能符合要求，采购人将按合同条款的有关规定执行。 </w:t>
      </w:r>
    </w:p>
    <w:p>
      <w:pPr>
        <w:spacing w:line="514" w:lineRule="exact"/>
        <w:ind w:firstLine="643" w:firstLineChars="200"/>
        <w:rPr>
          <w:rFonts w:ascii="楷体" w:hAnsi="楷体" w:eastAsia="楷体" w:cs="楷体"/>
          <w:b/>
          <w:bCs/>
          <w:szCs w:val="32"/>
        </w:rPr>
      </w:pPr>
      <w:r>
        <w:rPr>
          <w:rFonts w:hint="eastAsia" w:ascii="楷体" w:hAnsi="楷体" w:eastAsia="楷体" w:cs="楷体"/>
          <w:b/>
          <w:bCs/>
          <w:szCs w:val="32"/>
        </w:rPr>
        <w:t>（五）项目付款方式</w:t>
      </w:r>
      <w:bookmarkEnd w:id="14"/>
      <w:bookmarkEnd w:id="15"/>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成交供应商与采购人签订合同后，采购人向成交供应商转账支付</w:t>
      </w:r>
      <w:r>
        <w:rPr>
          <w:rFonts w:ascii="仿宋_GB2312" w:hAnsi="仿宋_GB2312" w:eastAsia="仿宋_GB2312" w:cs="仿宋_GB2312"/>
          <w:szCs w:val="32"/>
        </w:rPr>
        <w:t>5</w:t>
      </w:r>
      <w:r>
        <w:rPr>
          <w:rFonts w:hint="eastAsia" w:ascii="仿宋_GB2312" w:hAnsi="仿宋_GB2312" w:eastAsia="仿宋_GB2312" w:cs="仿宋_GB2312"/>
          <w:szCs w:val="32"/>
        </w:rPr>
        <w:t>0%项目费用。成交供应商完成本项目要求的所有成果并通过采购人验收后15个工作日内，采购人向成交供应商转账支付余下</w:t>
      </w:r>
      <w:r>
        <w:rPr>
          <w:rFonts w:ascii="仿宋_GB2312" w:hAnsi="仿宋_GB2312" w:eastAsia="仿宋_GB2312" w:cs="仿宋_GB2312"/>
          <w:szCs w:val="32"/>
        </w:rPr>
        <w:t>5</w:t>
      </w:r>
      <w:r>
        <w:rPr>
          <w:rFonts w:hint="eastAsia" w:ascii="仿宋_GB2312" w:hAnsi="仿宋_GB2312" w:eastAsia="仿宋_GB2312" w:cs="仿宋_GB2312"/>
          <w:szCs w:val="32"/>
        </w:rPr>
        <w:t>0%费用。</w:t>
      </w:r>
    </w:p>
    <w:p>
      <w:pPr>
        <w:spacing w:line="514" w:lineRule="exact"/>
        <w:ind w:firstLine="643" w:firstLineChars="200"/>
        <w:rPr>
          <w:rFonts w:ascii="仿宋_GB2312" w:hAnsi="仿宋_GB2312" w:eastAsia="仿宋_GB2312" w:cs="仿宋_GB2312"/>
          <w:szCs w:val="32"/>
        </w:rPr>
      </w:pPr>
      <w:bookmarkStart w:id="26" w:name="_Toc498001269"/>
      <w:bookmarkStart w:id="27" w:name="_Toc498001368"/>
      <w:r>
        <w:rPr>
          <w:rFonts w:hint="eastAsia" w:ascii="楷体" w:hAnsi="楷体" w:eastAsia="楷体" w:cs="楷体"/>
          <w:b/>
          <w:bCs/>
          <w:szCs w:val="32"/>
        </w:rPr>
        <w:t>（六）项目服务期限</w:t>
      </w:r>
      <w:bookmarkEnd w:id="16"/>
      <w:bookmarkEnd w:id="17"/>
      <w:bookmarkEnd w:id="18"/>
      <w:bookmarkEnd w:id="19"/>
      <w:bookmarkEnd w:id="20"/>
      <w:bookmarkEnd w:id="21"/>
      <w:bookmarkEnd w:id="22"/>
      <w:bookmarkEnd w:id="23"/>
      <w:bookmarkEnd w:id="24"/>
      <w:bookmarkEnd w:id="26"/>
      <w:bookmarkEnd w:id="27"/>
    </w:p>
    <w:p>
      <w:pPr>
        <w:spacing w:line="514" w:lineRule="exact"/>
        <w:ind w:firstLine="640" w:firstLineChars="200"/>
        <w:rPr>
          <w:rFonts w:ascii="仿宋_GB2312" w:hAnsi="仿宋_GB2312" w:eastAsia="仿宋_GB2312" w:cs="仿宋_GB2312"/>
          <w:szCs w:val="32"/>
          <w:u w:val="single"/>
        </w:rPr>
      </w:pPr>
      <w:r>
        <w:rPr>
          <w:rFonts w:hint="eastAsia" w:ascii="仿宋_GB2312" w:hAnsi="仿宋_GB2312" w:eastAsia="仿宋_GB2312" w:cs="仿宋_GB2312"/>
          <w:szCs w:val="32"/>
        </w:rPr>
        <w:t>项目实施期限：</w:t>
      </w:r>
      <w:r>
        <w:rPr>
          <w:rFonts w:hint="eastAsia" w:ascii="仿宋_GB2312" w:hAnsi="仿宋_GB2312" w:eastAsia="仿宋_GB2312" w:cs="仿宋_GB2312"/>
          <w:szCs w:val="32"/>
          <w:u w:val="single"/>
        </w:rPr>
        <w:t xml:space="preserve"> 2024年</w:t>
      </w:r>
      <w:r>
        <w:rPr>
          <w:rFonts w:ascii="仿宋_GB2312" w:hAnsi="仿宋_GB2312" w:eastAsia="仿宋_GB2312" w:cs="仿宋_GB2312"/>
          <w:szCs w:val="32"/>
          <w:u w:val="single"/>
        </w:rPr>
        <w:t>9</w:t>
      </w:r>
      <w:r>
        <w:rPr>
          <w:rFonts w:hint="eastAsia" w:ascii="仿宋_GB2312" w:hAnsi="仿宋_GB2312" w:eastAsia="仿宋_GB2312" w:cs="仿宋_GB2312"/>
          <w:szCs w:val="32"/>
          <w:u w:val="single"/>
        </w:rPr>
        <w:t>月</w:t>
      </w:r>
      <w:r>
        <w:rPr>
          <w:rFonts w:ascii="仿宋_GB2312" w:hAnsi="仿宋_GB2312" w:eastAsia="仿宋_GB2312" w:cs="仿宋_GB2312"/>
          <w:szCs w:val="32"/>
          <w:u w:val="single"/>
        </w:rPr>
        <w:t>15</w:t>
      </w:r>
      <w:r>
        <w:rPr>
          <w:rFonts w:hint="eastAsia" w:ascii="仿宋_GB2312" w:hAnsi="仿宋_GB2312" w:eastAsia="仿宋_GB2312" w:cs="仿宋_GB2312"/>
          <w:szCs w:val="32"/>
          <w:u w:val="single"/>
        </w:rPr>
        <w:t xml:space="preserve">日前   </w:t>
      </w:r>
    </w:p>
    <w:p>
      <w:pPr>
        <w:spacing w:line="514" w:lineRule="exact"/>
        <w:ind w:firstLine="643" w:firstLineChars="200"/>
        <w:rPr>
          <w:rFonts w:ascii="楷体" w:hAnsi="楷体" w:eastAsia="楷体" w:cs="楷体"/>
          <w:b/>
          <w:bCs/>
          <w:szCs w:val="32"/>
        </w:rPr>
      </w:pPr>
      <w:bookmarkStart w:id="28" w:name="_Toc421023430"/>
      <w:bookmarkStart w:id="29" w:name="_Toc455746742"/>
      <w:bookmarkStart w:id="30" w:name="_Toc419485053"/>
      <w:bookmarkStart w:id="31" w:name="_Toc498001270"/>
      <w:bookmarkStart w:id="32" w:name="_Toc450320513"/>
      <w:bookmarkStart w:id="33" w:name="_Toc498001369"/>
      <w:bookmarkStart w:id="34" w:name="_Toc430180167"/>
      <w:r>
        <w:rPr>
          <w:rFonts w:hint="eastAsia" w:ascii="楷体" w:hAnsi="楷体" w:eastAsia="楷体" w:cs="楷体"/>
          <w:b/>
          <w:bCs/>
          <w:szCs w:val="32"/>
        </w:rPr>
        <w:t>（七）违约责任</w:t>
      </w:r>
      <w:bookmarkEnd w:id="28"/>
      <w:bookmarkEnd w:id="29"/>
      <w:bookmarkEnd w:id="30"/>
      <w:bookmarkEnd w:id="31"/>
      <w:bookmarkEnd w:id="32"/>
      <w:bookmarkEnd w:id="33"/>
      <w:bookmarkEnd w:id="34"/>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1.因成交供应商原因造成采购合同无法按时签订，视为成交供应商违约，成交供应商违约对采购</w:t>
      </w:r>
    </w:p>
    <w:p>
      <w:pPr>
        <w:spacing w:line="514" w:lineRule="exact"/>
        <w:ind w:firstLine="640" w:firstLineChars="200"/>
        <w:rPr>
          <w:rFonts w:ascii="仿宋_GB2312" w:hAnsi="仿宋_GB2312" w:eastAsia="仿宋_GB2312" w:cs="仿宋_GB2312"/>
          <w:szCs w:val="32"/>
        </w:rPr>
      </w:pPr>
    </w:p>
    <w:p>
      <w:pPr>
        <w:spacing w:line="514" w:lineRule="exact"/>
        <w:rPr>
          <w:rFonts w:ascii="仿宋_GB2312" w:hAnsi="仿宋_GB2312" w:eastAsia="仿宋_GB2312" w:cs="仿宋_GB2312"/>
          <w:szCs w:val="32"/>
        </w:rPr>
      </w:pPr>
      <w:r>
        <w:rPr>
          <w:rFonts w:hint="eastAsia" w:ascii="仿宋_GB2312" w:hAnsi="仿宋_GB2312" w:eastAsia="仿宋_GB2312" w:cs="仿宋_GB2312"/>
          <w:szCs w:val="32"/>
        </w:rPr>
        <w:t>人造成的损失的，需另行支付相应的赔偿。</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2.在签订采购合同之后，成交供应商要求解除合同的，视为成交供应商违约，对采购人造成损失的，成交供应商需支付相应的赔偿。</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3.因成交供应商原因发生重大质量事故，除依约承担赔偿责任外，还将按有关管理办法规定执行。同时，采购人有权保留更换成交供应商的权利，并报相关行政主管部门处罚。</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若成交供应商未能按合同规定的时间或双方另行确定的延期项目实施期限按时完成的(不可抗力除外)，每逾期一天，成交供应商应按项目金额的0.1%向采购人支付逾期的违约金。若成交供应商逾期达15天(含15天)以上的，采购人有权单方解除本合同，成交供应商应按项目总金额的30%支付违约金。若因此给采购人造成损失的，还应赔偿采购人所受的损失。</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6.成交供应商擅自转包的，采购人有权解除合同，且成交供应商应向采购人支付合同总金额20%的违约金，对采购人造成的损失的，需另行支付相应的赔偿。</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7.在明确违约责任后，成交供应商应在接到书面通知书起七天内支付违约金、赔偿金等。</w:t>
      </w:r>
    </w:p>
    <w:p>
      <w:pPr>
        <w:spacing w:line="514"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8.本次采购文件未明确的其他约定事项或条款，待采购人与成交供应商签订合同时，由双方协商订立。</w:t>
      </w:r>
      <w:bookmarkEnd w:id="11"/>
      <w:bookmarkEnd w:id="12"/>
      <w:bookmarkEnd w:id="13"/>
    </w:p>
    <w:p>
      <w:pPr>
        <w:spacing w:line="514" w:lineRule="exact"/>
        <w:ind w:firstLine="640" w:firstLineChars="200"/>
        <w:rPr>
          <w:rFonts w:ascii="仿宋_GB2312" w:hAnsi="仿宋_GB2312" w:eastAsia="仿宋_GB2312" w:cs="仿宋_GB2312"/>
          <w:szCs w:val="32"/>
        </w:rPr>
      </w:pPr>
    </w:p>
    <w:p>
      <w:pPr>
        <w:rPr>
          <w:rFonts w:ascii="宋体" w:hAnsi="宋体" w:eastAsia="宋体"/>
          <w:b/>
          <w:sz w:val="30"/>
          <w:szCs w:val="30"/>
        </w:rPr>
      </w:pPr>
      <w:r>
        <w:rPr>
          <w:rFonts w:hint="eastAsia" w:ascii="宋体" w:hAnsi="宋体" w:eastAsia="宋体"/>
          <w:b/>
          <w:sz w:val="30"/>
          <w:szCs w:val="30"/>
        </w:rPr>
        <w:t>三、</w:t>
      </w:r>
      <w:r>
        <w:rPr>
          <w:rFonts w:ascii="宋体" w:hAnsi="宋体" w:eastAsia="宋体"/>
          <w:b/>
          <w:sz w:val="30"/>
          <w:szCs w:val="30"/>
        </w:rPr>
        <w:t>项目</w:t>
      </w:r>
      <w:r>
        <w:rPr>
          <w:rFonts w:hint="eastAsia" w:ascii="宋体" w:hAnsi="宋体" w:eastAsia="宋体"/>
          <w:b/>
          <w:sz w:val="30"/>
          <w:szCs w:val="30"/>
        </w:rPr>
        <w:t>评分表</w:t>
      </w:r>
    </w:p>
    <w:p>
      <w:pPr>
        <w:jc w:val="left"/>
        <w:rPr>
          <w:rFonts w:ascii="宋体" w:hAnsi="宋体" w:eastAsia="宋体"/>
          <w:b/>
          <w:sz w:val="28"/>
          <w:szCs w:val="28"/>
        </w:rPr>
      </w:pPr>
      <w:r>
        <w:rPr>
          <w:rFonts w:hint="eastAsia" w:ascii="宋体" w:hAnsi="宋体" w:eastAsia="宋体"/>
          <w:b/>
          <w:sz w:val="28"/>
          <w:szCs w:val="28"/>
        </w:rPr>
        <w:t xml:space="preserve">技术部分评分 </w:t>
      </w:r>
      <w:r>
        <w:rPr>
          <w:rFonts w:ascii="宋体" w:hAnsi="宋体" w:eastAsia="宋体"/>
          <w:b/>
          <w:sz w:val="28"/>
          <w:szCs w:val="28"/>
        </w:rPr>
        <w:t xml:space="preserve"> </w:t>
      </w:r>
      <w:r>
        <w:rPr>
          <w:rFonts w:hint="eastAsia" w:ascii="宋体" w:hAnsi="宋体" w:eastAsia="宋体"/>
          <w:b/>
          <w:sz w:val="28"/>
          <w:szCs w:val="28"/>
        </w:rPr>
        <w:t>满分</w:t>
      </w:r>
      <w:r>
        <w:rPr>
          <w:rFonts w:ascii="宋体" w:hAnsi="宋体" w:eastAsia="宋体"/>
          <w:b/>
          <w:sz w:val="28"/>
          <w:szCs w:val="28"/>
        </w:rPr>
        <w:t>74分</w:t>
      </w:r>
    </w:p>
    <w:tbl>
      <w:tblPr>
        <w:tblStyle w:val="9"/>
        <w:tblW w:w="13221"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4"/>
        <w:gridCol w:w="1912"/>
        <w:gridCol w:w="1701"/>
        <w:gridCol w:w="90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514"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序号</w:t>
            </w:r>
          </w:p>
        </w:tc>
        <w:tc>
          <w:tcPr>
            <w:tcW w:w="1912"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项目</w:t>
            </w:r>
          </w:p>
        </w:tc>
        <w:tc>
          <w:tcPr>
            <w:tcW w:w="1701"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分值</w:t>
            </w:r>
          </w:p>
        </w:tc>
        <w:tc>
          <w:tcPr>
            <w:tcW w:w="9094"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3"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技术服务响应情况</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lang w:bidi="ar"/>
              </w:rPr>
              <w:t>32</w:t>
            </w:r>
          </w:p>
        </w:tc>
        <w:tc>
          <w:tcPr>
            <w:tcW w:w="9094" w:type="dxa"/>
            <w:vMerge w:val="restart"/>
            <w:tcBorders>
              <w:top w:val="outset" w:color="auto" w:sz="6" w:space="0"/>
              <w:left w:val="outset" w:color="auto" w:sz="6" w:space="0"/>
              <w:right w:val="outset" w:color="auto" w:sz="6" w:space="0"/>
            </w:tcBorders>
            <w:vAlign w:val="center"/>
          </w:tcPr>
          <w:p>
            <w:pPr>
              <w:pStyle w:val="14"/>
              <w:spacing w:line="440" w:lineRule="exact"/>
              <w:jc w:val="both"/>
              <w:outlineLvl w:val="2"/>
              <w:rPr>
                <w:rFonts w:hint="default"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lang w:bidi="ar"/>
              </w:rPr>
              <w:t>根据</w:t>
            </w:r>
            <w:r>
              <w:rPr>
                <w:rFonts w:ascii="方正仿宋_GB2312" w:hAnsi="方正仿宋_GB2312" w:eastAsia="方正仿宋_GB2312" w:cs="方正仿宋_GB2312"/>
                <w:kern w:val="0"/>
                <w:sz w:val="28"/>
                <w:szCs w:val="28"/>
                <w:lang w:eastAsia="zh-CN" w:bidi="ar"/>
              </w:rPr>
              <w:t>供应商</w:t>
            </w:r>
            <w:r>
              <w:rPr>
                <w:rFonts w:ascii="方正仿宋_GB2312" w:hAnsi="方正仿宋_GB2312" w:eastAsia="方正仿宋_GB2312" w:cs="方正仿宋_GB2312"/>
                <w:kern w:val="0"/>
                <w:sz w:val="28"/>
                <w:szCs w:val="28"/>
                <w:lang w:bidi="ar"/>
              </w:rPr>
              <w:t>对本采购文件中“二、项目内容及具体要求”的“项目技术要求”和“服务要求”的逐项应答情况并结合相关佐证材料（若有）进行评分：完全满足</w:t>
            </w:r>
            <w:r>
              <w:rPr>
                <w:rFonts w:ascii="方正仿宋_GB2312" w:hAnsi="方正仿宋_GB2312" w:eastAsia="方正仿宋_GB2312" w:cs="方正仿宋_GB2312"/>
                <w:kern w:val="0"/>
                <w:sz w:val="28"/>
                <w:szCs w:val="28"/>
                <w:lang w:eastAsia="zh-CN" w:bidi="ar"/>
              </w:rPr>
              <w:t>磋商</w:t>
            </w:r>
            <w:r>
              <w:rPr>
                <w:rFonts w:ascii="方正仿宋_GB2312" w:hAnsi="方正仿宋_GB2312" w:eastAsia="方正仿宋_GB2312" w:cs="方正仿宋_GB2312"/>
                <w:kern w:val="0"/>
                <w:sz w:val="28"/>
                <w:szCs w:val="28"/>
                <w:lang w:bidi="ar"/>
              </w:rPr>
              <w:t>文件要求得</w:t>
            </w:r>
            <w:r>
              <w:rPr>
                <w:rFonts w:hint="default" w:ascii="方正仿宋_GB2312" w:hAnsi="方正仿宋_GB2312" w:eastAsia="方正仿宋_GB2312" w:cs="方正仿宋_GB2312"/>
                <w:kern w:val="0"/>
                <w:sz w:val="28"/>
                <w:szCs w:val="28"/>
                <w:lang w:eastAsia="zh-CN" w:bidi="ar"/>
              </w:rPr>
              <w:t>32</w:t>
            </w:r>
            <w:r>
              <w:rPr>
                <w:rFonts w:ascii="方正仿宋_GB2312" w:hAnsi="方正仿宋_GB2312" w:eastAsia="方正仿宋_GB2312" w:cs="方正仿宋_GB2312"/>
                <w:kern w:val="0"/>
                <w:sz w:val="28"/>
                <w:szCs w:val="28"/>
                <w:lang w:bidi="ar"/>
              </w:rPr>
              <w:t>分，每负偏离一项扣</w:t>
            </w:r>
            <w:r>
              <w:rPr>
                <w:rFonts w:ascii="方正仿宋_GB2312" w:hAnsi="方正仿宋_GB2312" w:eastAsia="方正仿宋_GB2312" w:cs="方正仿宋_GB2312"/>
                <w:kern w:val="0"/>
                <w:sz w:val="28"/>
                <w:szCs w:val="28"/>
                <w:lang w:eastAsia="zh-CN" w:bidi="ar"/>
              </w:rPr>
              <w:t xml:space="preserve"> 3</w:t>
            </w:r>
            <w:r>
              <w:rPr>
                <w:rFonts w:ascii="方正仿宋_GB2312" w:hAnsi="方正仿宋_GB2312" w:eastAsia="方正仿宋_GB2312" w:cs="方正仿宋_GB2312"/>
                <w:kern w:val="0"/>
                <w:sz w:val="28"/>
                <w:szCs w:val="28"/>
                <w:lang w:bidi="ar"/>
              </w:rPr>
              <w:t>分；正偏离不加分。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6"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策划及设计</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w:t>
            </w:r>
          </w:p>
        </w:tc>
        <w:tc>
          <w:tcPr>
            <w:tcW w:w="9094"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根据供应商提供的设计方案与整体设计理念中，是否融入福建省独特的人文地理特色、地标产业特色，由磋商小组进行评议：方案详细完整、可操作性强的得</w:t>
            </w:r>
            <w:r>
              <w:rPr>
                <w:rFonts w:hint="eastAsia" w:ascii="方正仿宋_GB2312" w:hAnsi="方正仿宋_GB2312" w:eastAsia="方正仿宋_GB2312" w:cs="方正仿宋_GB2312"/>
                <w:kern w:val="0"/>
                <w:sz w:val="28"/>
                <w:szCs w:val="28"/>
              </w:rPr>
              <w:t>3分；方案基本完整、可操作性一般的得2分；方案简单不完整、可操作性较差的得</w:t>
            </w:r>
            <w:r>
              <w:rPr>
                <w:rFonts w:ascii="方正仿宋_GB2312" w:hAnsi="方正仿宋_GB2312" w:eastAsia="方正仿宋_GB2312" w:cs="方正仿宋_GB2312"/>
                <w:kern w:val="0"/>
                <w:sz w:val="28"/>
                <w:szCs w:val="28"/>
              </w:rPr>
              <w:t>1</w:t>
            </w:r>
            <w:r>
              <w:rPr>
                <w:rFonts w:hint="eastAsia" w:ascii="方正仿宋_GB2312" w:hAnsi="方正仿宋_GB2312" w:eastAsia="方正仿宋_GB2312" w:cs="方正仿宋_GB2312"/>
                <w:kern w:val="0"/>
                <w:sz w:val="28"/>
                <w:szCs w:val="28"/>
              </w:rPr>
              <w:t>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center"/>
              <w:rPr>
                <w:rFonts w:ascii="方正仿宋_GB2312" w:hAnsi="方正仿宋_GB2312" w:eastAsia="方正仿宋_GB2312" w:cs="方正仿宋_GB2312"/>
                <w:kern w:val="0"/>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方正仿宋_GB2312" w:hAnsi="方正仿宋_GB2312" w:eastAsia="方正仿宋_GB2312" w:cs="方正仿宋_GB2312"/>
                <w:kern w:val="0"/>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center"/>
              <w:rPr>
                <w:rFonts w:ascii="方正仿宋_GB2312" w:hAnsi="方正仿宋_GB2312" w:eastAsia="方正仿宋_GB2312" w:cs="方正仿宋_GB2312"/>
                <w:kern w:val="0"/>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center"/>
              <w:rPr>
                <w:rFonts w:ascii="方正仿宋_GB2312" w:hAnsi="方正仿宋_GB2312" w:eastAsia="方正仿宋_GB2312" w:cs="方正仿宋_GB2312"/>
                <w:kern w:val="0"/>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3</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器材设备</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3</w:t>
            </w:r>
          </w:p>
        </w:tc>
        <w:tc>
          <w:tcPr>
            <w:tcW w:w="9094"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根据供应商拟投入本项目的直播及</w:t>
            </w:r>
            <w:r>
              <w:rPr>
                <w:rFonts w:hint="eastAsia" w:ascii="方正仿宋_GB2312" w:hAnsi="方正仿宋_GB2312" w:eastAsia="方正仿宋_GB2312" w:cs="方正仿宋_GB2312"/>
                <w:kern w:val="0"/>
                <w:sz w:val="28"/>
                <w:szCs w:val="28"/>
                <w:lang w:eastAsia="zh-Hans"/>
              </w:rPr>
              <w:t>拍摄</w:t>
            </w:r>
            <w:r>
              <w:rPr>
                <w:rFonts w:hint="eastAsia" w:ascii="方正仿宋_GB2312" w:hAnsi="方正仿宋_GB2312" w:eastAsia="方正仿宋_GB2312" w:cs="方正仿宋_GB2312"/>
                <w:kern w:val="0"/>
                <w:sz w:val="28"/>
                <w:szCs w:val="28"/>
              </w:rPr>
              <w:t>设备情况，由磋商小组进行评议：</w:t>
            </w:r>
            <w:r>
              <w:rPr>
                <w:rFonts w:hint="eastAsia" w:ascii="方正仿宋_GB2312" w:hAnsi="方正仿宋_GB2312" w:eastAsia="方正仿宋_GB2312" w:cs="方正仿宋_GB2312"/>
                <w:kern w:val="0"/>
                <w:sz w:val="28"/>
                <w:szCs w:val="28"/>
                <w:lang w:eastAsia="zh-Hans"/>
              </w:rPr>
              <w:t>可提供4K60P画质拍摄设备</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Hans"/>
              </w:rPr>
              <w:t>得</w:t>
            </w:r>
            <w:r>
              <w:rPr>
                <w:rFonts w:hint="eastAsia" w:ascii="方正仿宋_GB2312" w:hAnsi="方正仿宋_GB2312" w:eastAsia="方正仿宋_GB2312" w:cs="方正仿宋_GB2312"/>
                <w:kern w:val="0"/>
                <w:sz w:val="28"/>
                <w:szCs w:val="28"/>
              </w:rPr>
              <w:t>3分；</w:t>
            </w:r>
            <w:r>
              <w:rPr>
                <w:rFonts w:hint="eastAsia" w:ascii="方正仿宋_GB2312" w:hAnsi="方正仿宋_GB2312" w:eastAsia="方正仿宋_GB2312" w:cs="方正仿宋_GB2312"/>
                <w:kern w:val="0"/>
                <w:sz w:val="28"/>
                <w:szCs w:val="28"/>
                <w:lang w:eastAsia="zh-Hans"/>
              </w:rPr>
              <w:t>可提供4K30P画质拍摄设备</w:t>
            </w:r>
            <w:r>
              <w:rPr>
                <w:rFonts w:hint="eastAsia" w:ascii="方正仿宋_GB2312" w:hAnsi="方正仿宋_GB2312" w:eastAsia="方正仿宋_GB2312" w:cs="方正仿宋_GB2312"/>
                <w:kern w:val="0"/>
                <w:sz w:val="28"/>
                <w:szCs w:val="28"/>
              </w:rPr>
              <w:t>的得2分；</w:t>
            </w:r>
            <w:r>
              <w:rPr>
                <w:rFonts w:hint="eastAsia" w:ascii="方正仿宋_GB2312" w:hAnsi="方正仿宋_GB2312" w:eastAsia="方正仿宋_GB2312" w:cs="方正仿宋_GB2312"/>
                <w:kern w:val="0"/>
                <w:sz w:val="28"/>
                <w:szCs w:val="28"/>
                <w:lang w:eastAsia="zh-Hans"/>
              </w:rPr>
              <w:t>可提供1080P画质拍摄设备的</w:t>
            </w:r>
            <w:r>
              <w:rPr>
                <w:rFonts w:hint="eastAsia" w:ascii="方正仿宋_GB2312" w:hAnsi="方正仿宋_GB2312" w:eastAsia="方正仿宋_GB2312" w:cs="方正仿宋_GB2312"/>
                <w:kern w:val="0"/>
                <w:sz w:val="28"/>
                <w:szCs w:val="28"/>
              </w:rPr>
              <w:t>得1分。供应商须提供①设备清单、②设备</w:t>
            </w:r>
            <w:r>
              <w:rPr>
                <w:rFonts w:hint="eastAsia" w:ascii="方正仿宋_GB2312" w:hAnsi="方正仿宋_GB2312" w:eastAsia="方正仿宋_GB2312" w:cs="方正仿宋_GB2312"/>
                <w:kern w:val="0"/>
                <w:sz w:val="28"/>
                <w:szCs w:val="28"/>
                <w:lang w:eastAsia="zh-Hans"/>
              </w:rPr>
              <w:t>技术标准说明文件</w:t>
            </w:r>
            <w:r>
              <w:rPr>
                <w:rFonts w:hint="eastAsia" w:ascii="方正仿宋_GB2312" w:hAnsi="方正仿宋_GB2312" w:eastAsia="方正仿宋_GB2312" w:cs="方正仿宋_GB2312"/>
                <w:kern w:val="0"/>
                <w:sz w:val="28"/>
                <w:szCs w:val="28"/>
              </w:rPr>
              <w:t>，未提供或提供不全不得分。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4</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体验性</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3</w:t>
            </w:r>
          </w:p>
        </w:tc>
        <w:tc>
          <w:tcPr>
            <w:tcW w:w="9094"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left"/>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lang w:eastAsia="zh-Hans"/>
              </w:rPr>
              <w:t>根据供应商提供的展区布展设计的体验性，现场是否提供</w:t>
            </w:r>
            <w:r>
              <w:rPr>
                <w:rFonts w:hint="eastAsia" w:ascii="方正仿宋_GB2312" w:hAnsi="方正仿宋_GB2312" w:eastAsia="方正仿宋_GB2312" w:cs="方正仿宋_GB2312"/>
                <w:kern w:val="0"/>
                <w:sz w:val="28"/>
                <w:szCs w:val="28"/>
              </w:rPr>
              <w:t>合理</w:t>
            </w:r>
            <w:r>
              <w:rPr>
                <w:rFonts w:ascii="方正仿宋_GB2312" w:hAnsi="方正仿宋_GB2312" w:eastAsia="方正仿宋_GB2312" w:cs="方正仿宋_GB2312"/>
                <w:kern w:val="0"/>
                <w:sz w:val="28"/>
                <w:szCs w:val="28"/>
                <w:lang w:eastAsia="zh-Hans"/>
              </w:rPr>
              <w:t>的地标相关互动，实现在展馆现场可赏、可尝、可购等体验，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trPr>
        <w:tc>
          <w:tcPr>
            <w:tcW w:w="514" w:type="dxa"/>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5</w:t>
            </w:r>
          </w:p>
        </w:tc>
        <w:tc>
          <w:tcPr>
            <w:tcW w:w="1912"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艺术性</w:t>
            </w:r>
          </w:p>
        </w:tc>
        <w:tc>
          <w:tcPr>
            <w:tcW w:w="1701"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bidi="ar"/>
              </w:rPr>
            </w:pPr>
            <w:r>
              <w:rPr>
                <w:rFonts w:ascii="方正仿宋_GB2312" w:hAnsi="方正仿宋_GB2312" w:eastAsia="方正仿宋_GB2312" w:cs="方正仿宋_GB2312"/>
                <w:kern w:val="0"/>
                <w:sz w:val="28"/>
                <w:szCs w:val="28"/>
                <w:lang w:eastAsia="zh-Hans"/>
              </w:rPr>
              <w:t>根据供应商提供的展区布展设计的艺术性，是否融入部分福建人文历史特色元素，体现</w:t>
            </w:r>
            <w:r>
              <w:rPr>
                <w:rFonts w:hint="eastAsia" w:ascii="方正仿宋_GB2312" w:hAnsi="方正仿宋_GB2312" w:eastAsia="方正仿宋_GB2312" w:cs="方正仿宋_GB2312"/>
                <w:kern w:val="0"/>
                <w:sz w:val="28"/>
                <w:szCs w:val="28"/>
                <w:lang w:eastAsia="zh-Hans"/>
              </w:rPr>
              <w:t>福建</w:t>
            </w:r>
            <w:r>
              <w:rPr>
                <w:rFonts w:ascii="方正仿宋_GB2312" w:hAnsi="方正仿宋_GB2312" w:eastAsia="方正仿宋_GB2312" w:cs="方正仿宋_GB2312"/>
                <w:kern w:val="0"/>
                <w:sz w:val="28"/>
                <w:szCs w:val="28"/>
                <w:lang w:eastAsia="zh-Hans"/>
              </w:rPr>
              <w:t>深厚的文化底蕴，由评委进行评议。方案详细完整、可操作性强、有针对性的得3分，方案基本完整、可操作性一般的得2分，方案简单不完整、可操作性较差的得1分，未提供方案不得分。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trPr>
        <w:tc>
          <w:tcPr>
            <w:tcW w:w="514" w:type="dxa"/>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6</w:t>
            </w:r>
          </w:p>
        </w:tc>
        <w:tc>
          <w:tcPr>
            <w:tcW w:w="1912"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功能性</w:t>
            </w:r>
          </w:p>
        </w:tc>
        <w:tc>
          <w:tcPr>
            <w:tcW w:w="1701"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eastAsia="zh-Hans"/>
              </w:rPr>
            </w:pPr>
            <w:r>
              <w:rPr>
                <w:rFonts w:ascii="方正仿宋_GB2312" w:hAnsi="方正仿宋_GB2312" w:eastAsia="方正仿宋_GB2312" w:cs="方正仿宋_GB2312"/>
                <w:kern w:val="0"/>
                <w:sz w:val="28"/>
                <w:szCs w:val="28"/>
                <w:lang w:eastAsia="zh-Hans"/>
              </w:rPr>
              <w:t>根据供应商提供的展区布展设计的</w:t>
            </w:r>
            <w:r>
              <w:rPr>
                <w:rFonts w:hint="eastAsia" w:ascii="方正仿宋_GB2312" w:hAnsi="方正仿宋_GB2312" w:eastAsia="方正仿宋_GB2312" w:cs="方正仿宋_GB2312"/>
                <w:kern w:val="0"/>
                <w:sz w:val="28"/>
                <w:szCs w:val="28"/>
              </w:rPr>
              <w:t>功能</w:t>
            </w:r>
            <w:r>
              <w:rPr>
                <w:rFonts w:ascii="方正仿宋_GB2312" w:hAnsi="方正仿宋_GB2312" w:eastAsia="方正仿宋_GB2312" w:cs="方正仿宋_GB2312"/>
                <w:kern w:val="0"/>
                <w:sz w:val="28"/>
                <w:szCs w:val="28"/>
                <w:lang w:eastAsia="zh-Hans"/>
              </w:rPr>
              <w:t>性，是否</w:t>
            </w:r>
            <w:r>
              <w:rPr>
                <w:rFonts w:hint="eastAsia" w:ascii="方正仿宋_GB2312" w:hAnsi="方正仿宋_GB2312" w:eastAsia="方正仿宋_GB2312" w:cs="方正仿宋_GB2312"/>
                <w:kern w:val="0"/>
                <w:sz w:val="28"/>
                <w:szCs w:val="28"/>
              </w:rPr>
              <w:t>考虑内部功能</w:t>
            </w:r>
            <w:r>
              <w:rPr>
                <w:rFonts w:ascii="方正仿宋_GB2312" w:hAnsi="方正仿宋_GB2312" w:eastAsia="方正仿宋_GB2312" w:cs="方正仿宋_GB2312"/>
                <w:kern w:val="0"/>
                <w:sz w:val="28"/>
                <w:szCs w:val="28"/>
                <w:lang w:eastAsia="zh-Hans"/>
              </w:rPr>
              <w:t>，最大程度地为展位人员和展位工作提供良好的环境和条件，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trPr>
        <w:tc>
          <w:tcPr>
            <w:tcW w:w="514" w:type="dxa"/>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7</w:t>
            </w:r>
          </w:p>
        </w:tc>
        <w:tc>
          <w:tcPr>
            <w:tcW w:w="1912"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合理性</w:t>
            </w:r>
          </w:p>
        </w:tc>
        <w:tc>
          <w:tcPr>
            <w:tcW w:w="1701"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eastAsia="zh-Hans"/>
              </w:rPr>
            </w:pPr>
            <w:r>
              <w:rPr>
                <w:rFonts w:ascii="方正仿宋_GB2312" w:hAnsi="方正仿宋_GB2312" w:eastAsia="方正仿宋_GB2312" w:cs="方正仿宋_GB2312"/>
                <w:kern w:val="0"/>
                <w:sz w:val="28"/>
                <w:szCs w:val="28"/>
                <w:lang w:eastAsia="zh-Hans"/>
              </w:rPr>
              <w:t>根据供应商提供的展区布展设计的</w:t>
            </w:r>
            <w:r>
              <w:rPr>
                <w:rFonts w:hint="eastAsia" w:ascii="方正仿宋_GB2312" w:hAnsi="方正仿宋_GB2312" w:eastAsia="方正仿宋_GB2312" w:cs="方正仿宋_GB2312"/>
                <w:kern w:val="0"/>
                <w:sz w:val="28"/>
                <w:szCs w:val="28"/>
              </w:rPr>
              <w:t>合理</w:t>
            </w:r>
            <w:r>
              <w:rPr>
                <w:rFonts w:ascii="方正仿宋_GB2312" w:hAnsi="方正仿宋_GB2312" w:eastAsia="方正仿宋_GB2312" w:cs="方正仿宋_GB2312"/>
                <w:kern w:val="0"/>
                <w:sz w:val="28"/>
                <w:szCs w:val="28"/>
                <w:lang w:eastAsia="zh-Hans"/>
              </w:rPr>
              <w:t>性，区域划分、空间规划、参观动线等是否合理，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trPr>
        <w:tc>
          <w:tcPr>
            <w:tcW w:w="514" w:type="dxa"/>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8</w:t>
            </w:r>
          </w:p>
        </w:tc>
        <w:tc>
          <w:tcPr>
            <w:tcW w:w="1912"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色彩搭配</w:t>
            </w:r>
          </w:p>
        </w:tc>
        <w:tc>
          <w:tcPr>
            <w:tcW w:w="1701"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eastAsia="zh-Hans"/>
              </w:rPr>
            </w:pPr>
            <w:r>
              <w:rPr>
                <w:rFonts w:ascii="方正仿宋_GB2312" w:hAnsi="方正仿宋_GB2312" w:eastAsia="方正仿宋_GB2312" w:cs="方正仿宋_GB2312"/>
                <w:kern w:val="0"/>
                <w:sz w:val="28"/>
                <w:szCs w:val="28"/>
                <w:lang w:eastAsia="zh-Hans"/>
              </w:rPr>
              <w:t>根据供应商提供的</w:t>
            </w:r>
            <w:r>
              <w:rPr>
                <w:rFonts w:hint="eastAsia" w:ascii="方正仿宋_GB2312" w:hAnsi="方正仿宋_GB2312" w:eastAsia="方正仿宋_GB2312" w:cs="方正仿宋_GB2312"/>
                <w:kern w:val="0"/>
                <w:sz w:val="28"/>
                <w:szCs w:val="28"/>
                <w:lang w:eastAsia="zh-Hans"/>
              </w:rPr>
              <w:t>设计</w:t>
            </w:r>
            <w:r>
              <w:rPr>
                <w:rFonts w:ascii="方正仿宋_GB2312" w:hAnsi="方正仿宋_GB2312" w:eastAsia="方正仿宋_GB2312" w:cs="方正仿宋_GB2312"/>
                <w:kern w:val="0"/>
                <w:sz w:val="28"/>
                <w:szCs w:val="28"/>
                <w:lang w:eastAsia="zh-Hans"/>
              </w:rPr>
              <w:t>图中</w:t>
            </w:r>
            <w:r>
              <w:rPr>
                <w:rFonts w:hint="eastAsia" w:ascii="方正仿宋_GB2312" w:hAnsi="方正仿宋_GB2312" w:eastAsia="方正仿宋_GB2312" w:cs="方正仿宋_GB2312"/>
                <w:kern w:val="0"/>
                <w:sz w:val="28"/>
                <w:szCs w:val="28"/>
                <w:lang w:eastAsia="zh-Hans"/>
              </w:rPr>
              <w:t>颜色</w:t>
            </w:r>
            <w:r>
              <w:rPr>
                <w:rFonts w:ascii="方正仿宋_GB2312" w:hAnsi="方正仿宋_GB2312" w:eastAsia="方正仿宋_GB2312" w:cs="方正仿宋_GB2312"/>
                <w:kern w:val="0"/>
                <w:sz w:val="28"/>
                <w:szCs w:val="28"/>
                <w:lang w:eastAsia="zh-Hans"/>
              </w:rPr>
              <w:t>搭配及整体</w:t>
            </w:r>
            <w:r>
              <w:rPr>
                <w:rFonts w:hint="eastAsia" w:ascii="方正仿宋_GB2312" w:hAnsi="方正仿宋_GB2312" w:eastAsia="方正仿宋_GB2312" w:cs="方正仿宋_GB2312"/>
                <w:kern w:val="0"/>
                <w:sz w:val="28"/>
                <w:szCs w:val="28"/>
                <w:lang w:eastAsia="zh-Hans"/>
              </w:rPr>
              <w:t>色彩</w:t>
            </w:r>
            <w:r>
              <w:rPr>
                <w:rFonts w:ascii="方正仿宋_GB2312" w:hAnsi="方正仿宋_GB2312" w:eastAsia="方正仿宋_GB2312" w:cs="方正仿宋_GB2312"/>
                <w:kern w:val="0"/>
                <w:sz w:val="28"/>
                <w:szCs w:val="28"/>
                <w:lang w:eastAsia="zh-Hans"/>
              </w:rPr>
              <w:t>的协调是否具有冲击力和震撼力等情况，由评委进行评议。方案详细完整、可操作性强、有针对性的得3分，方案基本完整、可操作性一般的得2分，方案简单不完整、可操作性较差的得1分，未提供方案不得分。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37" w:hRule="atLeast"/>
        </w:trPr>
        <w:tc>
          <w:tcPr>
            <w:tcW w:w="514" w:type="dxa"/>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9</w:t>
            </w:r>
          </w:p>
        </w:tc>
        <w:tc>
          <w:tcPr>
            <w:tcW w:w="1912"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完善程度</w:t>
            </w:r>
          </w:p>
        </w:tc>
        <w:tc>
          <w:tcPr>
            <w:tcW w:w="1701"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eastAsia="zh-Hans"/>
              </w:rPr>
            </w:pPr>
            <w:r>
              <w:rPr>
                <w:rFonts w:ascii="方正仿宋_GB2312" w:hAnsi="方正仿宋_GB2312" w:eastAsia="方正仿宋_GB2312" w:cs="方正仿宋_GB2312"/>
                <w:kern w:val="0"/>
                <w:sz w:val="28"/>
                <w:szCs w:val="28"/>
                <w:lang w:eastAsia="zh-Hans"/>
              </w:rPr>
              <w:t>根据供应商提供的方案展位设计完善程度，展位能满足不同种类地标产品的合理展示，突出产品特色，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73" w:hRule="atLeast"/>
        </w:trPr>
        <w:tc>
          <w:tcPr>
            <w:tcW w:w="514" w:type="dxa"/>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10</w:t>
            </w:r>
          </w:p>
        </w:tc>
        <w:tc>
          <w:tcPr>
            <w:tcW w:w="1912"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直播方案</w:t>
            </w:r>
          </w:p>
        </w:tc>
        <w:tc>
          <w:tcPr>
            <w:tcW w:w="1701" w:type="dxa"/>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eastAsia="zh-Hans"/>
              </w:rPr>
            </w:pPr>
            <w:r>
              <w:rPr>
                <w:rFonts w:ascii="方正仿宋_GB2312" w:hAnsi="方正仿宋_GB2312" w:eastAsia="方正仿宋_GB2312" w:cs="方正仿宋_GB2312"/>
                <w:kern w:val="0"/>
                <w:sz w:val="28"/>
                <w:szCs w:val="28"/>
                <w:lang w:eastAsia="zh-Hans"/>
              </w:rPr>
              <w:t>根据供应商提供的</w:t>
            </w:r>
            <w:r>
              <w:rPr>
                <w:rFonts w:hint="eastAsia" w:ascii="方正仿宋_GB2312" w:hAnsi="方正仿宋_GB2312" w:eastAsia="方正仿宋_GB2312" w:cs="方正仿宋_GB2312"/>
                <w:kern w:val="0"/>
                <w:sz w:val="28"/>
                <w:szCs w:val="28"/>
                <w:lang w:eastAsia="zh-Hans"/>
              </w:rPr>
              <w:t>直播</w:t>
            </w:r>
            <w:r>
              <w:rPr>
                <w:rFonts w:ascii="方正仿宋_GB2312" w:hAnsi="方正仿宋_GB2312" w:eastAsia="方正仿宋_GB2312" w:cs="方正仿宋_GB2312"/>
                <w:kern w:val="0"/>
                <w:sz w:val="28"/>
                <w:szCs w:val="28"/>
                <w:lang w:eastAsia="zh-Hans"/>
              </w:rPr>
              <w:t>方案，策划</w:t>
            </w:r>
            <w:r>
              <w:rPr>
                <w:rFonts w:hint="eastAsia" w:ascii="方正仿宋_GB2312" w:hAnsi="方正仿宋_GB2312" w:eastAsia="方正仿宋_GB2312" w:cs="方正仿宋_GB2312"/>
                <w:kern w:val="0"/>
                <w:sz w:val="28"/>
                <w:szCs w:val="28"/>
                <w:lang w:eastAsia="zh-Hans"/>
              </w:rPr>
              <w:t>如何</w:t>
            </w:r>
            <w:r>
              <w:rPr>
                <w:rFonts w:ascii="方正仿宋_GB2312" w:hAnsi="方正仿宋_GB2312" w:eastAsia="方正仿宋_GB2312" w:cs="方正仿宋_GB2312"/>
                <w:kern w:val="0"/>
                <w:sz w:val="28"/>
                <w:szCs w:val="28"/>
                <w:lang w:eastAsia="zh-Hans"/>
              </w:rPr>
              <w:t>展示</w:t>
            </w:r>
            <w:r>
              <w:rPr>
                <w:rFonts w:hint="eastAsia" w:ascii="方正仿宋_GB2312" w:hAnsi="方正仿宋_GB2312" w:eastAsia="方正仿宋_GB2312" w:cs="方正仿宋_GB2312"/>
                <w:kern w:val="0"/>
                <w:sz w:val="28"/>
                <w:szCs w:val="28"/>
                <w:lang w:eastAsia="zh-Hans"/>
              </w:rPr>
              <w:t>福建</w:t>
            </w:r>
            <w:r>
              <w:rPr>
                <w:rFonts w:ascii="方正仿宋_GB2312" w:hAnsi="方正仿宋_GB2312" w:eastAsia="方正仿宋_GB2312" w:cs="方正仿宋_GB2312"/>
                <w:kern w:val="0"/>
                <w:sz w:val="28"/>
                <w:szCs w:val="28"/>
                <w:lang w:eastAsia="zh-Hans"/>
              </w:rPr>
              <w:t>地标产业特色，宣传推介地标产品</w:t>
            </w:r>
            <w:r>
              <w:rPr>
                <w:rFonts w:hint="eastAsia" w:ascii="方正仿宋_GB2312" w:hAnsi="方正仿宋_GB2312" w:eastAsia="方正仿宋_GB2312" w:cs="方正仿宋_GB2312"/>
                <w:kern w:val="0"/>
                <w:sz w:val="28"/>
                <w:szCs w:val="28"/>
                <w:lang w:eastAsia="zh-Hans"/>
              </w:rPr>
              <w:t>等</w:t>
            </w:r>
            <w:r>
              <w:rPr>
                <w:rFonts w:ascii="方正仿宋_GB2312" w:hAnsi="方正仿宋_GB2312" w:eastAsia="方正仿宋_GB2312" w:cs="方正仿宋_GB2312"/>
                <w:kern w:val="0"/>
                <w:sz w:val="28"/>
                <w:szCs w:val="28"/>
                <w:lang w:eastAsia="zh-Hans"/>
              </w:rPr>
              <w:t>，由评委进行评议。方案详细完整、可操作性强、有针对性的得3分，方案基本完整、可操作性一般的得2分，方案简单不完整、可操作性较差的得1分，未提供方案不得分。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08" w:hRule="atLeast"/>
        </w:trPr>
        <w:tc>
          <w:tcPr>
            <w:tcW w:w="514" w:type="dxa"/>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11</w:t>
            </w:r>
          </w:p>
        </w:tc>
        <w:tc>
          <w:tcPr>
            <w:tcW w:w="1912" w:type="dxa"/>
            <w:tcBorders>
              <w:top w:val="outset" w:color="auto" w:sz="6" w:space="0"/>
              <w:left w:val="outset" w:color="auto" w:sz="6" w:space="0"/>
              <w:right w:val="outset" w:color="auto" w:sz="6" w:space="0"/>
            </w:tcBorders>
            <w:vAlign w:val="center"/>
          </w:tcPr>
          <w:p>
            <w:pPr>
              <w:widowControl/>
              <w:spacing w:line="240" w:lineRule="auto"/>
              <w:jc w:val="center"/>
              <w:textAlignment w:val="center"/>
              <w:rPr>
                <w:rFonts w:ascii="仿宋_GB2312" w:hAnsi="仿宋_GB2312" w:eastAsia="仿宋_GB2312" w:cs="仿宋_GB2312"/>
                <w:kern w:val="0"/>
                <w:sz w:val="28"/>
                <w:szCs w:val="28"/>
                <w:lang w:bidi="ar"/>
              </w:rPr>
            </w:pPr>
            <w:r>
              <w:rPr>
                <w:rFonts w:ascii="仿宋_GB2312" w:hAnsi="仿宋_GB2312" w:eastAsia="仿宋_GB2312" w:cs="仿宋_GB2312"/>
                <w:kern w:val="0"/>
                <w:sz w:val="28"/>
                <w:szCs w:val="28"/>
                <w:lang w:bidi="ar"/>
              </w:rPr>
              <w:t>地理标志产品宣传</w:t>
            </w:r>
            <w:r>
              <w:rPr>
                <w:rFonts w:hint="eastAsia" w:ascii="仿宋_GB2312" w:hAnsi="仿宋_GB2312" w:eastAsia="仿宋_GB2312" w:cs="仿宋_GB2312"/>
                <w:kern w:val="0"/>
                <w:sz w:val="28"/>
                <w:szCs w:val="28"/>
                <w:lang w:bidi="ar"/>
              </w:rPr>
              <w:t>能力</w:t>
            </w:r>
          </w:p>
        </w:tc>
        <w:tc>
          <w:tcPr>
            <w:tcW w:w="1701" w:type="dxa"/>
            <w:tcBorders>
              <w:top w:val="outset" w:color="auto" w:sz="6" w:space="0"/>
              <w:left w:val="outset" w:color="auto" w:sz="6" w:space="0"/>
              <w:right w:val="outset" w:color="auto" w:sz="6" w:space="0"/>
            </w:tcBorders>
            <w:vAlign w:val="center"/>
          </w:tcPr>
          <w:p>
            <w:pPr>
              <w:widowControl/>
              <w:spacing w:line="240" w:lineRule="auto"/>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9094" w:type="dxa"/>
            <w:tcBorders>
              <w:top w:val="outset" w:color="auto" w:sz="6" w:space="0"/>
              <w:left w:val="outset" w:color="auto" w:sz="6" w:space="0"/>
              <w:right w:val="outset" w:color="auto" w:sz="6" w:space="0"/>
            </w:tcBorders>
            <w:vAlign w:val="center"/>
          </w:tcPr>
          <w:p>
            <w:pPr>
              <w:widowControl/>
              <w:spacing w:line="240" w:lineRule="auto"/>
              <w:jc w:val="left"/>
              <w:textAlignment w:val="center"/>
              <w:rPr>
                <w:rFonts w:ascii="仿宋_GB2312" w:hAnsi="仿宋_GB2312" w:eastAsia="仿宋_GB2312" w:cs="仿宋_GB2312"/>
                <w:kern w:val="0"/>
                <w:sz w:val="28"/>
                <w:szCs w:val="28"/>
                <w:lang w:bidi="ar"/>
              </w:rPr>
            </w:pPr>
            <w:r>
              <w:rPr>
                <w:rFonts w:ascii="仿宋_GB2312" w:hAnsi="仿宋_GB2312" w:eastAsia="仿宋_GB2312" w:cs="仿宋_GB2312"/>
                <w:kern w:val="0"/>
                <w:sz w:val="28"/>
                <w:szCs w:val="28"/>
                <w:lang w:bidi="ar"/>
              </w:rPr>
              <w:t>供应商具备拍摄制作福建省地理标志产品相关的视频案例，每提供一个视频得</w:t>
            </w:r>
            <w:r>
              <w:rPr>
                <w:rFonts w:hint="eastAsia" w:ascii="仿宋_GB2312" w:hAnsi="仿宋_GB2312" w:eastAsia="仿宋_GB2312" w:cs="仿宋_GB2312"/>
                <w:kern w:val="0"/>
                <w:sz w:val="28"/>
                <w:szCs w:val="28"/>
                <w:lang w:bidi="ar"/>
              </w:rPr>
              <w:t>1分，满分3分，未</w:t>
            </w:r>
            <w:r>
              <w:rPr>
                <w:rFonts w:ascii="仿宋_GB2312" w:hAnsi="仿宋_GB2312" w:eastAsia="仿宋_GB2312" w:cs="仿宋_GB2312"/>
                <w:kern w:val="0"/>
                <w:sz w:val="28"/>
                <w:szCs w:val="28"/>
                <w:lang w:bidi="ar"/>
              </w:rPr>
              <w:t>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0"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12</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制作团队</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3</w:t>
            </w:r>
          </w:p>
        </w:tc>
        <w:tc>
          <w:tcPr>
            <w:tcW w:w="9094"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rPr>
                <w:rFonts w:ascii="方正仿宋_GB2312" w:hAnsi="方正仿宋_GB2312" w:eastAsia="方正仿宋_GB2312" w:cs="方正仿宋_GB2312"/>
                <w:kern w:val="0"/>
                <w:sz w:val="28"/>
                <w:szCs w:val="28"/>
                <w:lang w:eastAsia="zh-Hans"/>
              </w:rPr>
            </w:pPr>
            <w:r>
              <w:rPr>
                <w:rFonts w:hint="eastAsia" w:ascii="方正仿宋_GB2312" w:hAnsi="方正仿宋_GB2312" w:eastAsia="方正仿宋_GB2312" w:cs="方正仿宋_GB2312"/>
                <w:kern w:val="0"/>
                <w:sz w:val="28"/>
                <w:szCs w:val="28"/>
                <w:lang w:eastAsia="zh-Hans"/>
              </w:rPr>
              <w:t>根据供应商提供的项目团队人员配置方案中，项目团队人员具有相关专业（新闻学、</w:t>
            </w:r>
            <w:r>
              <w:rPr>
                <w:rFonts w:hint="eastAsia" w:ascii="方正仿宋_GB2312" w:hAnsi="方正仿宋_GB2312" w:eastAsia="方正仿宋_GB2312" w:cs="方正仿宋_GB2312"/>
                <w:kern w:val="0"/>
                <w:sz w:val="28"/>
                <w:szCs w:val="28"/>
              </w:rPr>
              <w:t>广播</w:t>
            </w:r>
            <w:r>
              <w:rPr>
                <w:rFonts w:hint="eastAsia" w:ascii="方正仿宋_GB2312" w:hAnsi="方正仿宋_GB2312" w:eastAsia="方正仿宋_GB2312" w:cs="方正仿宋_GB2312"/>
                <w:kern w:val="0"/>
                <w:sz w:val="28"/>
                <w:szCs w:val="28"/>
                <w:lang w:eastAsia="zh-Hans"/>
              </w:rPr>
              <w:t>电视、编导、会展及商务服务等）的人员情况进行评分：相关专业人员在3人及以上的得3分；2人的得2分；1人的得1分；未提供或不符合要求的本项不得分。注：供应商需提供相关人员的专业证明及磋商截止时间前六个月任一个月的依法缴纳社会保障资金的凭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00"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1"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13</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管理及安全监督</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3</w:t>
            </w:r>
          </w:p>
        </w:tc>
        <w:tc>
          <w:tcPr>
            <w:tcW w:w="9094" w:type="dxa"/>
            <w:vMerge w:val="restart"/>
            <w:tcBorders>
              <w:top w:val="outset" w:color="auto" w:sz="6" w:space="0"/>
              <w:left w:val="outset" w:color="auto" w:sz="6" w:space="0"/>
              <w:right w:val="outset" w:color="auto" w:sz="6" w:space="0"/>
            </w:tcBorders>
            <w:vAlign w:val="center"/>
          </w:tcPr>
          <w:p>
            <w:pPr>
              <w:widowControl/>
              <w:adjustRightInd/>
              <w:snapToGrid/>
              <w:spacing w:line="440" w:lineRule="exact"/>
              <w:jc w:val="left"/>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lang w:bidi="ar"/>
              </w:rPr>
              <w:t>根据供应商提供的施工方案在布展、开展及撤展期间的施工管理及安全监督，施工前后对用电安全、人员安全措施、建筑防护安全等方面，由评委进行评议。方案详细完整、完全满足本项目需求、可操作性强的得3分，方案基本完整、基本满足本项目需求、可操作性一般的得2分，方案简单不完整、部分满足本项目需求、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6" w:hRule="atLeast"/>
        </w:trPr>
        <w:tc>
          <w:tcPr>
            <w:tcW w:w="51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bottom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vMerge w:val="restart"/>
            <w:tcBorders>
              <w:top w:val="outset" w:color="auto" w:sz="6" w:space="0"/>
              <w:left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14</w:t>
            </w:r>
          </w:p>
        </w:tc>
        <w:tc>
          <w:tcPr>
            <w:tcW w:w="1912" w:type="dxa"/>
            <w:vMerge w:val="restart"/>
            <w:tcBorders>
              <w:top w:val="outset" w:color="auto" w:sz="6" w:space="0"/>
              <w:left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应急预案</w:t>
            </w:r>
          </w:p>
        </w:tc>
        <w:tc>
          <w:tcPr>
            <w:tcW w:w="1701" w:type="dxa"/>
            <w:vMerge w:val="restart"/>
            <w:tcBorders>
              <w:top w:val="outset" w:color="auto" w:sz="6" w:space="0"/>
              <w:left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bidi="ar"/>
              </w:rPr>
              <w:t>3</w:t>
            </w:r>
          </w:p>
        </w:tc>
        <w:tc>
          <w:tcPr>
            <w:tcW w:w="9094" w:type="dxa"/>
            <w:vMerge w:val="restart"/>
            <w:tcBorders>
              <w:top w:val="outset" w:color="auto" w:sz="6" w:space="0"/>
              <w:left w:val="outset" w:color="auto" w:sz="6" w:space="0"/>
              <w:right w:val="outset" w:color="auto" w:sz="6" w:space="0"/>
            </w:tcBorders>
            <w:vAlign w:val="center"/>
          </w:tcPr>
          <w:p>
            <w:pPr>
              <w:widowControl/>
              <w:adjustRightInd/>
              <w:snapToGrid/>
              <w:spacing w:line="460" w:lineRule="exact"/>
              <w:jc w:val="left"/>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lang w:bidi="ar"/>
              </w:rPr>
              <w:t>根据供应商提供的在实施过程中对突发事件、应急预案的阐述情况，由评委进行评议。方案详细完整、可操作性强、有针对性的得3分，方案基本完整、可操作性一般的得2分，方案简单不完整、可操作性较差的得1分，未提供方案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912"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1701"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c>
          <w:tcPr>
            <w:tcW w:w="9094" w:type="dxa"/>
            <w:vMerge w:val="continue"/>
            <w:tcBorders>
              <w:left w:val="outset" w:color="auto" w:sz="6" w:space="0"/>
              <w:right w:val="outset" w:color="auto" w:sz="6" w:space="0"/>
            </w:tcBorders>
            <w:vAlign w:val="center"/>
          </w:tcPr>
          <w:p>
            <w:pPr>
              <w:widowControl/>
              <w:spacing w:line="360" w:lineRule="auto"/>
              <w:jc w:val="left"/>
              <w:rPr>
                <w:rFonts w:ascii="方正仿宋_GB2312" w:hAnsi="方正仿宋_GB2312" w:eastAsia="方正仿宋_GB2312" w:cs="方正仿宋_GB2312"/>
                <w:kern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trPr>
        <w:tc>
          <w:tcPr>
            <w:tcW w:w="514" w:type="dxa"/>
            <w:tcBorders>
              <w:left w:val="outset" w:color="auto" w:sz="6" w:space="0"/>
              <w:bottom w:val="outset" w:color="auto" w:sz="6" w:space="0"/>
              <w:right w:val="outset" w:color="auto" w:sz="6" w:space="0"/>
            </w:tcBorders>
            <w:vAlign w:val="center"/>
          </w:tcPr>
          <w:p>
            <w:pPr>
              <w:adjustRightInd/>
              <w:snapToGrid/>
              <w:spacing w:line="400" w:lineRule="exact"/>
              <w:jc w:val="center"/>
              <w:rPr>
                <w:rFonts w:ascii="方正仿宋_GB2312" w:hAnsi="方正仿宋_GB2312" w:eastAsia="方正仿宋_GB2312" w:cs="方正仿宋_GB2312"/>
                <w:kern w:val="0"/>
                <w:sz w:val="28"/>
                <w:szCs w:val="28"/>
              </w:rPr>
            </w:pPr>
            <w:r>
              <w:rPr>
                <w:rFonts w:ascii="方正仿宋_GB2312" w:hAnsi="方正仿宋_GB2312" w:eastAsia="方正仿宋_GB2312" w:cs="方正仿宋_GB2312"/>
                <w:kern w:val="0"/>
                <w:sz w:val="28"/>
                <w:szCs w:val="28"/>
              </w:rPr>
              <w:t>15</w:t>
            </w:r>
          </w:p>
        </w:tc>
        <w:tc>
          <w:tcPr>
            <w:tcW w:w="1912" w:type="dxa"/>
            <w:tcBorders>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项目保密承诺</w:t>
            </w:r>
          </w:p>
        </w:tc>
        <w:tc>
          <w:tcPr>
            <w:tcW w:w="1701" w:type="dxa"/>
            <w:tcBorders>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3</w:t>
            </w:r>
          </w:p>
        </w:tc>
        <w:tc>
          <w:tcPr>
            <w:tcW w:w="9094" w:type="dxa"/>
            <w:tcBorders>
              <w:left w:val="outset" w:color="auto" w:sz="6" w:space="0"/>
              <w:bottom w:val="outset" w:color="auto" w:sz="6" w:space="0"/>
              <w:right w:val="outset" w:color="auto" w:sz="6" w:space="0"/>
            </w:tcBorders>
            <w:vAlign w:val="center"/>
          </w:tcPr>
          <w:p>
            <w:pPr>
              <w:widowControl/>
              <w:adjustRightInd/>
              <w:snapToGrid/>
              <w:spacing w:line="460" w:lineRule="exact"/>
              <w:jc w:val="left"/>
              <w:rPr>
                <w:rFonts w:ascii="方正仿宋_GB2312" w:hAnsi="方正仿宋_GB2312" w:eastAsia="方正仿宋_GB2312" w:cs="方正仿宋_GB2312"/>
                <w:kern w:val="0"/>
                <w:sz w:val="28"/>
                <w:szCs w:val="28"/>
                <w:lang w:bidi="ar"/>
              </w:rPr>
            </w:pPr>
            <w:r>
              <w:rPr>
                <w:rFonts w:hint="eastAsia" w:ascii="方正仿宋_GB2312" w:hAnsi="方正仿宋_GB2312" w:eastAsia="方正仿宋_GB2312" w:cs="方正仿宋_GB2312"/>
                <w:kern w:val="0"/>
                <w:sz w:val="28"/>
                <w:szCs w:val="28"/>
                <w:lang w:bidi="ar"/>
              </w:rPr>
              <w:t>供应商承诺为项目信息安全，为本项目配备涉密管理人员得3分，须提供书面承诺，格式自拟，未提供不得分。</w:t>
            </w:r>
          </w:p>
        </w:tc>
      </w:tr>
    </w:tbl>
    <w:p>
      <w:pPr>
        <w:rPr>
          <w:rFonts w:ascii="方正仿宋_GB2312" w:hAnsi="方正仿宋_GB2312" w:eastAsia="方正仿宋_GB2312" w:cs="方正仿宋_GB2312"/>
          <w:b/>
          <w:bCs/>
          <w:sz w:val="28"/>
          <w:szCs w:val="28"/>
        </w:rPr>
      </w:pPr>
    </w:p>
    <w:p>
      <w:pPr>
        <w:rPr>
          <w:rFonts w:ascii="方正仿宋_GB2312" w:hAnsi="方正仿宋_GB2312" w:eastAsia="方正仿宋_GB2312" w:cs="方正仿宋_GB2312"/>
          <w:b/>
          <w:bCs/>
          <w:sz w:val="28"/>
          <w:szCs w:val="28"/>
        </w:rPr>
      </w:pPr>
    </w:p>
    <w:p>
      <w:pPr>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商务部分评分  满分</w:t>
      </w:r>
      <w:r>
        <w:rPr>
          <w:rFonts w:ascii="方正仿宋_GB2312" w:hAnsi="方正仿宋_GB2312" w:eastAsia="方正仿宋_GB2312" w:cs="方正仿宋_GB2312"/>
          <w:b/>
          <w:bCs/>
          <w:sz w:val="28"/>
          <w:szCs w:val="28"/>
        </w:rPr>
        <w:t>1</w:t>
      </w:r>
      <w:r>
        <w:rPr>
          <w:rFonts w:hint="eastAsia" w:ascii="方正仿宋_GB2312" w:hAnsi="方正仿宋_GB2312" w:eastAsia="方正仿宋_GB2312" w:cs="方正仿宋_GB2312"/>
          <w:b/>
          <w:bCs/>
          <w:sz w:val="28"/>
          <w:szCs w:val="28"/>
        </w:rPr>
        <w:t>6分</w:t>
      </w:r>
    </w:p>
    <w:tbl>
      <w:tblPr>
        <w:tblStyle w:val="9"/>
        <w:tblW w:w="13255" w:type="dxa"/>
        <w:tblInd w:w="0" w:type="dxa"/>
        <w:tblLayout w:type="fixed"/>
        <w:tblCellMar>
          <w:top w:w="15" w:type="dxa"/>
          <w:left w:w="15" w:type="dxa"/>
          <w:bottom w:w="15" w:type="dxa"/>
          <w:right w:w="15" w:type="dxa"/>
        </w:tblCellMar>
      </w:tblPr>
      <w:tblGrid>
        <w:gridCol w:w="750"/>
        <w:gridCol w:w="2215"/>
        <w:gridCol w:w="1538"/>
        <w:gridCol w:w="8752"/>
      </w:tblGrid>
      <w:tr>
        <w:tblPrEx>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序号</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分值</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评分方法描述</w:t>
            </w:r>
          </w:p>
        </w:tc>
      </w:tr>
      <w:tr>
        <w:tblPrEx>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资质</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仿宋_GB2312" w:hAnsi="仿宋_GB2312" w:eastAsia="仿宋_GB2312" w:cs="仿宋_GB2312"/>
                <w:kern w:val="0"/>
                <w:sz w:val="28"/>
                <w:szCs w:val="28"/>
                <w:lang w:bidi="ar"/>
              </w:rPr>
            </w:pPr>
            <w:r>
              <w:rPr>
                <w:rFonts w:ascii="仿宋_GB2312" w:hAnsi="仿宋_GB2312" w:eastAsia="仿宋_GB2312" w:cs="仿宋_GB2312"/>
                <w:kern w:val="0"/>
                <w:sz w:val="28"/>
                <w:szCs w:val="28"/>
                <w:lang w:bidi="ar"/>
              </w:rPr>
              <w:t>供应商具备展览馆设计、制作的资质得2分，需在响应文件中提供相应的证明材料并加盖公章，未提供的不得分。</w:t>
            </w:r>
          </w:p>
        </w:tc>
      </w:tr>
      <w:tr>
        <w:tblPrEx>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业绩</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lang w:bidi="ar"/>
              </w:rPr>
              <w:t>自2021年起，以合同签订时间为准）供应商近三年承接的政府采购类文化展览展示项目或地理标志相关项目业绩进行评议：每提供1项业绩得1分，满分3分。 注：供应商应在响应文件中提供符合的成功案例（注明用户名称、项目名称等信息并按顺序排列，否则不予评审），以利评委或采购人在需要时抽查核实，同时提供业绩项目的中标公告（提供相关网站中标公告的下载网页并注明网址）、中标通知书复印件、采购合同文本复印件的相关证明文件复印件，未提供的不得分。（未按要求提供完整材料的将不予计算业绩，业绩不可重复计算，提供虚假资料的将按无效标处理）。</w:t>
            </w:r>
          </w:p>
        </w:tc>
      </w:tr>
      <w:tr>
        <w:tblPrEx>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lang w:bidi="ar"/>
              </w:rPr>
              <w:t>售后服务承诺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仿宋_GB2312" w:hAnsi="仿宋_GB2312" w:eastAsia="仿宋_GB2312" w:cs="仿宋_GB2312"/>
                <w:sz w:val="28"/>
                <w:szCs w:val="28"/>
              </w:rPr>
            </w:pPr>
            <w:r>
              <w:rPr>
                <w:rFonts w:ascii="仿宋_GB2312" w:hAnsi="仿宋_GB2312" w:eastAsia="仿宋_GB2312" w:cs="仿宋_GB2312"/>
                <w:kern w:val="0"/>
                <w:sz w:val="28"/>
                <w:szCs w:val="28"/>
                <w:lang w:bidi="ar"/>
              </w:rPr>
              <w:t>维护响应计划详细，售后服务承诺优于招标要求，服务机构设置便捷，故障响应时间短的得3分；维护响应计划详细，售后服务承诺较好，服务机构设置较为便捷，故障响应时间短的得2分；有提供维护响应计划，服务机构设置一般，售后服务响应内容一般的1分；未提供任何售后服务承诺的本项得0分。</w:t>
            </w:r>
          </w:p>
        </w:tc>
      </w:tr>
      <w:tr>
        <w:tblPrEx>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响应速度承诺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3</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供应商具有能够提供快速服务响应时间进行评分，响应时间&lt;8小时的得3分；8小时≤响应时间&lt;12小时的得2分；12小时≤响应时间&lt;24小时的得1分，须提供承诺函，承诺函格式自拟，未提供的不得分。</w:t>
            </w:r>
          </w:p>
        </w:tc>
      </w:tr>
      <w:tr>
        <w:tblPrEx>
          <w:tblLayout w:type="fixed"/>
          <w:tblCellMar>
            <w:top w:w="15" w:type="dxa"/>
            <w:left w:w="15" w:type="dxa"/>
            <w:bottom w:w="15" w:type="dxa"/>
            <w:right w:w="15" w:type="dxa"/>
          </w:tblCellMar>
        </w:tblPrEx>
        <w:trPr>
          <w:trHeight w:val="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保障措施承诺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5</w:t>
            </w:r>
          </w:p>
        </w:tc>
        <w:tc>
          <w:tcPr>
            <w:tcW w:w="8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仿宋_GB2312" w:hAnsi="仿宋_GB2312" w:eastAsia="仿宋_GB2312" w:cs="仿宋_GB2312"/>
                <w:kern w:val="0"/>
                <w:sz w:val="28"/>
                <w:szCs w:val="28"/>
                <w:lang w:bidi="ar"/>
              </w:rPr>
            </w:pPr>
            <w:r>
              <w:rPr>
                <w:rFonts w:ascii="仿宋_GB2312" w:hAnsi="仿宋_GB2312" w:eastAsia="仿宋_GB2312" w:cs="仿宋_GB2312"/>
                <w:kern w:val="0"/>
                <w:sz w:val="28"/>
                <w:szCs w:val="28"/>
                <w:lang w:bidi="ar"/>
              </w:rPr>
              <w:t>根据供应商对项目质量采取的保障措施承诺优劣情况，由评委进行评议。方案详细完整、可操作性强、有针对性的得</w:t>
            </w:r>
            <w:r>
              <w:rPr>
                <w:rFonts w:hint="eastAsia" w:ascii="仿宋_GB2312" w:hAnsi="仿宋_GB2312" w:eastAsia="仿宋_GB2312" w:cs="仿宋_GB2312"/>
                <w:kern w:val="0"/>
                <w:sz w:val="28"/>
                <w:szCs w:val="28"/>
                <w:lang w:bidi="ar"/>
              </w:rPr>
              <w:t>5</w:t>
            </w:r>
            <w:r>
              <w:rPr>
                <w:rFonts w:ascii="仿宋_GB2312" w:hAnsi="仿宋_GB2312" w:eastAsia="仿宋_GB2312" w:cs="仿宋_GB2312"/>
                <w:kern w:val="0"/>
                <w:sz w:val="28"/>
                <w:szCs w:val="28"/>
                <w:lang w:bidi="ar"/>
              </w:rPr>
              <w:t>分，方案基本完整、可操作性一般的得</w:t>
            </w:r>
            <w:r>
              <w:rPr>
                <w:rFonts w:hint="eastAsia" w:ascii="仿宋_GB2312" w:hAnsi="仿宋_GB2312" w:eastAsia="仿宋_GB2312" w:cs="仿宋_GB2312"/>
                <w:kern w:val="0"/>
                <w:sz w:val="28"/>
                <w:szCs w:val="28"/>
                <w:lang w:bidi="ar"/>
              </w:rPr>
              <w:t>3</w:t>
            </w:r>
            <w:r>
              <w:rPr>
                <w:rFonts w:ascii="仿宋_GB2312" w:hAnsi="仿宋_GB2312" w:eastAsia="仿宋_GB2312" w:cs="仿宋_GB2312"/>
                <w:kern w:val="0"/>
                <w:sz w:val="28"/>
                <w:szCs w:val="28"/>
                <w:lang w:bidi="ar"/>
              </w:rPr>
              <w:t>分，方案简单不完整、可操作性较差的得1分，未提供方案不得分。</w:t>
            </w:r>
          </w:p>
        </w:tc>
      </w:tr>
    </w:tbl>
    <w:p>
      <w:pPr>
        <w:rPr>
          <w:rFonts w:ascii="方正仿宋_GB2312" w:hAnsi="方正仿宋_GB2312" w:eastAsia="方正仿宋_GB2312" w:cs="方正仿宋_GB2312"/>
          <w:b/>
          <w:bCs/>
          <w:sz w:val="28"/>
          <w:szCs w:val="28"/>
        </w:rPr>
      </w:pPr>
    </w:p>
    <w:p>
      <w:pPr>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价格部分评分  满分</w:t>
      </w:r>
      <w:r>
        <w:rPr>
          <w:rFonts w:ascii="方正仿宋_GB2312" w:hAnsi="方正仿宋_GB2312" w:eastAsia="方正仿宋_GB2312" w:cs="方正仿宋_GB2312"/>
          <w:b/>
          <w:bCs/>
          <w:sz w:val="28"/>
          <w:szCs w:val="28"/>
        </w:rPr>
        <w:t>1</w:t>
      </w:r>
      <w:r>
        <w:rPr>
          <w:rFonts w:hint="eastAsia" w:ascii="方正仿宋_GB2312" w:hAnsi="方正仿宋_GB2312" w:eastAsia="方正仿宋_GB2312" w:cs="方正仿宋_GB2312"/>
          <w:b/>
          <w:bCs/>
          <w:sz w:val="28"/>
          <w:szCs w:val="28"/>
        </w:rPr>
        <w:t>0分</w:t>
      </w:r>
    </w:p>
    <w:tbl>
      <w:tblPr>
        <w:tblStyle w:val="9"/>
        <w:tblW w:w="13239"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2"/>
        <w:gridCol w:w="2217"/>
        <w:gridCol w:w="1550"/>
        <w:gridCol w:w="87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742" w:type="dxa"/>
            <w:tcBorders>
              <w:top w:val="outset" w:color="auto" w:sz="6" w:space="0"/>
              <w:left w:val="outset" w:color="auto" w:sz="6" w:space="0"/>
              <w:bottom w:val="outset" w:color="auto" w:sz="6" w:space="0"/>
              <w:right w:val="outset" w:color="auto" w:sz="6" w:space="0"/>
            </w:tcBorders>
          </w:tcPr>
          <w:p>
            <w:pPr>
              <w:widowControl/>
              <w:adjustRightInd/>
              <w:snapToGrid/>
              <w:spacing w:line="46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序号</w:t>
            </w:r>
          </w:p>
        </w:tc>
        <w:tc>
          <w:tcPr>
            <w:tcW w:w="2217"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项目</w:t>
            </w:r>
          </w:p>
        </w:tc>
        <w:tc>
          <w:tcPr>
            <w:tcW w:w="155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分值</w:t>
            </w:r>
          </w:p>
        </w:tc>
        <w:tc>
          <w:tcPr>
            <w:tcW w:w="8730" w:type="dxa"/>
            <w:tcBorders>
              <w:top w:val="outset" w:color="auto" w:sz="6" w:space="0"/>
              <w:left w:val="outset" w:color="auto" w:sz="6" w:space="0"/>
              <w:bottom w:val="outset" w:color="auto" w:sz="6" w:space="0"/>
              <w:right w:val="outset" w:color="auto" w:sz="6" w:space="0"/>
            </w:tcBorders>
            <w:vAlign w:val="center"/>
          </w:tcPr>
          <w:p>
            <w:pPr>
              <w:widowControl/>
              <w:adjustRightInd/>
              <w:snapToGrid/>
              <w:spacing w:line="46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评分方法描述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trPr>
        <w:tc>
          <w:tcPr>
            <w:tcW w:w="742"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w:t>
            </w:r>
          </w:p>
        </w:tc>
        <w:tc>
          <w:tcPr>
            <w:tcW w:w="2217"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报价情况</w:t>
            </w:r>
          </w:p>
        </w:tc>
        <w:tc>
          <w:tcPr>
            <w:tcW w:w="1550"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center"/>
              <w:rPr>
                <w:rFonts w:ascii="方正仿宋_GB2312" w:hAnsi="方正仿宋_GB2312" w:eastAsia="方正仿宋_GB2312" w:cs="方正仿宋_GB2312"/>
                <w:sz w:val="28"/>
                <w:szCs w:val="28"/>
              </w:rPr>
            </w:pPr>
            <w:r>
              <w:rPr>
                <w:rFonts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t>0</w:t>
            </w:r>
          </w:p>
        </w:tc>
        <w:tc>
          <w:tcPr>
            <w:tcW w:w="8730" w:type="dxa"/>
            <w:vMerge w:val="restart"/>
            <w:tcBorders>
              <w:top w:val="outset" w:color="auto" w:sz="6" w:space="0"/>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采用低价优先法计算，即满足采购文件要求且报价最低的供应商的价格为基准价，其价格分为满分。其他供应商的价格分统一按照下列公式计算：报价得分=（基准价／报价）×价格权值（0.10）×100。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trPr>
        <w:tc>
          <w:tcPr>
            <w:tcW w:w="742"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sz w:val="28"/>
                <w:szCs w:val="28"/>
              </w:rPr>
            </w:pPr>
          </w:p>
        </w:tc>
        <w:tc>
          <w:tcPr>
            <w:tcW w:w="2217"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sz w:val="28"/>
                <w:szCs w:val="28"/>
              </w:rPr>
            </w:pPr>
          </w:p>
        </w:tc>
        <w:tc>
          <w:tcPr>
            <w:tcW w:w="1550"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sz w:val="28"/>
                <w:szCs w:val="28"/>
              </w:rPr>
            </w:pPr>
          </w:p>
        </w:tc>
        <w:tc>
          <w:tcPr>
            <w:tcW w:w="8730"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trPr>
        <w:tc>
          <w:tcPr>
            <w:tcW w:w="742"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kern w:val="0"/>
                <w:sz w:val="28"/>
                <w:szCs w:val="28"/>
              </w:rPr>
            </w:pPr>
          </w:p>
        </w:tc>
        <w:tc>
          <w:tcPr>
            <w:tcW w:w="2217"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kern w:val="0"/>
                <w:sz w:val="28"/>
                <w:szCs w:val="28"/>
              </w:rPr>
            </w:pPr>
          </w:p>
        </w:tc>
        <w:tc>
          <w:tcPr>
            <w:tcW w:w="1550"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kern w:val="0"/>
                <w:sz w:val="28"/>
                <w:szCs w:val="28"/>
              </w:rPr>
            </w:pPr>
          </w:p>
        </w:tc>
        <w:tc>
          <w:tcPr>
            <w:tcW w:w="8730" w:type="dxa"/>
            <w:vMerge w:val="continue"/>
            <w:tcBorders>
              <w:left w:val="outset" w:color="auto" w:sz="6" w:space="0"/>
              <w:right w:val="outset" w:color="auto" w:sz="6" w:space="0"/>
            </w:tcBorders>
            <w:vAlign w:val="center"/>
          </w:tcPr>
          <w:p>
            <w:pPr>
              <w:widowControl/>
              <w:adjustRightInd/>
              <w:snapToGrid/>
              <w:spacing w:line="400" w:lineRule="exact"/>
              <w:jc w:val="left"/>
              <w:rPr>
                <w:rFonts w:ascii="方正仿宋_GB2312" w:hAnsi="方正仿宋_GB2312" w:eastAsia="方正仿宋_GB2312" w:cs="方正仿宋_GB2312"/>
                <w:kern w:val="0"/>
                <w:sz w:val="28"/>
                <w:szCs w:val="28"/>
              </w:rPr>
            </w:pPr>
          </w:p>
        </w:tc>
      </w:tr>
    </w:tbl>
    <w:p>
      <w:pPr>
        <w:rPr>
          <w:u w:val="single"/>
        </w:rPr>
      </w:pPr>
      <w:r>
        <w:rPr>
          <w:rFonts w:hint="eastAsia" w:ascii="方正仿宋_GB2312" w:hAnsi="方正仿宋_GB2312" w:eastAsia="方正仿宋_GB2312" w:cs="方正仿宋_GB2312"/>
          <w:sz w:val="28"/>
          <w:szCs w:val="28"/>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kern w:val="0"/>
        <w:sz w:val="21"/>
        <w:szCs w:val="21"/>
      </w:rPr>
    </w:pPr>
    <w:r>
      <w:rPr>
        <w:rFonts w:hint="eastAsia" w:ascii="Calibri" w:hAnsi="Calibri" w:eastAsia="宋体"/>
        <w:kern w:val="0"/>
        <w:sz w:val="21"/>
        <w:szCs w:val="21"/>
      </w:rPr>
      <w:t xml:space="preserve">— </w:t>
    </w:r>
    <w:r>
      <w:rPr>
        <w:rFonts w:ascii="Calibri" w:hAnsi="Calibri" w:eastAsia="宋体"/>
        <w:kern w:val="0"/>
        <w:sz w:val="21"/>
        <w:szCs w:val="21"/>
      </w:rPr>
      <w:fldChar w:fldCharType="begin"/>
    </w:r>
    <w:r>
      <w:rPr>
        <w:rFonts w:ascii="Calibri" w:hAnsi="Calibri" w:eastAsia="宋体"/>
        <w:kern w:val="0"/>
        <w:sz w:val="21"/>
        <w:szCs w:val="21"/>
      </w:rPr>
      <w:instrText xml:space="preserve">PAGE   \* MERGEFORMAT</w:instrText>
    </w:r>
    <w:r>
      <w:rPr>
        <w:rFonts w:ascii="Calibri" w:hAnsi="Calibri" w:eastAsia="宋体"/>
        <w:kern w:val="0"/>
        <w:sz w:val="21"/>
        <w:szCs w:val="21"/>
      </w:rPr>
      <w:fldChar w:fldCharType="separate"/>
    </w:r>
    <w:r>
      <w:rPr>
        <w:rFonts w:ascii="Calibri" w:hAnsi="Calibri" w:eastAsia="宋体"/>
        <w:kern w:val="0"/>
        <w:sz w:val="21"/>
        <w:szCs w:val="21"/>
        <w:lang w:val="zh-CN"/>
      </w:rPr>
      <w:t>14</w:t>
    </w:r>
    <w:r>
      <w:rPr>
        <w:rFonts w:ascii="Calibri" w:hAnsi="Calibri" w:eastAsia="宋体"/>
        <w:kern w:val="0"/>
        <w:sz w:val="21"/>
        <w:szCs w:val="21"/>
      </w:rPr>
      <w:fldChar w:fldCharType="end"/>
    </w:r>
    <w:r>
      <w:rPr>
        <w:rFonts w:hint="eastAsia" w:ascii="Calibri" w:hAnsi="Calibri" w:eastAsia="宋体"/>
        <w:kern w:val="0"/>
        <w:sz w:val="21"/>
        <w:szCs w:val="21"/>
      </w:rPr>
      <w:t xml:space="preserve"> —</w:t>
    </w:r>
  </w:p>
  <w:p>
    <w:pPr>
      <w:ind w:right="360" w:firstLine="360"/>
      <w:jc w:val="left"/>
      <w:rPr>
        <w:rFonts w:ascii="Calibri" w:hAnsi="Calibri" w:eastAsia="宋体"/>
        <w:kern w:val="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F6"/>
    <w:rsid w:val="00006261"/>
    <w:rsid w:val="0001752F"/>
    <w:rsid w:val="000535EE"/>
    <w:rsid w:val="00055B47"/>
    <w:rsid w:val="00084BA8"/>
    <w:rsid w:val="00095888"/>
    <w:rsid w:val="000B0FAD"/>
    <w:rsid w:val="000C75F7"/>
    <w:rsid w:val="000D113B"/>
    <w:rsid w:val="000D242C"/>
    <w:rsid w:val="000D39F8"/>
    <w:rsid w:val="000D42D6"/>
    <w:rsid w:val="000E0F14"/>
    <w:rsid w:val="000E3548"/>
    <w:rsid w:val="0010436B"/>
    <w:rsid w:val="00114B63"/>
    <w:rsid w:val="001227C4"/>
    <w:rsid w:val="00133543"/>
    <w:rsid w:val="00133FF3"/>
    <w:rsid w:val="00151DA9"/>
    <w:rsid w:val="00172653"/>
    <w:rsid w:val="001A120F"/>
    <w:rsid w:val="001A3483"/>
    <w:rsid w:val="001B04A1"/>
    <w:rsid w:val="001B4A18"/>
    <w:rsid w:val="001B6430"/>
    <w:rsid w:val="001C31E5"/>
    <w:rsid w:val="001D280C"/>
    <w:rsid w:val="001D52C2"/>
    <w:rsid w:val="001D70D2"/>
    <w:rsid w:val="001E1899"/>
    <w:rsid w:val="001E548F"/>
    <w:rsid w:val="00206876"/>
    <w:rsid w:val="002100D2"/>
    <w:rsid w:val="00242E52"/>
    <w:rsid w:val="002521F9"/>
    <w:rsid w:val="00255510"/>
    <w:rsid w:val="002557D6"/>
    <w:rsid w:val="00256EEF"/>
    <w:rsid w:val="00280241"/>
    <w:rsid w:val="00286FE5"/>
    <w:rsid w:val="002C5806"/>
    <w:rsid w:val="002E2518"/>
    <w:rsid w:val="002F6D01"/>
    <w:rsid w:val="00323080"/>
    <w:rsid w:val="003301E8"/>
    <w:rsid w:val="0033218A"/>
    <w:rsid w:val="00337367"/>
    <w:rsid w:val="003532A5"/>
    <w:rsid w:val="003657E0"/>
    <w:rsid w:val="00365E73"/>
    <w:rsid w:val="00372102"/>
    <w:rsid w:val="0037657C"/>
    <w:rsid w:val="0037742E"/>
    <w:rsid w:val="003855D2"/>
    <w:rsid w:val="003A2113"/>
    <w:rsid w:val="003A3793"/>
    <w:rsid w:val="003A63BD"/>
    <w:rsid w:val="003C0C77"/>
    <w:rsid w:val="003D2985"/>
    <w:rsid w:val="003D32C4"/>
    <w:rsid w:val="003D4B0F"/>
    <w:rsid w:val="003D63A5"/>
    <w:rsid w:val="003E7CC5"/>
    <w:rsid w:val="004100E2"/>
    <w:rsid w:val="00413EC6"/>
    <w:rsid w:val="00420131"/>
    <w:rsid w:val="00427F09"/>
    <w:rsid w:val="004407A7"/>
    <w:rsid w:val="00440A58"/>
    <w:rsid w:val="00444F1B"/>
    <w:rsid w:val="00465746"/>
    <w:rsid w:val="00480A66"/>
    <w:rsid w:val="00483C3B"/>
    <w:rsid w:val="00495CA6"/>
    <w:rsid w:val="004A03BC"/>
    <w:rsid w:val="004A3EA2"/>
    <w:rsid w:val="004A7F56"/>
    <w:rsid w:val="004C1128"/>
    <w:rsid w:val="004C48FD"/>
    <w:rsid w:val="00524B5C"/>
    <w:rsid w:val="00534E48"/>
    <w:rsid w:val="0055010D"/>
    <w:rsid w:val="00556B12"/>
    <w:rsid w:val="00563129"/>
    <w:rsid w:val="00570764"/>
    <w:rsid w:val="005730BC"/>
    <w:rsid w:val="00585750"/>
    <w:rsid w:val="005D687F"/>
    <w:rsid w:val="005E1A54"/>
    <w:rsid w:val="005F0645"/>
    <w:rsid w:val="005F5D49"/>
    <w:rsid w:val="0060662B"/>
    <w:rsid w:val="00610C12"/>
    <w:rsid w:val="00621D87"/>
    <w:rsid w:val="00636D4C"/>
    <w:rsid w:val="00636EFF"/>
    <w:rsid w:val="006419EB"/>
    <w:rsid w:val="006453D8"/>
    <w:rsid w:val="00655100"/>
    <w:rsid w:val="006574F1"/>
    <w:rsid w:val="006801D1"/>
    <w:rsid w:val="006A1F76"/>
    <w:rsid w:val="006A3253"/>
    <w:rsid w:val="006A5C23"/>
    <w:rsid w:val="006B13FB"/>
    <w:rsid w:val="006F36BA"/>
    <w:rsid w:val="006F6A72"/>
    <w:rsid w:val="00711BB0"/>
    <w:rsid w:val="00716417"/>
    <w:rsid w:val="007177CD"/>
    <w:rsid w:val="00721EA0"/>
    <w:rsid w:val="00722738"/>
    <w:rsid w:val="00725CB2"/>
    <w:rsid w:val="00737193"/>
    <w:rsid w:val="0074487F"/>
    <w:rsid w:val="00747899"/>
    <w:rsid w:val="00757E91"/>
    <w:rsid w:val="00762749"/>
    <w:rsid w:val="00770DCF"/>
    <w:rsid w:val="00792737"/>
    <w:rsid w:val="00794077"/>
    <w:rsid w:val="007962F6"/>
    <w:rsid w:val="007A71DF"/>
    <w:rsid w:val="007B0522"/>
    <w:rsid w:val="007B4B1E"/>
    <w:rsid w:val="007C01EA"/>
    <w:rsid w:val="007C4528"/>
    <w:rsid w:val="007D19AD"/>
    <w:rsid w:val="007E4A7D"/>
    <w:rsid w:val="007F4013"/>
    <w:rsid w:val="00811687"/>
    <w:rsid w:val="00812353"/>
    <w:rsid w:val="0083405D"/>
    <w:rsid w:val="00837B35"/>
    <w:rsid w:val="00856381"/>
    <w:rsid w:val="00860BD9"/>
    <w:rsid w:val="00862DCF"/>
    <w:rsid w:val="00863327"/>
    <w:rsid w:val="008642C6"/>
    <w:rsid w:val="00882BCC"/>
    <w:rsid w:val="00885165"/>
    <w:rsid w:val="008A25EE"/>
    <w:rsid w:val="008A37B9"/>
    <w:rsid w:val="008A6464"/>
    <w:rsid w:val="008B4415"/>
    <w:rsid w:val="008B7372"/>
    <w:rsid w:val="008C579C"/>
    <w:rsid w:val="008D2DC5"/>
    <w:rsid w:val="008E07EA"/>
    <w:rsid w:val="008E10B7"/>
    <w:rsid w:val="008E1ADF"/>
    <w:rsid w:val="00903019"/>
    <w:rsid w:val="009378C9"/>
    <w:rsid w:val="00940013"/>
    <w:rsid w:val="0094054C"/>
    <w:rsid w:val="00941F71"/>
    <w:rsid w:val="0096283A"/>
    <w:rsid w:val="00991468"/>
    <w:rsid w:val="00995D4B"/>
    <w:rsid w:val="00996263"/>
    <w:rsid w:val="009A306A"/>
    <w:rsid w:val="009A42FF"/>
    <w:rsid w:val="009B68AD"/>
    <w:rsid w:val="009D7896"/>
    <w:rsid w:val="009F4E54"/>
    <w:rsid w:val="009F6D0E"/>
    <w:rsid w:val="00A1127B"/>
    <w:rsid w:val="00A15AAD"/>
    <w:rsid w:val="00A33B21"/>
    <w:rsid w:val="00A33B45"/>
    <w:rsid w:val="00A4214E"/>
    <w:rsid w:val="00A4354D"/>
    <w:rsid w:val="00A552BF"/>
    <w:rsid w:val="00A57EAC"/>
    <w:rsid w:val="00A609F0"/>
    <w:rsid w:val="00A66740"/>
    <w:rsid w:val="00A90052"/>
    <w:rsid w:val="00A964CD"/>
    <w:rsid w:val="00AC7975"/>
    <w:rsid w:val="00AD021E"/>
    <w:rsid w:val="00AD0DFE"/>
    <w:rsid w:val="00AE0CBA"/>
    <w:rsid w:val="00AF7AA7"/>
    <w:rsid w:val="00AF7C96"/>
    <w:rsid w:val="00B07F7C"/>
    <w:rsid w:val="00B15AF8"/>
    <w:rsid w:val="00B164DE"/>
    <w:rsid w:val="00B23D5A"/>
    <w:rsid w:val="00B41886"/>
    <w:rsid w:val="00B54D7B"/>
    <w:rsid w:val="00B62DEE"/>
    <w:rsid w:val="00B67326"/>
    <w:rsid w:val="00B804AC"/>
    <w:rsid w:val="00B973C1"/>
    <w:rsid w:val="00BB596F"/>
    <w:rsid w:val="00BC4AC8"/>
    <w:rsid w:val="00BC7FF4"/>
    <w:rsid w:val="00BD407D"/>
    <w:rsid w:val="00BD738D"/>
    <w:rsid w:val="00BE2938"/>
    <w:rsid w:val="00BF03D6"/>
    <w:rsid w:val="00C0033E"/>
    <w:rsid w:val="00C06D34"/>
    <w:rsid w:val="00C13FF9"/>
    <w:rsid w:val="00C169B3"/>
    <w:rsid w:val="00C40429"/>
    <w:rsid w:val="00C5243A"/>
    <w:rsid w:val="00C52FEB"/>
    <w:rsid w:val="00C569F4"/>
    <w:rsid w:val="00C75879"/>
    <w:rsid w:val="00C83B15"/>
    <w:rsid w:val="00CA7682"/>
    <w:rsid w:val="00CE1D9B"/>
    <w:rsid w:val="00CE328F"/>
    <w:rsid w:val="00CF50FA"/>
    <w:rsid w:val="00D01F4F"/>
    <w:rsid w:val="00D03456"/>
    <w:rsid w:val="00D078C0"/>
    <w:rsid w:val="00D12A76"/>
    <w:rsid w:val="00D24570"/>
    <w:rsid w:val="00D31B5D"/>
    <w:rsid w:val="00D32D1B"/>
    <w:rsid w:val="00D455EA"/>
    <w:rsid w:val="00D53C2B"/>
    <w:rsid w:val="00D66BAE"/>
    <w:rsid w:val="00D754D4"/>
    <w:rsid w:val="00D77DC3"/>
    <w:rsid w:val="00D81C0B"/>
    <w:rsid w:val="00D8268C"/>
    <w:rsid w:val="00D8480E"/>
    <w:rsid w:val="00D85786"/>
    <w:rsid w:val="00DA22DF"/>
    <w:rsid w:val="00DA7B4C"/>
    <w:rsid w:val="00DB30C3"/>
    <w:rsid w:val="00DC1042"/>
    <w:rsid w:val="00DD0056"/>
    <w:rsid w:val="00DD7DF7"/>
    <w:rsid w:val="00E1717D"/>
    <w:rsid w:val="00E540EC"/>
    <w:rsid w:val="00E577CC"/>
    <w:rsid w:val="00E67708"/>
    <w:rsid w:val="00EB1178"/>
    <w:rsid w:val="00EC4A81"/>
    <w:rsid w:val="00EC55BD"/>
    <w:rsid w:val="00ED2092"/>
    <w:rsid w:val="00EF6A1C"/>
    <w:rsid w:val="00F043F7"/>
    <w:rsid w:val="00F14D04"/>
    <w:rsid w:val="00F25006"/>
    <w:rsid w:val="00F354DF"/>
    <w:rsid w:val="00F3648F"/>
    <w:rsid w:val="00F408F6"/>
    <w:rsid w:val="00F4795C"/>
    <w:rsid w:val="00F5658E"/>
    <w:rsid w:val="00F7452B"/>
    <w:rsid w:val="00F748C6"/>
    <w:rsid w:val="00F80771"/>
    <w:rsid w:val="00F86648"/>
    <w:rsid w:val="00FB43A2"/>
    <w:rsid w:val="00FC3EF3"/>
    <w:rsid w:val="00FE0180"/>
    <w:rsid w:val="01C51096"/>
    <w:rsid w:val="3F9567DF"/>
    <w:rsid w:val="55EC4DE0"/>
    <w:rsid w:val="6D5A7361"/>
    <w:rsid w:val="7DB3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4" w:lineRule="exact"/>
      <w:jc w:val="both"/>
    </w:pPr>
    <w:rPr>
      <w:rFonts w:ascii="黑体" w:hAnsi="黑体" w:eastAsia="方正仿宋简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toc 5"/>
    <w:basedOn w:val="1"/>
    <w:next w:val="1"/>
    <w:qFormat/>
    <w:uiPriority w:val="0"/>
    <w:pPr>
      <w:ind w:left="1680" w:leftChars="800"/>
    </w:pPr>
    <w:rPr>
      <w:rFonts w:ascii="Calibri" w:hAnsi="Calibri" w:eastAsia="宋体"/>
    </w:rPr>
  </w:style>
  <w:style w:type="paragraph" w:styleId="4">
    <w:name w:val="footer"/>
    <w:basedOn w:val="1"/>
    <w:link w:val="11"/>
    <w:unhideWhenUsed/>
    <w:uiPriority w:val="99"/>
    <w:pPr>
      <w:tabs>
        <w:tab w:val="center" w:pos="4153"/>
        <w:tab w:val="right" w:pos="8306"/>
      </w:tabs>
      <w:adjustRightInd/>
      <w:spacing w:line="240" w:lineRule="auto"/>
      <w:jc w:val="left"/>
    </w:pPr>
    <w:rPr>
      <w:rFonts w:asciiTheme="minorHAnsi" w:hAnsiTheme="minorHAnsi" w:eastAsiaTheme="minorEastAsia" w:cstheme="minorBidi"/>
      <w:sz w:val="18"/>
      <w:szCs w:val="18"/>
    </w:rPr>
  </w:style>
  <w:style w:type="paragraph" w:styleId="5">
    <w:name w:val="Body Text First Indent 2"/>
    <w:basedOn w:val="2"/>
    <w:link w:val="13"/>
    <w:unhideWhenUsed/>
    <w:qFormat/>
    <w:uiPriority w:val="99"/>
    <w:pPr>
      <w:spacing w:line="240" w:lineRule="auto"/>
      <w:ind w:firstLine="420" w:firstLineChars="200"/>
    </w:pPr>
    <w:rPr>
      <w:rFonts w:ascii="Times New Roman" w:hAnsi="Times New Roman"/>
      <w:sz w:val="28"/>
    </w:rPr>
  </w:style>
  <w:style w:type="paragraph" w:styleId="6">
    <w:name w:val="header"/>
    <w:basedOn w:val="1"/>
    <w:link w:val="10"/>
    <w:unhideWhenUsed/>
    <w:qFormat/>
    <w:uiPriority w:val="99"/>
    <w:pPr>
      <w:pBdr>
        <w:bottom w:val="single" w:color="auto" w:sz="6" w:space="1"/>
      </w:pBdr>
      <w:tabs>
        <w:tab w:val="center" w:pos="4153"/>
        <w:tab w:val="right" w:pos="8306"/>
      </w:tabs>
      <w:adjustRightInd/>
      <w:spacing w:line="240" w:lineRule="auto"/>
      <w:jc w:val="center"/>
    </w:pPr>
    <w:rPr>
      <w:rFonts w:asciiTheme="minorHAnsi" w:hAnsiTheme="minorHAnsi" w:eastAsiaTheme="minorEastAsia" w:cstheme="minorBidi"/>
      <w:sz w:val="18"/>
      <w:szCs w:val="18"/>
    </w:rPr>
  </w:style>
  <w:style w:type="paragraph" w:styleId="7">
    <w:name w:val="Normal (Web)"/>
    <w:basedOn w:val="1"/>
    <w:qFormat/>
    <w:uiPriority w:val="0"/>
    <w:pPr>
      <w:adjustRightInd/>
      <w:snapToGrid/>
      <w:spacing w:beforeAutospacing="1" w:afterAutospacing="1" w:line="240" w:lineRule="auto"/>
      <w:jc w:val="left"/>
    </w:pPr>
    <w:rPr>
      <w:rFonts w:asciiTheme="minorHAnsi" w:hAnsiTheme="minorHAnsi" w:eastAsiaTheme="minorEastAsia"/>
      <w:kern w:val="0"/>
      <w:sz w:val="24"/>
    </w:rPr>
  </w:style>
  <w:style w:type="character" w:customStyle="1" w:styleId="10">
    <w:name w:val="页眉 Char"/>
    <w:basedOn w:val="8"/>
    <w:link w:val="6"/>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缩进 Char"/>
    <w:basedOn w:val="8"/>
    <w:link w:val="2"/>
    <w:semiHidden/>
    <w:qFormat/>
    <w:uiPriority w:val="99"/>
    <w:rPr>
      <w:rFonts w:ascii="黑体" w:hAnsi="黑体" w:eastAsia="方正仿宋简体" w:cs="Times New Roman"/>
      <w:sz w:val="32"/>
      <w:szCs w:val="24"/>
    </w:rPr>
  </w:style>
  <w:style w:type="character" w:customStyle="1" w:styleId="13">
    <w:name w:val="正文首行缩进 2 Char"/>
    <w:basedOn w:val="12"/>
    <w:link w:val="5"/>
    <w:uiPriority w:val="99"/>
    <w:rPr>
      <w:rFonts w:ascii="Times New Roman" w:hAnsi="Times New Roman" w:eastAsia="方正仿宋简体" w:cs="Times New Roman"/>
      <w:sz w:val="28"/>
      <w:szCs w:val="24"/>
    </w:rPr>
  </w:style>
  <w:style w:type="paragraph" w:customStyle="1" w:styleId="14">
    <w:name w:val="null3"/>
    <w:qFormat/>
    <w:uiPriority w:val="0"/>
    <w:rPr>
      <w:rFonts w:hint="eastAsia" w:ascii="Calibri" w:hAnsi="Calibri" w:eastAsia="宋体" w:cs="Times New Roman"/>
      <w:kern w:val="2"/>
      <w:sz w:val="21"/>
      <w:szCs w:val="24"/>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863</Words>
  <Characters>4924</Characters>
  <Lines>41</Lines>
  <Paragraphs>11</Paragraphs>
  <TotalTime>6</TotalTime>
  <ScaleCrop>false</ScaleCrop>
  <LinksUpToDate>false</LinksUpToDate>
  <CharactersWithSpaces>5776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2024-08-30T11:06:00Z</dcterms:created>
  <dc:creator>Qiu</dc:creator>
  <cp:lastModifiedBy>吴昊</cp:lastModifiedBy>
  <cp:lastPrinted>2024-08-23T03:02:00Z</cp:lastPrinted>
  <dcterms:modified xsi:type="dcterms:W3CDTF">2024-09-01T03:22:09Z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