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AF9122">
      <w:pPr>
        <w:pStyle w:val="6"/>
        <w:jc w:val="center"/>
        <w:outlineLvl w:val="0"/>
      </w:pPr>
      <w:r>
        <w:rPr>
          <w:b/>
          <w:sz w:val="48"/>
        </w:rPr>
        <w:t>福建省政府采购</w:t>
      </w:r>
    </w:p>
    <w:p w14:paraId="4A255748">
      <w:pPr>
        <w:pStyle w:val="6"/>
        <w:jc w:val="center"/>
        <w:outlineLvl w:val="0"/>
      </w:pPr>
      <w:r>
        <w:rPr>
          <w:b/>
          <w:sz w:val="48"/>
        </w:rPr>
        <w:t>货物和服务项目</w:t>
      </w:r>
    </w:p>
    <w:p w14:paraId="00CCE73B">
      <w:pPr>
        <w:pStyle w:val="6"/>
        <w:jc w:val="center"/>
        <w:outlineLvl w:val="0"/>
      </w:pPr>
      <w:r>
        <w:rPr>
          <w:b/>
          <w:sz w:val="48"/>
        </w:rPr>
        <w:t>公开招标文件</w:t>
      </w:r>
    </w:p>
    <w:p w14:paraId="556EDD8C">
      <w:pPr>
        <w:pStyle w:val="6"/>
        <w:jc w:val="center"/>
        <w:outlineLvl w:val="2"/>
        <w:rPr>
          <w:b/>
          <w:sz w:val="28"/>
        </w:rPr>
      </w:pPr>
    </w:p>
    <w:p w14:paraId="27D7A009">
      <w:pPr>
        <w:pStyle w:val="6"/>
        <w:jc w:val="center"/>
        <w:outlineLvl w:val="2"/>
        <w:rPr>
          <w:b/>
          <w:sz w:val="28"/>
        </w:rPr>
      </w:pPr>
    </w:p>
    <w:p w14:paraId="5913A385">
      <w:pPr>
        <w:pStyle w:val="6"/>
        <w:jc w:val="center"/>
        <w:outlineLvl w:val="2"/>
        <w:rPr>
          <w:b/>
          <w:sz w:val="28"/>
        </w:rPr>
      </w:pPr>
    </w:p>
    <w:p w14:paraId="20D91D09">
      <w:pPr>
        <w:pStyle w:val="6"/>
        <w:jc w:val="center"/>
        <w:outlineLvl w:val="2"/>
        <w:rPr>
          <w:b/>
          <w:sz w:val="28"/>
        </w:rPr>
      </w:pPr>
    </w:p>
    <w:p w14:paraId="584CE0AC">
      <w:pPr>
        <w:pStyle w:val="6"/>
        <w:jc w:val="center"/>
        <w:outlineLvl w:val="2"/>
        <w:rPr>
          <w:b/>
          <w:sz w:val="28"/>
        </w:rPr>
      </w:pPr>
    </w:p>
    <w:p w14:paraId="13D54168">
      <w:pPr>
        <w:pStyle w:val="6"/>
        <w:jc w:val="center"/>
        <w:outlineLvl w:val="2"/>
      </w:pPr>
      <w:r>
        <w:rPr>
          <w:b/>
          <w:sz w:val="28"/>
        </w:rPr>
        <w:t>项目名称：2024年省匹配食品安全监督抽检任务公开招标采购C项目</w:t>
      </w:r>
    </w:p>
    <w:p w14:paraId="53B700F3">
      <w:pPr>
        <w:pStyle w:val="6"/>
        <w:jc w:val="center"/>
        <w:outlineLvl w:val="2"/>
      </w:pPr>
      <w:r>
        <w:rPr>
          <w:b/>
          <w:sz w:val="28"/>
        </w:rPr>
        <w:t>备案编号：CGXM-2024-350001-02189[2024]05315</w:t>
      </w:r>
    </w:p>
    <w:p w14:paraId="60142AE5">
      <w:pPr>
        <w:pStyle w:val="6"/>
        <w:jc w:val="center"/>
        <w:outlineLvl w:val="2"/>
      </w:pPr>
      <w:r>
        <w:rPr>
          <w:b/>
          <w:sz w:val="28"/>
        </w:rPr>
        <w:t>项目编号：[350001]FJTH[GK]2024028</w:t>
      </w:r>
    </w:p>
    <w:p w14:paraId="3B969A35">
      <w:pPr>
        <w:pStyle w:val="6"/>
        <w:jc w:val="center"/>
        <w:outlineLvl w:val="2"/>
        <w:rPr>
          <w:b/>
          <w:sz w:val="28"/>
        </w:rPr>
      </w:pPr>
    </w:p>
    <w:p w14:paraId="645B5276">
      <w:pPr>
        <w:pStyle w:val="6"/>
        <w:jc w:val="center"/>
        <w:outlineLvl w:val="2"/>
        <w:rPr>
          <w:b/>
          <w:sz w:val="28"/>
        </w:rPr>
      </w:pPr>
    </w:p>
    <w:p w14:paraId="44A12C3A">
      <w:pPr>
        <w:pStyle w:val="6"/>
        <w:jc w:val="center"/>
        <w:outlineLvl w:val="2"/>
      </w:pPr>
      <w:r>
        <w:rPr>
          <w:b/>
          <w:sz w:val="28"/>
        </w:rPr>
        <w:t>采购人：福建省市场监督管理局（本级）</w:t>
      </w:r>
    </w:p>
    <w:p w14:paraId="3A877832">
      <w:pPr>
        <w:pStyle w:val="6"/>
        <w:jc w:val="center"/>
        <w:outlineLvl w:val="2"/>
      </w:pPr>
      <w:r>
        <w:rPr>
          <w:b/>
          <w:sz w:val="28"/>
        </w:rPr>
        <w:t>代理机构：福建省天海招标有限公司</w:t>
      </w:r>
    </w:p>
    <w:p w14:paraId="5AD395B1">
      <w:pPr>
        <w:pStyle w:val="6"/>
        <w:jc w:val="center"/>
        <w:outlineLvl w:val="2"/>
      </w:pPr>
      <w:r>
        <w:rPr>
          <w:b/>
          <w:sz w:val="28"/>
        </w:rPr>
        <w:t>编制时间：2024年08月</w:t>
      </w:r>
    </w:p>
    <w:p w14:paraId="4A4F9AE0">
      <w:pPr>
        <w:pStyle w:val="6"/>
      </w:pPr>
      <w:r>
        <w:t xml:space="preserve"> </w:t>
      </w:r>
      <w:r>
        <w:br w:type="textWrapping"/>
      </w:r>
      <w:r>
        <w:br w:type="page"/>
      </w:r>
    </w:p>
    <w:p w14:paraId="54E77D44">
      <w:pPr>
        <w:pStyle w:val="6"/>
        <w:jc w:val="center"/>
        <w:outlineLvl w:val="1"/>
      </w:pPr>
      <w:r>
        <w:rPr>
          <w:b/>
          <w:sz w:val="36"/>
        </w:rPr>
        <w:t>第一章 投标邀请</w:t>
      </w:r>
    </w:p>
    <w:p w14:paraId="1D2DEDC0">
      <w:pPr>
        <w:pStyle w:val="6"/>
        <w:keepNext w:val="0"/>
        <w:keepLines w:val="0"/>
        <w:pageBreakBefore w:val="0"/>
        <w:widowControl/>
        <w:kinsoku/>
        <w:wordWrap/>
        <w:overflowPunct/>
        <w:topLinePunct w:val="0"/>
        <w:autoSpaceDE/>
        <w:autoSpaceDN/>
        <w:bidi w:val="0"/>
        <w:adjustRightInd w:val="0"/>
        <w:snapToGrid w:val="0"/>
        <w:ind w:firstLine="400" w:firstLineChars="200"/>
        <w:jc w:val="both"/>
        <w:textAlignment w:val="auto"/>
        <w:rPr>
          <w:rFonts w:hint="eastAsia" w:ascii="宋体" w:hAnsi="宋体" w:eastAsia="宋体" w:cs="宋体"/>
          <w:sz w:val="20"/>
          <w:szCs w:val="20"/>
        </w:rPr>
      </w:pPr>
      <w:r>
        <w:rPr>
          <w:rFonts w:hint="eastAsia" w:ascii="宋体" w:hAnsi="宋体" w:eastAsia="宋体" w:cs="宋体"/>
          <w:sz w:val="20"/>
          <w:szCs w:val="20"/>
        </w:rPr>
        <w:t>福建省天海招标有限公司 采用公开招标方式组织 2024年省匹配食品安全监督抽检任务公开招标采购C项目 （以下简称：“本项目”）的政府采购活动，现邀请供应商参加投标。</w:t>
      </w:r>
    </w:p>
    <w:p w14:paraId="278ACB10">
      <w:pPr>
        <w:pStyle w:val="6"/>
        <w:keepNext w:val="0"/>
        <w:keepLines w:val="0"/>
        <w:pageBreakBefore w:val="0"/>
        <w:widowControl/>
        <w:kinsoku/>
        <w:wordWrap/>
        <w:overflowPunct/>
        <w:topLinePunct w:val="0"/>
        <w:autoSpaceDE/>
        <w:autoSpaceDN/>
        <w:bidi w:val="0"/>
        <w:adjustRightInd w:val="0"/>
        <w:snapToGrid w:val="0"/>
        <w:ind w:firstLine="0"/>
        <w:jc w:val="left"/>
        <w:textAlignment w:val="auto"/>
        <w:outlineLvl w:val="2"/>
        <w:rPr>
          <w:rFonts w:hint="eastAsia" w:ascii="宋体" w:hAnsi="宋体" w:eastAsia="宋体" w:cs="宋体"/>
          <w:sz w:val="20"/>
          <w:szCs w:val="20"/>
        </w:rPr>
      </w:pPr>
      <w:r>
        <w:rPr>
          <w:rFonts w:hint="eastAsia" w:ascii="宋体" w:hAnsi="宋体" w:eastAsia="宋体" w:cs="宋体"/>
          <w:b/>
          <w:sz w:val="20"/>
          <w:szCs w:val="20"/>
        </w:rPr>
        <w:t>1、备案编号：CGXM-2024-350001-02189[2024]05315</w:t>
      </w:r>
    </w:p>
    <w:p w14:paraId="776C8D75">
      <w:pPr>
        <w:pStyle w:val="6"/>
        <w:keepNext w:val="0"/>
        <w:keepLines w:val="0"/>
        <w:pageBreakBefore w:val="0"/>
        <w:widowControl/>
        <w:kinsoku/>
        <w:wordWrap/>
        <w:overflowPunct/>
        <w:topLinePunct w:val="0"/>
        <w:autoSpaceDE/>
        <w:autoSpaceDN/>
        <w:bidi w:val="0"/>
        <w:adjustRightInd w:val="0"/>
        <w:snapToGrid w:val="0"/>
        <w:ind w:firstLine="0"/>
        <w:jc w:val="left"/>
        <w:textAlignment w:val="auto"/>
        <w:outlineLvl w:val="2"/>
        <w:rPr>
          <w:rFonts w:hint="eastAsia" w:ascii="宋体" w:hAnsi="宋体" w:eastAsia="宋体" w:cs="宋体"/>
          <w:sz w:val="20"/>
          <w:szCs w:val="20"/>
        </w:rPr>
      </w:pPr>
      <w:r>
        <w:rPr>
          <w:rFonts w:hint="eastAsia" w:ascii="宋体" w:hAnsi="宋体" w:eastAsia="宋体" w:cs="宋体"/>
          <w:b/>
          <w:sz w:val="20"/>
          <w:szCs w:val="20"/>
        </w:rPr>
        <w:t>2、项目编号：[350001]FJTH[GK]2024028</w:t>
      </w:r>
    </w:p>
    <w:p w14:paraId="272CF21A">
      <w:pPr>
        <w:pStyle w:val="6"/>
        <w:keepNext w:val="0"/>
        <w:keepLines w:val="0"/>
        <w:pageBreakBefore w:val="0"/>
        <w:widowControl/>
        <w:kinsoku/>
        <w:wordWrap/>
        <w:overflowPunct/>
        <w:topLinePunct w:val="0"/>
        <w:autoSpaceDE/>
        <w:autoSpaceDN/>
        <w:bidi w:val="0"/>
        <w:adjustRightInd w:val="0"/>
        <w:snapToGrid w:val="0"/>
        <w:ind w:firstLine="0"/>
        <w:jc w:val="both"/>
        <w:textAlignment w:val="auto"/>
        <w:outlineLvl w:val="2"/>
        <w:rPr>
          <w:rFonts w:hint="eastAsia" w:ascii="宋体" w:hAnsi="宋体" w:eastAsia="宋体" w:cs="宋体"/>
          <w:sz w:val="20"/>
          <w:szCs w:val="20"/>
        </w:rPr>
      </w:pPr>
      <w:r>
        <w:rPr>
          <w:rFonts w:hint="eastAsia" w:ascii="宋体" w:hAnsi="宋体" w:eastAsia="宋体" w:cs="宋体"/>
          <w:b/>
          <w:sz w:val="20"/>
          <w:szCs w:val="20"/>
        </w:rPr>
        <w:t>3、预算金额、最高限价：详见《采购标的一览表》。</w:t>
      </w:r>
    </w:p>
    <w:p w14:paraId="5974FD68">
      <w:pPr>
        <w:pStyle w:val="6"/>
        <w:keepNext w:val="0"/>
        <w:keepLines w:val="0"/>
        <w:pageBreakBefore w:val="0"/>
        <w:widowControl/>
        <w:kinsoku/>
        <w:wordWrap/>
        <w:overflowPunct/>
        <w:topLinePunct w:val="0"/>
        <w:autoSpaceDE/>
        <w:autoSpaceDN/>
        <w:bidi w:val="0"/>
        <w:adjustRightInd w:val="0"/>
        <w:snapToGrid w:val="0"/>
        <w:ind w:firstLine="0"/>
        <w:jc w:val="left"/>
        <w:textAlignment w:val="auto"/>
        <w:outlineLvl w:val="2"/>
        <w:rPr>
          <w:rFonts w:hint="eastAsia" w:ascii="宋体" w:hAnsi="宋体" w:eastAsia="宋体" w:cs="宋体"/>
          <w:sz w:val="20"/>
          <w:szCs w:val="20"/>
        </w:rPr>
      </w:pPr>
      <w:r>
        <w:rPr>
          <w:rFonts w:hint="eastAsia" w:ascii="宋体" w:hAnsi="宋体" w:eastAsia="宋体" w:cs="宋体"/>
          <w:b/>
          <w:sz w:val="20"/>
          <w:szCs w:val="20"/>
        </w:rPr>
        <w:t>4、招标内容及要求：详见《采购标的一览表》及招标文件第五章。</w:t>
      </w:r>
    </w:p>
    <w:p w14:paraId="0F657E49">
      <w:pPr>
        <w:pStyle w:val="6"/>
        <w:keepNext w:val="0"/>
        <w:keepLines w:val="0"/>
        <w:pageBreakBefore w:val="0"/>
        <w:widowControl/>
        <w:kinsoku/>
        <w:wordWrap/>
        <w:overflowPunct/>
        <w:topLinePunct w:val="0"/>
        <w:autoSpaceDE/>
        <w:autoSpaceDN/>
        <w:bidi w:val="0"/>
        <w:adjustRightInd w:val="0"/>
        <w:snapToGrid w:val="0"/>
        <w:ind w:firstLine="0"/>
        <w:jc w:val="left"/>
        <w:textAlignment w:val="auto"/>
        <w:outlineLvl w:val="2"/>
        <w:rPr>
          <w:rFonts w:hint="eastAsia" w:ascii="宋体" w:hAnsi="宋体" w:eastAsia="宋体" w:cs="宋体"/>
          <w:sz w:val="20"/>
          <w:szCs w:val="20"/>
        </w:rPr>
      </w:pPr>
      <w:r>
        <w:rPr>
          <w:rFonts w:hint="eastAsia" w:ascii="宋体" w:hAnsi="宋体" w:eastAsia="宋体" w:cs="宋体"/>
          <w:b/>
          <w:sz w:val="20"/>
          <w:szCs w:val="20"/>
        </w:rPr>
        <w:t>5、需要落实的政府采购政策</w:t>
      </w:r>
    </w:p>
    <w:p w14:paraId="232E0259">
      <w:pPr>
        <w:pStyle w:val="6"/>
        <w:keepNext w:val="0"/>
        <w:keepLines w:val="0"/>
        <w:pageBreakBefore w:val="0"/>
        <w:widowControl/>
        <w:kinsoku/>
        <w:wordWrap/>
        <w:overflowPunct/>
        <w:topLinePunct w:val="0"/>
        <w:autoSpaceDE/>
        <w:autoSpaceDN/>
        <w:bidi w:val="0"/>
        <w:adjustRightInd w:val="0"/>
        <w:snapToGrid w:val="0"/>
        <w:ind w:firstLine="0"/>
        <w:jc w:val="left"/>
        <w:textAlignment w:val="auto"/>
        <w:rPr>
          <w:rFonts w:hint="eastAsia" w:ascii="宋体" w:hAnsi="宋体" w:eastAsia="宋体" w:cs="宋体"/>
          <w:sz w:val="20"/>
          <w:szCs w:val="20"/>
        </w:rPr>
      </w:pPr>
      <w:r>
        <w:rPr>
          <w:rFonts w:hint="eastAsia" w:ascii="宋体" w:hAnsi="宋体" w:eastAsia="宋体" w:cs="宋体"/>
          <w:sz w:val="20"/>
          <w:szCs w:val="20"/>
        </w:rPr>
        <w:t>进口产品：不适用于本项目</w:t>
      </w:r>
    </w:p>
    <w:p w14:paraId="06222E0B">
      <w:pPr>
        <w:pStyle w:val="6"/>
        <w:keepNext w:val="0"/>
        <w:keepLines w:val="0"/>
        <w:pageBreakBefore w:val="0"/>
        <w:widowControl/>
        <w:kinsoku/>
        <w:wordWrap/>
        <w:overflowPunct/>
        <w:topLinePunct w:val="0"/>
        <w:autoSpaceDE/>
        <w:autoSpaceDN/>
        <w:bidi w:val="0"/>
        <w:adjustRightInd w:val="0"/>
        <w:snapToGrid w:val="0"/>
        <w:ind w:firstLine="0"/>
        <w:jc w:val="left"/>
        <w:textAlignment w:val="auto"/>
        <w:rPr>
          <w:rFonts w:hint="eastAsia" w:ascii="宋体" w:hAnsi="宋体" w:eastAsia="宋体" w:cs="宋体"/>
          <w:sz w:val="20"/>
          <w:szCs w:val="20"/>
        </w:rPr>
      </w:pPr>
      <w:r>
        <w:rPr>
          <w:rFonts w:hint="eastAsia" w:ascii="宋体" w:hAnsi="宋体" w:eastAsia="宋体" w:cs="宋体"/>
          <w:sz w:val="20"/>
          <w:szCs w:val="20"/>
        </w:rPr>
        <w:t>节能产品：不适用于本项目</w:t>
      </w:r>
    </w:p>
    <w:p w14:paraId="09F9A257">
      <w:pPr>
        <w:pStyle w:val="6"/>
        <w:keepNext w:val="0"/>
        <w:keepLines w:val="0"/>
        <w:pageBreakBefore w:val="0"/>
        <w:widowControl/>
        <w:kinsoku/>
        <w:wordWrap/>
        <w:overflowPunct/>
        <w:topLinePunct w:val="0"/>
        <w:autoSpaceDE/>
        <w:autoSpaceDN/>
        <w:bidi w:val="0"/>
        <w:adjustRightInd w:val="0"/>
        <w:snapToGrid w:val="0"/>
        <w:ind w:firstLine="0"/>
        <w:jc w:val="left"/>
        <w:textAlignment w:val="auto"/>
        <w:rPr>
          <w:rFonts w:hint="eastAsia" w:ascii="宋体" w:hAnsi="宋体" w:eastAsia="宋体" w:cs="宋体"/>
          <w:sz w:val="20"/>
          <w:szCs w:val="20"/>
        </w:rPr>
      </w:pPr>
      <w:r>
        <w:rPr>
          <w:rFonts w:hint="eastAsia" w:ascii="宋体" w:hAnsi="宋体" w:eastAsia="宋体" w:cs="宋体"/>
          <w:sz w:val="20"/>
          <w:szCs w:val="20"/>
        </w:rPr>
        <w:t>环境标志产品：不适用于本项目</w:t>
      </w:r>
    </w:p>
    <w:p w14:paraId="45EBCD4F">
      <w:pPr>
        <w:pStyle w:val="6"/>
        <w:keepNext w:val="0"/>
        <w:keepLines w:val="0"/>
        <w:pageBreakBefore w:val="0"/>
        <w:widowControl/>
        <w:kinsoku/>
        <w:wordWrap/>
        <w:overflowPunct/>
        <w:topLinePunct w:val="0"/>
        <w:autoSpaceDE/>
        <w:autoSpaceDN/>
        <w:bidi w:val="0"/>
        <w:adjustRightInd w:val="0"/>
        <w:snapToGrid w:val="0"/>
        <w:ind w:firstLine="0"/>
        <w:jc w:val="left"/>
        <w:textAlignment w:val="auto"/>
        <w:rPr>
          <w:rFonts w:hint="eastAsia" w:ascii="宋体" w:hAnsi="宋体" w:eastAsia="宋体" w:cs="宋体"/>
          <w:color w:val="FF0000"/>
          <w:sz w:val="20"/>
          <w:szCs w:val="20"/>
        </w:rPr>
      </w:pPr>
      <w:r>
        <w:rPr>
          <w:rFonts w:hint="eastAsia" w:ascii="宋体" w:hAnsi="宋体" w:eastAsia="宋体" w:cs="宋体"/>
          <w:color w:val="FF0000"/>
          <w:sz w:val="20"/>
          <w:szCs w:val="20"/>
        </w:rPr>
        <w:t>促进中小企业发展的相关政策：</w:t>
      </w:r>
    </w:p>
    <w:p w14:paraId="6BF62F45">
      <w:pPr>
        <w:pStyle w:val="6"/>
        <w:keepNext w:val="0"/>
        <w:keepLines w:val="0"/>
        <w:pageBreakBefore w:val="0"/>
        <w:widowControl/>
        <w:kinsoku/>
        <w:wordWrap/>
        <w:overflowPunct/>
        <w:topLinePunct w:val="0"/>
        <w:autoSpaceDE/>
        <w:autoSpaceDN/>
        <w:bidi w:val="0"/>
        <w:adjustRightInd w:val="0"/>
        <w:snapToGrid w:val="0"/>
        <w:ind w:firstLine="0"/>
        <w:jc w:val="left"/>
        <w:textAlignment w:val="auto"/>
        <w:rPr>
          <w:rFonts w:hint="eastAsia" w:ascii="宋体" w:hAnsi="宋体" w:eastAsia="宋体" w:cs="宋体"/>
          <w:color w:val="FF0000"/>
          <w:sz w:val="20"/>
          <w:szCs w:val="20"/>
        </w:rPr>
      </w:pPr>
      <w:r>
        <w:rPr>
          <w:rFonts w:hint="eastAsia" w:ascii="宋体" w:hAnsi="宋体" w:eastAsia="宋体" w:cs="宋体"/>
          <w:color w:val="FF0000"/>
          <w:sz w:val="20"/>
          <w:szCs w:val="20"/>
        </w:rPr>
        <w:t>采购包1：不专门面向中小企业采购</w:t>
      </w:r>
    </w:p>
    <w:p w14:paraId="605B6185">
      <w:pPr>
        <w:pStyle w:val="6"/>
        <w:keepNext w:val="0"/>
        <w:keepLines w:val="0"/>
        <w:pageBreakBefore w:val="0"/>
        <w:widowControl/>
        <w:kinsoku/>
        <w:wordWrap/>
        <w:overflowPunct/>
        <w:topLinePunct w:val="0"/>
        <w:autoSpaceDE/>
        <w:autoSpaceDN/>
        <w:bidi w:val="0"/>
        <w:adjustRightInd w:val="0"/>
        <w:snapToGrid w:val="0"/>
        <w:ind w:firstLine="0"/>
        <w:jc w:val="left"/>
        <w:textAlignment w:val="auto"/>
        <w:rPr>
          <w:rFonts w:hint="eastAsia" w:ascii="宋体" w:hAnsi="宋体" w:eastAsia="宋体" w:cs="宋体"/>
          <w:color w:val="FF0000"/>
          <w:sz w:val="20"/>
          <w:szCs w:val="20"/>
        </w:rPr>
      </w:pPr>
      <w:r>
        <w:rPr>
          <w:rFonts w:hint="eastAsia" w:ascii="宋体" w:hAnsi="宋体" w:eastAsia="宋体" w:cs="宋体"/>
          <w:color w:val="FF0000"/>
          <w:sz w:val="20"/>
          <w:szCs w:val="20"/>
        </w:rPr>
        <w:t>采购包2：不专门面向中小企业采购</w:t>
      </w:r>
    </w:p>
    <w:p w14:paraId="1B003AC2">
      <w:pPr>
        <w:pStyle w:val="6"/>
        <w:keepNext w:val="0"/>
        <w:keepLines w:val="0"/>
        <w:pageBreakBefore w:val="0"/>
        <w:widowControl/>
        <w:kinsoku/>
        <w:wordWrap/>
        <w:overflowPunct/>
        <w:topLinePunct w:val="0"/>
        <w:autoSpaceDE/>
        <w:autoSpaceDN/>
        <w:bidi w:val="0"/>
        <w:adjustRightInd w:val="0"/>
        <w:snapToGrid w:val="0"/>
        <w:ind w:firstLine="0"/>
        <w:jc w:val="left"/>
        <w:textAlignment w:val="auto"/>
        <w:rPr>
          <w:rFonts w:hint="eastAsia" w:ascii="宋体" w:hAnsi="宋体" w:eastAsia="宋体" w:cs="宋体"/>
          <w:color w:val="FF0000"/>
          <w:sz w:val="20"/>
          <w:szCs w:val="20"/>
        </w:rPr>
      </w:pPr>
      <w:r>
        <w:rPr>
          <w:rFonts w:hint="eastAsia" w:ascii="宋体" w:hAnsi="宋体" w:eastAsia="宋体" w:cs="宋体"/>
          <w:color w:val="FF0000"/>
          <w:sz w:val="20"/>
          <w:szCs w:val="20"/>
        </w:rPr>
        <w:t>采购包3：不专门面向中小企业采购</w:t>
      </w:r>
    </w:p>
    <w:p w14:paraId="3AFF2CF1">
      <w:pPr>
        <w:pStyle w:val="6"/>
        <w:keepNext w:val="0"/>
        <w:keepLines w:val="0"/>
        <w:pageBreakBefore w:val="0"/>
        <w:widowControl/>
        <w:kinsoku/>
        <w:wordWrap/>
        <w:overflowPunct/>
        <w:topLinePunct w:val="0"/>
        <w:autoSpaceDE/>
        <w:autoSpaceDN/>
        <w:bidi w:val="0"/>
        <w:adjustRightInd w:val="0"/>
        <w:snapToGrid w:val="0"/>
        <w:ind w:firstLine="0"/>
        <w:jc w:val="both"/>
        <w:textAlignment w:val="auto"/>
        <w:outlineLvl w:val="2"/>
        <w:rPr>
          <w:rFonts w:hint="eastAsia" w:ascii="宋体" w:hAnsi="宋体" w:eastAsia="宋体" w:cs="宋体"/>
          <w:color w:val="FF0000"/>
          <w:sz w:val="20"/>
          <w:szCs w:val="20"/>
        </w:rPr>
      </w:pPr>
      <w:r>
        <w:rPr>
          <w:rFonts w:hint="eastAsia" w:ascii="宋体" w:hAnsi="宋体" w:eastAsia="宋体" w:cs="宋体"/>
          <w:b/>
          <w:color w:val="FF0000"/>
          <w:sz w:val="20"/>
          <w:szCs w:val="20"/>
        </w:rPr>
        <w:t>6、投标人的资格要求</w:t>
      </w:r>
    </w:p>
    <w:p w14:paraId="148B7BB9">
      <w:pPr>
        <w:pStyle w:val="6"/>
        <w:keepNext w:val="0"/>
        <w:keepLines w:val="0"/>
        <w:pageBreakBefore w:val="0"/>
        <w:widowControl/>
        <w:kinsoku/>
        <w:wordWrap/>
        <w:overflowPunct/>
        <w:topLinePunct w:val="0"/>
        <w:autoSpaceDE/>
        <w:autoSpaceDN/>
        <w:bidi w:val="0"/>
        <w:adjustRightInd w:val="0"/>
        <w:snapToGrid w:val="0"/>
        <w:ind w:firstLine="0"/>
        <w:jc w:val="both"/>
        <w:textAlignment w:val="auto"/>
        <w:rPr>
          <w:rFonts w:hint="eastAsia" w:ascii="宋体" w:hAnsi="宋体" w:eastAsia="宋体" w:cs="宋体"/>
          <w:color w:val="FF0000"/>
          <w:sz w:val="20"/>
          <w:szCs w:val="20"/>
        </w:rPr>
      </w:pPr>
      <w:r>
        <w:rPr>
          <w:rFonts w:hint="eastAsia" w:ascii="宋体" w:hAnsi="宋体" w:eastAsia="宋体" w:cs="宋体"/>
          <w:color w:val="FF0000"/>
          <w:sz w:val="20"/>
          <w:szCs w:val="20"/>
        </w:rPr>
        <w:t>6.1法定条件：符合政府采购法第二十二条第一款规定的条件。</w:t>
      </w:r>
    </w:p>
    <w:p w14:paraId="4BD1C4D9">
      <w:pPr>
        <w:pStyle w:val="6"/>
        <w:keepNext w:val="0"/>
        <w:keepLines w:val="0"/>
        <w:pageBreakBefore w:val="0"/>
        <w:widowControl/>
        <w:kinsoku/>
        <w:wordWrap/>
        <w:overflowPunct/>
        <w:topLinePunct w:val="0"/>
        <w:autoSpaceDE/>
        <w:autoSpaceDN/>
        <w:bidi w:val="0"/>
        <w:adjustRightInd w:val="0"/>
        <w:snapToGrid w:val="0"/>
        <w:ind w:firstLine="0"/>
        <w:jc w:val="both"/>
        <w:textAlignment w:val="auto"/>
        <w:rPr>
          <w:rFonts w:hint="eastAsia" w:ascii="宋体" w:hAnsi="宋体" w:eastAsia="宋体" w:cs="宋体"/>
          <w:color w:val="FF0000"/>
          <w:sz w:val="20"/>
          <w:szCs w:val="20"/>
        </w:rPr>
      </w:pPr>
      <w:r>
        <w:rPr>
          <w:rFonts w:hint="eastAsia" w:ascii="宋体" w:hAnsi="宋体" w:eastAsia="宋体" w:cs="宋体"/>
          <w:color w:val="FF0000"/>
          <w:sz w:val="20"/>
          <w:szCs w:val="20"/>
        </w:rPr>
        <w:t>6.2特定条件：</w:t>
      </w:r>
    </w:p>
    <w:p w14:paraId="5D3AB6A1">
      <w:pPr>
        <w:pStyle w:val="6"/>
        <w:keepNext w:val="0"/>
        <w:keepLines w:val="0"/>
        <w:pageBreakBefore w:val="0"/>
        <w:widowControl/>
        <w:kinsoku/>
        <w:wordWrap/>
        <w:overflowPunct/>
        <w:topLinePunct w:val="0"/>
        <w:autoSpaceDE/>
        <w:autoSpaceDN/>
        <w:bidi w:val="0"/>
        <w:adjustRightInd w:val="0"/>
        <w:snapToGrid w:val="0"/>
        <w:ind w:firstLine="0"/>
        <w:jc w:val="both"/>
        <w:textAlignment w:val="auto"/>
        <w:rPr>
          <w:rFonts w:hint="eastAsia" w:ascii="宋体" w:hAnsi="宋体" w:eastAsia="宋体" w:cs="宋体"/>
          <w:color w:val="FF0000"/>
          <w:sz w:val="20"/>
          <w:szCs w:val="20"/>
        </w:rPr>
      </w:pPr>
      <w:r>
        <w:rPr>
          <w:rFonts w:hint="eastAsia" w:ascii="宋体" w:hAnsi="宋体" w:eastAsia="宋体" w:cs="宋体"/>
          <w:color w:val="FF0000"/>
          <w:sz w:val="20"/>
          <w:szCs w:val="20"/>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14:paraId="50ED7A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1FD39CBE">
            <w:pPr>
              <w:pStyle w:val="6"/>
              <w:keepNext w:val="0"/>
              <w:keepLines w:val="0"/>
              <w:pageBreakBefore w:val="0"/>
              <w:widowControl/>
              <w:kinsoku/>
              <w:wordWrap/>
              <w:overflowPunct/>
              <w:topLinePunct w:val="0"/>
              <w:autoSpaceDE/>
              <w:autoSpaceDN/>
              <w:bidi w:val="0"/>
              <w:adjustRightInd w:val="0"/>
              <w:snapToGrid w:val="0"/>
              <w:ind w:firstLine="0"/>
              <w:jc w:val="both"/>
              <w:textAlignment w:val="auto"/>
              <w:rPr>
                <w:rFonts w:hint="eastAsia" w:ascii="宋体" w:hAnsi="宋体" w:eastAsia="宋体" w:cs="宋体"/>
                <w:color w:val="FF0000"/>
                <w:sz w:val="20"/>
                <w:szCs w:val="20"/>
              </w:rPr>
            </w:pPr>
            <w:r>
              <w:rPr>
                <w:rFonts w:hint="eastAsia" w:ascii="宋体" w:hAnsi="宋体" w:eastAsia="宋体" w:cs="宋体"/>
                <w:color w:val="FF0000"/>
                <w:sz w:val="20"/>
                <w:szCs w:val="20"/>
              </w:rPr>
              <w:t xml:space="preserve"> 资格审查要求概况</w:t>
            </w:r>
          </w:p>
        </w:tc>
        <w:tc>
          <w:tcPr>
            <w:tcW w:w="4614" w:type="dxa"/>
          </w:tcPr>
          <w:p w14:paraId="6B0C6F79">
            <w:pPr>
              <w:pStyle w:val="6"/>
              <w:keepNext w:val="0"/>
              <w:keepLines w:val="0"/>
              <w:pageBreakBefore w:val="0"/>
              <w:widowControl/>
              <w:kinsoku/>
              <w:wordWrap/>
              <w:overflowPunct/>
              <w:topLinePunct w:val="0"/>
              <w:autoSpaceDE/>
              <w:autoSpaceDN/>
              <w:bidi w:val="0"/>
              <w:adjustRightInd w:val="0"/>
              <w:snapToGrid w:val="0"/>
              <w:ind w:firstLine="0"/>
              <w:jc w:val="both"/>
              <w:textAlignment w:val="auto"/>
              <w:rPr>
                <w:rFonts w:hint="eastAsia" w:ascii="宋体" w:hAnsi="宋体" w:eastAsia="宋体" w:cs="宋体"/>
                <w:color w:val="FF0000"/>
                <w:sz w:val="20"/>
                <w:szCs w:val="20"/>
              </w:rPr>
            </w:pPr>
            <w:r>
              <w:rPr>
                <w:rFonts w:hint="eastAsia" w:ascii="宋体" w:hAnsi="宋体" w:eastAsia="宋体" w:cs="宋体"/>
                <w:color w:val="FF0000"/>
                <w:sz w:val="20"/>
                <w:szCs w:val="20"/>
              </w:rPr>
              <w:t xml:space="preserve"> 评审点具体描述</w:t>
            </w:r>
          </w:p>
        </w:tc>
      </w:tr>
      <w:tr w14:paraId="45D392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4717C604">
            <w:pPr>
              <w:pStyle w:val="6"/>
              <w:keepNext w:val="0"/>
              <w:keepLines w:val="0"/>
              <w:pageBreakBefore w:val="0"/>
              <w:widowControl/>
              <w:kinsoku/>
              <w:wordWrap/>
              <w:overflowPunct/>
              <w:topLinePunct w:val="0"/>
              <w:autoSpaceDE/>
              <w:autoSpaceDN/>
              <w:bidi w:val="0"/>
              <w:adjustRightInd w:val="0"/>
              <w:snapToGrid w:val="0"/>
              <w:ind w:firstLine="0"/>
              <w:jc w:val="both"/>
              <w:textAlignment w:val="auto"/>
              <w:rPr>
                <w:rFonts w:hint="eastAsia" w:ascii="宋体" w:hAnsi="宋体" w:eastAsia="宋体" w:cs="宋体"/>
                <w:color w:val="FF0000"/>
                <w:sz w:val="20"/>
                <w:szCs w:val="20"/>
              </w:rPr>
            </w:pPr>
            <w:r>
              <w:rPr>
                <w:rFonts w:hint="eastAsia" w:ascii="宋体" w:hAnsi="宋体" w:eastAsia="宋体" w:cs="宋体"/>
                <w:color w:val="FF0000"/>
                <w:sz w:val="20"/>
                <w:szCs w:val="20"/>
              </w:rPr>
              <w:t xml:space="preserve"> 无</w:t>
            </w:r>
          </w:p>
        </w:tc>
      </w:tr>
    </w:tbl>
    <w:p w14:paraId="092FDD7B">
      <w:pPr>
        <w:pStyle w:val="6"/>
        <w:keepNext w:val="0"/>
        <w:keepLines w:val="0"/>
        <w:pageBreakBefore w:val="0"/>
        <w:widowControl/>
        <w:kinsoku/>
        <w:wordWrap/>
        <w:overflowPunct/>
        <w:topLinePunct w:val="0"/>
        <w:autoSpaceDE/>
        <w:autoSpaceDN/>
        <w:bidi w:val="0"/>
        <w:adjustRightInd w:val="0"/>
        <w:snapToGrid w:val="0"/>
        <w:ind w:firstLine="0"/>
        <w:jc w:val="both"/>
        <w:textAlignment w:val="auto"/>
        <w:rPr>
          <w:rFonts w:hint="eastAsia" w:ascii="宋体" w:hAnsi="宋体" w:eastAsia="宋体" w:cs="宋体"/>
          <w:color w:val="FF0000"/>
          <w:sz w:val="20"/>
          <w:szCs w:val="20"/>
        </w:rPr>
      </w:pPr>
      <w:r>
        <w:rPr>
          <w:rFonts w:hint="eastAsia" w:ascii="宋体" w:hAnsi="宋体" w:eastAsia="宋体" w:cs="宋体"/>
          <w:color w:val="FF0000"/>
          <w:sz w:val="20"/>
          <w:szCs w:val="20"/>
        </w:rPr>
        <w:t>采购包2：</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14:paraId="414CBD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7FF1721F">
            <w:pPr>
              <w:pStyle w:val="6"/>
              <w:keepNext w:val="0"/>
              <w:keepLines w:val="0"/>
              <w:pageBreakBefore w:val="0"/>
              <w:widowControl/>
              <w:kinsoku/>
              <w:wordWrap/>
              <w:overflowPunct/>
              <w:topLinePunct w:val="0"/>
              <w:autoSpaceDE/>
              <w:autoSpaceDN/>
              <w:bidi w:val="0"/>
              <w:adjustRightInd w:val="0"/>
              <w:snapToGrid w:val="0"/>
              <w:ind w:firstLine="0"/>
              <w:jc w:val="both"/>
              <w:textAlignment w:val="auto"/>
              <w:rPr>
                <w:rFonts w:hint="eastAsia" w:ascii="宋体" w:hAnsi="宋体" w:eastAsia="宋体" w:cs="宋体"/>
                <w:color w:val="FF0000"/>
                <w:sz w:val="20"/>
                <w:szCs w:val="20"/>
              </w:rPr>
            </w:pPr>
            <w:r>
              <w:rPr>
                <w:rFonts w:hint="eastAsia" w:ascii="宋体" w:hAnsi="宋体" w:eastAsia="宋体" w:cs="宋体"/>
                <w:color w:val="FF0000"/>
                <w:sz w:val="20"/>
                <w:szCs w:val="20"/>
              </w:rPr>
              <w:t xml:space="preserve"> 资格审查要求概况</w:t>
            </w:r>
          </w:p>
        </w:tc>
        <w:tc>
          <w:tcPr>
            <w:tcW w:w="4614" w:type="dxa"/>
          </w:tcPr>
          <w:p w14:paraId="143FA670">
            <w:pPr>
              <w:pStyle w:val="6"/>
              <w:keepNext w:val="0"/>
              <w:keepLines w:val="0"/>
              <w:pageBreakBefore w:val="0"/>
              <w:widowControl/>
              <w:kinsoku/>
              <w:wordWrap/>
              <w:overflowPunct/>
              <w:topLinePunct w:val="0"/>
              <w:autoSpaceDE/>
              <w:autoSpaceDN/>
              <w:bidi w:val="0"/>
              <w:adjustRightInd w:val="0"/>
              <w:snapToGrid w:val="0"/>
              <w:ind w:firstLine="0"/>
              <w:jc w:val="both"/>
              <w:textAlignment w:val="auto"/>
              <w:rPr>
                <w:rFonts w:hint="eastAsia" w:ascii="宋体" w:hAnsi="宋体" w:eastAsia="宋体" w:cs="宋体"/>
                <w:color w:val="FF0000"/>
                <w:sz w:val="20"/>
                <w:szCs w:val="20"/>
              </w:rPr>
            </w:pPr>
            <w:r>
              <w:rPr>
                <w:rFonts w:hint="eastAsia" w:ascii="宋体" w:hAnsi="宋体" w:eastAsia="宋体" w:cs="宋体"/>
                <w:color w:val="FF0000"/>
                <w:sz w:val="20"/>
                <w:szCs w:val="20"/>
              </w:rPr>
              <w:t xml:space="preserve"> 评审点具体描述</w:t>
            </w:r>
          </w:p>
        </w:tc>
      </w:tr>
      <w:tr w14:paraId="1D3A9C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347C9D11">
            <w:pPr>
              <w:pStyle w:val="6"/>
              <w:keepNext w:val="0"/>
              <w:keepLines w:val="0"/>
              <w:pageBreakBefore w:val="0"/>
              <w:widowControl/>
              <w:kinsoku/>
              <w:wordWrap/>
              <w:overflowPunct/>
              <w:topLinePunct w:val="0"/>
              <w:autoSpaceDE/>
              <w:autoSpaceDN/>
              <w:bidi w:val="0"/>
              <w:adjustRightInd w:val="0"/>
              <w:snapToGrid w:val="0"/>
              <w:ind w:firstLine="0"/>
              <w:jc w:val="both"/>
              <w:textAlignment w:val="auto"/>
              <w:rPr>
                <w:rFonts w:hint="eastAsia" w:ascii="宋体" w:hAnsi="宋体" w:eastAsia="宋体" w:cs="宋体"/>
                <w:color w:val="FF0000"/>
                <w:sz w:val="20"/>
                <w:szCs w:val="20"/>
              </w:rPr>
            </w:pPr>
            <w:r>
              <w:rPr>
                <w:rFonts w:hint="eastAsia" w:ascii="宋体" w:hAnsi="宋体" w:eastAsia="宋体" w:cs="宋体"/>
                <w:color w:val="FF0000"/>
                <w:sz w:val="20"/>
                <w:szCs w:val="20"/>
              </w:rPr>
              <w:t xml:space="preserve"> 无</w:t>
            </w:r>
          </w:p>
        </w:tc>
      </w:tr>
    </w:tbl>
    <w:p w14:paraId="33F6977B">
      <w:pPr>
        <w:pStyle w:val="6"/>
        <w:keepNext w:val="0"/>
        <w:keepLines w:val="0"/>
        <w:pageBreakBefore w:val="0"/>
        <w:widowControl/>
        <w:kinsoku/>
        <w:wordWrap/>
        <w:overflowPunct/>
        <w:topLinePunct w:val="0"/>
        <w:autoSpaceDE/>
        <w:autoSpaceDN/>
        <w:bidi w:val="0"/>
        <w:adjustRightInd w:val="0"/>
        <w:snapToGrid w:val="0"/>
        <w:ind w:firstLine="0"/>
        <w:jc w:val="both"/>
        <w:textAlignment w:val="auto"/>
        <w:rPr>
          <w:rFonts w:hint="eastAsia" w:ascii="宋体" w:hAnsi="宋体" w:eastAsia="宋体" w:cs="宋体"/>
          <w:color w:val="FF0000"/>
          <w:sz w:val="20"/>
          <w:szCs w:val="20"/>
        </w:rPr>
      </w:pPr>
      <w:r>
        <w:rPr>
          <w:rFonts w:hint="eastAsia" w:ascii="宋体" w:hAnsi="宋体" w:eastAsia="宋体" w:cs="宋体"/>
          <w:color w:val="FF0000"/>
          <w:sz w:val="20"/>
          <w:szCs w:val="20"/>
        </w:rPr>
        <w:t>采购包3：</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14:paraId="271796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1E511BA4">
            <w:pPr>
              <w:pStyle w:val="6"/>
              <w:keepNext w:val="0"/>
              <w:keepLines w:val="0"/>
              <w:pageBreakBefore w:val="0"/>
              <w:widowControl/>
              <w:kinsoku/>
              <w:wordWrap/>
              <w:overflowPunct/>
              <w:topLinePunct w:val="0"/>
              <w:autoSpaceDE/>
              <w:autoSpaceDN/>
              <w:bidi w:val="0"/>
              <w:adjustRightInd w:val="0"/>
              <w:snapToGrid w:val="0"/>
              <w:ind w:firstLine="0"/>
              <w:jc w:val="both"/>
              <w:textAlignment w:val="auto"/>
              <w:rPr>
                <w:rFonts w:hint="eastAsia" w:ascii="宋体" w:hAnsi="宋体" w:eastAsia="宋体" w:cs="宋体"/>
                <w:color w:val="FF0000"/>
                <w:sz w:val="20"/>
                <w:szCs w:val="20"/>
              </w:rPr>
            </w:pPr>
            <w:r>
              <w:rPr>
                <w:rFonts w:hint="eastAsia" w:ascii="宋体" w:hAnsi="宋体" w:eastAsia="宋体" w:cs="宋体"/>
                <w:color w:val="FF0000"/>
                <w:sz w:val="20"/>
                <w:szCs w:val="20"/>
              </w:rPr>
              <w:t xml:space="preserve"> 资格审查要求概况</w:t>
            </w:r>
          </w:p>
        </w:tc>
        <w:tc>
          <w:tcPr>
            <w:tcW w:w="4614" w:type="dxa"/>
          </w:tcPr>
          <w:p w14:paraId="31251F5E">
            <w:pPr>
              <w:pStyle w:val="6"/>
              <w:keepNext w:val="0"/>
              <w:keepLines w:val="0"/>
              <w:pageBreakBefore w:val="0"/>
              <w:widowControl/>
              <w:kinsoku/>
              <w:wordWrap/>
              <w:overflowPunct/>
              <w:topLinePunct w:val="0"/>
              <w:autoSpaceDE/>
              <w:autoSpaceDN/>
              <w:bidi w:val="0"/>
              <w:adjustRightInd w:val="0"/>
              <w:snapToGrid w:val="0"/>
              <w:ind w:firstLine="0"/>
              <w:jc w:val="both"/>
              <w:textAlignment w:val="auto"/>
              <w:rPr>
                <w:rFonts w:hint="eastAsia" w:ascii="宋体" w:hAnsi="宋体" w:eastAsia="宋体" w:cs="宋体"/>
                <w:color w:val="FF0000"/>
                <w:sz w:val="20"/>
                <w:szCs w:val="20"/>
              </w:rPr>
            </w:pPr>
            <w:r>
              <w:rPr>
                <w:rFonts w:hint="eastAsia" w:ascii="宋体" w:hAnsi="宋体" w:eastAsia="宋体" w:cs="宋体"/>
                <w:color w:val="FF0000"/>
                <w:sz w:val="20"/>
                <w:szCs w:val="20"/>
              </w:rPr>
              <w:t xml:space="preserve"> 评审点具体描述</w:t>
            </w:r>
          </w:p>
        </w:tc>
      </w:tr>
      <w:tr w14:paraId="72DAD0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468DFB1A">
            <w:pPr>
              <w:pStyle w:val="6"/>
              <w:keepNext w:val="0"/>
              <w:keepLines w:val="0"/>
              <w:pageBreakBefore w:val="0"/>
              <w:widowControl/>
              <w:kinsoku/>
              <w:wordWrap/>
              <w:overflowPunct/>
              <w:topLinePunct w:val="0"/>
              <w:autoSpaceDE/>
              <w:autoSpaceDN/>
              <w:bidi w:val="0"/>
              <w:adjustRightInd w:val="0"/>
              <w:snapToGrid w:val="0"/>
              <w:ind w:firstLine="0"/>
              <w:jc w:val="both"/>
              <w:textAlignment w:val="auto"/>
              <w:rPr>
                <w:rFonts w:hint="eastAsia" w:ascii="宋体" w:hAnsi="宋体" w:eastAsia="宋体" w:cs="宋体"/>
                <w:color w:val="FF0000"/>
                <w:sz w:val="20"/>
                <w:szCs w:val="20"/>
              </w:rPr>
            </w:pPr>
            <w:r>
              <w:rPr>
                <w:rFonts w:hint="eastAsia" w:ascii="宋体" w:hAnsi="宋体" w:eastAsia="宋体" w:cs="宋体"/>
                <w:color w:val="FF0000"/>
                <w:sz w:val="20"/>
                <w:szCs w:val="20"/>
              </w:rPr>
              <w:t xml:space="preserve"> 无</w:t>
            </w:r>
          </w:p>
        </w:tc>
      </w:tr>
    </w:tbl>
    <w:p w14:paraId="1D7481A7">
      <w:pPr>
        <w:pStyle w:val="6"/>
        <w:keepNext w:val="0"/>
        <w:keepLines w:val="0"/>
        <w:pageBreakBefore w:val="0"/>
        <w:widowControl/>
        <w:kinsoku/>
        <w:wordWrap/>
        <w:overflowPunct/>
        <w:topLinePunct w:val="0"/>
        <w:autoSpaceDE/>
        <w:autoSpaceDN/>
        <w:bidi w:val="0"/>
        <w:adjustRightInd w:val="0"/>
        <w:snapToGrid w:val="0"/>
        <w:ind w:firstLine="0"/>
        <w:jc w:val="both"/>
        <w:textAlignment w:val="auto"/>
        <w:rPr>
          <w:rFonts w:hint="eastAsia" w:ascii="宋体" w:hAnsi="宋体" w:eastAsia="宋体" w:cs="宋体"/>
          <w:color w:val="FF0000"/>
          <w:sz w:val="20"/>
          <w:szCs w:val="20"/>
        </w:rPr>
      </w:pPr>
      <w:r>
        <w:rPr>
          <w:rFonts w:hint="eastAsia" w:ascii="宋体" w:hAnsi="宋体" w:eastAsia="宋体" w:cs="宋体"/>
          <w:color w:val="FF0000"/>
          <w:sz w:val="20"/>
          <w:szCs w:val="20"/>
        </w:rPr>
        <w:t>6.3是否接受联合体投标：</w:t>
      </w:r>
    </w:p>
    <w:p w14:paraId="26468C4B">
      <w:pPr>
        <w:pStyle w:val="6"/>
        <w:keepNext w:val="0"/>
        <w:keepLines w:val="0"/>
        <w:pageBreakBefore w:val="0"/>
        <w:widowControl/>
        <w:kinsoku/>
        <w:wordWrap/>
        <w:overflowPunct/>
        <w:topLinePunct w:val="0"/>
        <w:autoSpaceDE/>
        <w:autoSpaceDN/>
        <w:bidi w:val="0"/>
        <w:adjustRightInd w:val="0"/>
        <w:snapToGrid w:val="0"/>
        <w:ind w:firstLine="0"/>
        <w:jc w:val="both"/>
        <w:textAlignment w:val="auto"/>
        <w:rPr>
          <w:rFonts w:hint="eastAsia" w:ascii="宋体" w:hAnsi="宋体" w:eastAsia="宋体" w:cs="宋体"/>
          <w:color w:val="FF0000"/>
          <w:sz w:val="20"/>
          <w:szCs w:val="20"/>
        </w:rPr>
      </w:pPr>
      <w:r>
        <w:rPr>
          <w:rFonts w:hint="eastAsia" w:ascii="宋体" w:hAnsi="宋体" w:eastAsia="宋体" w:cs="宋体"/>
          <w:color w:val="FF0000"/>
          <w:sz w:val="20"/>
          <w:szCs w:val="20"/>
        </w:rPr>
        <w:t>采购包1：不接受</w:t>
      </w:r>
    </w:p>
    <w:p w14:paraId="22366916">
      <w:pPr>
        <w:pStyle w:val="6"/>
        <w:keepNext w:val="0"/>
        <w:keepLines w:val="0"/>
        <w:pageBreakBefore w:val="0"/>
        <w:widowControl/>
        <w:kinsoku/>
        <w:wordWrap/>
        <w:overflowPunct/>
        <w:topLinePunct w:val="0"/>
        <w:autoSpaceDE/>
        <w:autoSpaceDN/>
        <w:bidi w:val="0"/>
        <w:adjustRightInd w:val="0"/>
        <w:snapToGrid w:val="0"/>
        <w:ind w:firstLine="0"/>
        <w:jc w:val="both"/>
        <w:textAlignment w:val="auto"/>
        <w:rPr>
          <w:rFonts w:hint="eastAsia" w:ascii="宋体" w:hAnsi="宋体" w:eastAsia="宋体" w:cs="宋体"/>
          <w:color w:val="FF0000"/>
          <w:sz w:val="20"/>
          <w:szCs w:val="20"/>
        </w:rPr>
      </w:pPr>
      <w:r>
        <w:rPr>
          <w:rFonts w:hint="eastAsia" w:ascii="宋体" w:hAnsi="宋体" w:eastAsia="宋体" w:cs="宋体"/>
          <w:color w:val="FF0000"/>
          <w:sz w:val="20"/>
          <w:szCs w:val="20"/>
        </w:rPr>
        <w:t>采购包2：不接受</w:t>
      </w:r>
    </w:p>
    <w:p w14:paraId="0B77D027">
      <w:pPr>
        <w:pStyle w:val="6"/>
        <w:keepNext w:val="0"/>
        <w:keepLines w:val="0"/>
        <w:pageBreakBefore w:val="0"/>
        <w:widowControl/>
        <w:kinsoku/>
        <w:wordWrap/>
        <w:overflowPunct/>
        <w:topLinePunct w:val="0"/>
        <w:autoSpaceDE/>
        <w:autoSpaceDN/>
        <w:bidi w:val="0"/>
        <w:adjustRightInd w:val="0"/>
        <w:snapToGrid w:val="0"/>
        <w:ind w:firstLine="0"/>
        <w:jc w:val="both"/>
        <w:textAlignment w:val="auto"/>
        <w:rPr>
          <w:rFonts w:hint="eastAsia" w:ascii="宋体" w:hAnsi="宋体" w:eastAsia="宋体" w:cs="宋体"/>
          <w:color w:val="FF0000"/>
          <w:sz w:val="20"/>
          <w:szCs w:val="20"/>
        </w:rPr>
      </w:pPr>
      <w:r>
        <w:rPr>
          <w:rFonts w:hint="eastAsia" w:ascii="宋体" w:hAnsi="宋体" w:eastAsia="宋体" w:cs="宋体"/>
          <w:color w:val="FF0000"/>
          <w:sz w:val="20"/>
          <w:szCs w:val="20"/>
        </w:rPr>
        <w:t>采购包3：不接受</w:t>
      </w:r>
    </w:p>
    <w:p w14:paraId="0BC7D122">
      <w:pPr>
        <w:pStyle w:val="6"/>
        <w:keepNext w:val="0"/>
        <w:keepLines w:val="0"/>
        <w:pageBreakBefore w:val="0"/>
        <w:widowControl/>
        <w:kinsoku/>
        <w:wordWrap/>
        <w:overflowPunct/>
        <w:topLinePunct w:val="0"/>
        <w:autoSpaceDE/>
        <w:autoSpaceDN/>
        <w:bidi w:val="0"/>
        <w:adjustRightInd w:val="0"/>
        <w:snapToGrid w:val="0"/>
        <w:ind w:firstLine="0"/>
        <w:jc w:val="both"/>
        <w:textAlignment w:val="auto"/>
        <w:rPr>
          <w:rFonts w:hint="eastAsia" w:ascii="宋体" w:hAnsi="宋体" w:eastAsia="宋体" w:cs="宋体"/>
          <w:sz w:val="20"/>
          <w:szCs w:val="20"/>
        </w:rPr>
      </w:pPr>
      <w:r>
        <w:rPr>
          <w:rFonts w:hint="eastAsia" w:ascii="宋体" w:hAnsi="宋体" w:eastAsia="宋体" w:cs="宋体"/>
          <w:b/>
          <w:sz w:val="20"/>
          <w:szCs w:val="20"/>
        </w:rPr>
        <w:t>※根据上述资格要求，电子投标文件中应提交的“投标人的资格及资信证明文件”详见招标文件第四章。</w:t>
      </w:r>
    </w:p>
    <w:p w14:paraId="52F2E0EE">
      <w:pPr>
        <w:pStyle w:val="6"/>
        <w:keepNext w:val="0"/>
        <w:keepLines w:val="0"/>
        <w:pageBreakBefore w:val="0"/>
        <w:widowControl/>
        <w:kinsoku/>
        <w:wordWrap/>
        <w:overflowPunct/>
        <w:topLinePunct w:val="0"/>
        <w:autoSpaceDE/>
        <w:autoSpaceDN/>
        <w:bidi w:val="0"/>
        <w:adjustRightInd w:val="0"/>
        <w:snapToGrid w:val="0"/>
        <w:ind w:firstLine="0"/>
        <w:jc w:val="both"/>
        <w:textAlignment w:val="auto"/>
        <w:outlineLvl w:val="2"/>
        <w:rPr>
          <w:rFonts w:hint="eastAsia" w:ascii="宋体" w:hAnsi="宋体" w:eastAsia="宋体" w:cs="宋体"/>
          <w:sz w:val="20"/>
          <w:szCs w:val="20"/>
        </w:rPr>
      </w:pPr>
      <w:r>
        <w:rPr>
          <w:rFonts w:hint="eastAsia" w:ascii="宋体" w:hAnsi="宋体" w:eastAsia="宋体" w:cs="宋体"/>
          <w:b/>
          <w:sz w:val="20"/>
          <w:szCs w:val="20"/>
        </w:rPr>
        <w:t>7、招标文件的获取</w:t>
      </w:r>
    </w:p>
    <w:p w14:paraId="105AC02E">
      <w:pPr>
        <w:pStyle w:val="6"/>
        <w:keepNext w:val="0"/>
        <w:keepLines w:val="0"/>
        <w:pageBreakBefore w:val="0"/>
        <w:widowControl/>
        <w:kinsoku/>
        <w:wordWrap/>
        <w:overflowPunct/>
        <w:topLinePunct w:val="0"/>
        <w:autoSpaceDE/>
        <w:autoSpaceDN/>
        <w:bidi w:val="0"/>
        <w:adjustRightInd w:val="0"/>
        <w:snapToGrid w:val="0"/>
        <w:ind w:firstLine="0"/>
        <w:jc w:val="both"/>
        <w:textAlignment w:val="auto"/>
        <w:rPr>
          <w:rFonts w:hint="eastAsia" w:ascii="宋体" w:hAnsi="宋体" w:eastAsia="宋体" w:cs="宋体"/>
          <w:sz w:val="20"/>
          <w:szCs w:val="20"/>
        </w:rPr>
      </w:pPr>
      <w:r>
        <w:rPr>
          <w:rFonts w:hint="eastAsia" w:ascii="宋体" w:hAnsi="宋体" w:eastAsia="宋体" w:cs="宋体"/>
          <w:sz w:val="20"/>
          <w:szCs w:val="20"/>
        </w:rPr>
        <w:t>7.1、招标文件获取期限：详见招标公告或更正公告，若不一致，以更正公告为准。</w:t>
      </w:r>
    </w:p>
    <w:p w14:paraId="167B498D">
      <w:pPr>
        <w:pStyle w:val="6"/>
        <w:keepNext w:val="0"/>
        <w:keepLines w:val="0"/>
        <w:pageBreakBefore w:val="0"/>
        <w:widowControl/>
        <w:kinsoku/>
        <w:wordWrap/>
        <w:overflowPunct/>
        <w:topLinePunct w:val="0"/>
        <w:autoSpaceDE/>
        <w:autoSpaceDN/>
        <w:bidi w:val="0"/>
        <w:adjustRightInd w:val="0"/>
        <w:snapToGrid w:val="0"/>
        <w:ind w:firstLine="0"/>
        <w:jc w:val="both"/>
        <w:textAlignment w:val="auto"/>
        <w:rPr>
          <w:rFonts w:hint="eastAsia" w:ascii="宋体" w:hAnsi="宋体" w:eastAsia="宋体" w:cs="宋体"/>
          <w:sz w:val="20"/>
          <w:szCs w:val="20"/>
        </w:rPr>
      </w:pPr>
      <w:r>
        <w:rPr>
          <w:rFonts w:hint="eastAsia" w:ascii="宋体" w:hAnsi="宋体" w:eastAsia="宋体" w:cs="宋体"/>
          <w:sz w:val="20"/>
          <w:szCs w:val="20"/>
        </w:rPr>
        <w:t>7.2、在招标文件获取期限内，供应商应通过福建省政府采购网上公开信息系统的注册账号（免费注册）并获取招标文件(登陆福建省政府采购网上公开信息系统进行文件获取)，否则投标将被拒绝。</w:t>
      </w:r>
    </w:p>
    <w:p w14:paraId="5A03AFFF">
      <w:pPr>
        <w:pStyle w:val="6"/>
        <w:keepNext w:val="0"/>
        <w:keepLines w:val="0"/>
        <w:pageBreakBefore w:val="0"/>
        <w:widowControl/>
        <w:kinsoku/>
        <w:wordWrap/>
        <w:overflowPunct/>
        <w:topLinePunct w:val="0"/>
        <w:autoSpaceDE/>
        <w:autoSpaceDN/>
        <w:bidi w:val="0"/>
        <w:adjustRightInd w:val="0"/>
        <w:snapToGrid w:val="0"/>
        <w:ind w:firstLine="0"/>
        <w:jc w:val="both"/>
        <w:textAlignment w:val="auto"/>
        <w:rPr>
          <w:rFonts w:hint="eastAsia" w:ascii="宋体" w:hAnsi="宋体" w:eastAsia="宋体" w:cs="宋体"/>
          <w:sz w:val="20"/>
          <w:szCs w:val="20"/>
        </w:rPr>
      </w:pPr>
      <w:r>
        <w:rPr>
          <w:rFonts w:hint="eastAsia" w:ascii="宋体" w:hAnsi="宋体" w:eastAsia="宋体" w:cs="宋体"/>
          <w:sz w:val="20"/>
          <w:szCs w:val="20"/>
        </w:rPr>
        <w:t>7.3、获取地点及方式：注册账号后，通过福建省政府采购网上公开信息系统以下载方式获取。</w:t>
      </w:r>
    </w:p>
    <w:p w14:paraId="038E78BE">
      <w:pPr>
        <w:pStyle w:val="6"/>
        <w:keepNext w:val="0"/>
        <w:keepLines w:val="0"/>
        <w:pageBreakBefore w:val="0"/>
        <w:widowControl/>
        <w:kinsoku/>
        <w:wordWrap/>
        <w:overflowPunct/>
        <w:topLinePunct w:val="0"/>
        <w:autoSpaceDE/>
        <w:autoSpaceDN/>
        <w:bidi w:val="0"/>
        <w:adjustRightInd w:val="0"/>
        <w:snapToGrid w:val="0"/>
        <w:ind w:firstLine="0"/>
        <w:jc w:val="both"/>
        <w:textAlignment w:val="auto"/>
        <w:rPr>
          <w:rFonts w:hint="eastAsia" w:ascii="宋体" w:hAnsi="宋体" w:eastAsia="宋体" w:cs="宋体"/>
          <w:sz w:val="20"/>
          <w:szCs w:val="20"/>
        </w:rPr>
      </w:pPr>
      <w:r>
        <w:rPr>
          <w:rFonts w:hint="eastAsia" w:ascii="宋体" w:hAnsi="宋体" w:eastAsia="宋体" w:cs="宋体"/>
          <w:sz w:val="20"/>
          <w:szCs w:val="20"/>
        </w:rPr>
        <w:t>7.4、招标文件售价：0元。</w:t>
      </w:r>
    </w:p>
    <w:p w14:paraId="47B0DC31">
      <w:pPr>
        <w:pStyle w:val="6"/>
        <w:keepNext w:val="0"/>
        <w:keepLines w:val="0"/>
        <w:pageBreakBefore w:val="0"/>
        <w:widowControl/>
        <w:kinsoku/>
        <w:wordWrap/>
        <w:overflowPunct/>
        <w:topLinePunct w:val="0"/>
        <w:autoSpaceDE/>
        <w:autoSpaceDN/>
        <w:bidi w:val="0"/>
        <w:adjustRightInd w:val="0"/>
        <w:snapToGrid w:val="0"/>
        <w:ind w:firstLine="0"/>
        <w:jc w:val="both"/>
        <w:textAlignment w:val="auto"/>
        <w:outlineLvl w:val="2"/>
        <w:rPr>
          <w:rFonts w:hint="eastAsia" w:ascii="宋体" w:hAnsi="宋体" w:eastAsia="宋体" w:cs="宋体"/>
          <w:sz w:val="20"/>
          <w:szCs w:val="20"/>
        </w:rPr>
      </w:pPr>
      <w:r>
        <w:rPr>
          <w:rFonts w:hint="eastAsia" w:ascii="宋体" w:hAnsi="宋体" w:eastAsia="宋体" w:cs="宋体"/>
          <w:b/>
          <w:sz w:val="20"/>
          <w:szCs w:val="20"/>
        </w:rPr>
        <w:t>8、投标截止</w:t>
      </w:r>
    </w:p>
    <w:p w14:paraId="1D158717">
      <w:pPr>
        <w:pStyle w:val="6"/>
        <w:keepNext w:val="0"/>
        <w:keepLines w:val="0"/>
        <w:pageBreakBefore w:val="0"/>
        <w:widowControl/>
        <w:kinsoku/>
        <w:wordWrap/>
        <w:overflowPunct/>
        <w:topLinePunct w:val="0"/>
        <w:autoSpaceDE/>
        <w:autoSpaceDN/>
        <w:bidi w:val="0"/>
        <w:adjustRightInd w:val="0"/>
        <w:snapToGrid w:val="0"/>
        <w:ind w:firstLine="0"/>
        <w:jc w:val="both"/>
        <w:textAlignment w:val="auto"/>
        <w:rPr>
          <w:rFonts w:hint="eastAsia" w:ascii="宋体" w:hAnsi="宋体" w:eastAsia="宋体" w:cs="宋体"/>
          <w:sz w:val="20"/>
          <w:szCs w:val="20"/>
        </w:rPr>
      </w:pPr>
      <w:r>
        <w:rPr>
          <w:rFonts w:hint="eastAsia" w:ascii="宋体" w:hAnsi="宋体" w:eastAsia="宋体" w:cs="宋体"/>
          <w:sz w:val="20"/>
          <w:szCs w:val="20"/>
        </w:rPr>
        <w:t>8.1、投标截止时间：详见招标公告或更正公告，若不一致，以更正公告为准。</w:t>
      </w:r>
    </w:p>
    <w:p w14:paraId="3CDC658B">
      <w:pPr>
        <w:pStyle w:val="6"/>
        <w:keepNext w:val="0"/>
        <w:keepLines w:val="0"/>
        <w:pageBreakBefore w:val="0"/>
        <w:widowControl/>
        <w:kinsoku/>
        <w:wordWrap/>
        <w:overflowPunct/>
        <w:topLinePunct w:val="0"/>
        <w:autoSpaceDE/>
        <w:autoSpaceDN/>
        <w:bidi w:val="0"/>
        <w:adjustRightInd w:val="0"/>
        <w:snapToGrid w:val="0"/>
        <w:ind w:firstLine="0"/>
        <w:jc w:val="both"/>
        <w:textAlignment w:val="auto"/>
        <w:rPr>
          <w:rFonts w:hint="eastAsia" w:ascii="宋体" w:hAnsi="宋体" w:eastAsia="宋体" w:cs="宋体"/>
          <w:sz w:val="20"/>
          <w:szCs w:val="20"/>
        </w:rPr>
      </w:pPr>
      <w:r>
        <w:rPr>
          <w:rFonts w:hint="eastAsia" w:ascii="宋体" w:hAnsi="宋体" w:eastAsia="宋体" w:cs="宋体"/>
          <w:sz w:val="20"/>
          <w:szCs w:val="20"/>
        </w:rPr>
        <w:t>8.2、投标人应在投标截止时间前按照福建省政府采购网上公开信息系统设定的操作流程将电子投标文件上传至福建省政府采购网上公开信息系统，否则投标将被拒绝。</w:t>
      </w:r>
    </w:p>
    <w:p w14:paraId="77C81E20">
      <w:pPr>
        <w:pStyle w:val="6"/>
        <w:keepNext w:val="0"/>
        <w:keepLines w:val="0"/>
        <w:pageBreakBefore w:val="0"/>
        <w:widowControl/>
        <w:kinsoku/>
        <w:wordWrap/>
        <w:overflowPunct/>
        <w:topLinePunct w:val="0"/>
        <w:autoSpaceDE/>
        <w:autoSpaceDN/>
        <w:bidi w:val="0"/>
        <w:adjustRightInd w:val="0"/>
        <w:snapToGrid w:val="0"/>
        <w:ind w:firstLine="0"/>
        <w:jc w:val="both"/>
        <w:textAlignment w:val="auto"/>
        <w:outlineLvl w:val="2"/>
        <w:rPr>
          <w:rFonts w:hint="eastAsia" w:ascii="宋体" w:hAnsi="宋体" w:eastAsia="宋体" w:cs="宋体"/>
          <w:sz w:val="20"/>
          <w:szCs w:val="20"/>
        </w:rPr>
      </w:pPr>
      <w:r>
        <w:rPr>
          <w:rFonts w:hint="eastAsia" w:ascii="宋体" w:hAnsi="宋体" w:eastAsia="宋体" w:cs="宋体"/>
          <w:b/>
          <w:sz w:val="20"/>
          <w:szCs w:val="20"/>
        </w:rPr>
        <w:t>9、开标时间及地点</w:t>
      </w:r>
    </w:p>
    <w:p w14:paraId="1026471C">
      <w:pPr>
        <w:pStyle w:val="6"/>
        <w:keepNext w:val="0"/>
        <w:keepLines w:val="0"/>
        <w:pageBreakBefore w:val="0"/>
        <w:widowControl/>
        <w:kinsoku/>
        <w:wordWrap/>
        <w:overflowPunct/>
        <w:topLinePunct w:val="0"/>
        <w:autoSpaceDE/>
        <w:autoSpaceDN/>
        <w:bidi w:val="0"/>
        <w:adjustRightInd w:val="0"/>
        <w:snapToGrid w:val="0"/>
        <w:ind w:firstLine="0"/>
        <w:jc w:val="both"/>
        <w:textAlignment w:val="auto"/>
        <w:rPr>
          <w:rFonts w:hint="eastAsia" w:ascii="宋体" w:hAnsi="宋体" w:eastAsia="宋体" w:cs="宋体"/>
          <w:sz w:val="20"/>
          <w:szCs w:val="20"/>
        </w:rPr>
      </w:pPr>
      <w:r>
        <w:rPr>
          <w:rFonts w:hint="eastAsia" w:ascii="宋体" w:hAnsi="宋体" w:eastAsia="宋体" w:cs="宋体"/>
          <w:sz w:val="20"/>
          <w:szCs w:val="20"/>
        </w:rPr>
        <w:t>详见招标公告或更正公告，若不一致，以更正公告为准。</w:t>
      </w:r>
    </w:p>
    <w:p w14:paraId="58598EE8">
      <w:pPr>
        <w:pStyle w:val="6"/>
        <w:keepNext w:val="0"/>
        <w:keepLines w:val="0"/>
        <w:pageBreakBefore w:val="0"/>
        <w:widowControl/>
        <w:kinsoku/>
        <w:wordWrap/>
        <w:overflowPunct/>
        <w:topLinePunct w:val="0"/>
        <w:autoSpaceDE/>
        <w:autoSpaceDN/>
        <w:bidi w:val="0"/>
        <w:adjustRightInd w:val="0"/>
        <w:snapToGrid w:val="0"/>
        <w:ind w:firstLine="0"/>
        <w:jc w:val="both"/>
        <w:textAlignment w:val="auto"/>
        <w:outlineLvl w:val="2"/>
        <w:rPr>
          <w:rFonts w:hint="eastAsia" w:ascii="宋体" w:hAnsi="宋体" w:eastAsia="宋体" w:cs="宋体"/>
          <w:sz w:val="20"/>
          <w:szCs w:val="20"/>
        </w:rPr>
      </w:pPr>
      <w:r>
        <w:rPr>
          <w:rFonts w:hint="eastAsia" w:ascii="宋体" w:hAnsi="宋体" w:eastAsia="宋体" w:cs="宋体"/>
          <w:b/>
          <w:sz w:val="20"/>
          <w:szCs w:val="20"/>
        </w:rPr>
        <w:t>10、公告期限</w:t>
      </w:r>
    </w:p>
    <w:p w14:paraId="5D58853C">
      <w:pPr>
        <w:pStyle w:val="6"/>
        <w:keepNext w:val="0"/>
        <w:keepLines w:val="0"/>
        <w:pageBreakBefore w:val="0"/>
        <w:widowControl/>
        <w:kinsoku/>
        <w:wordWrap/>
        <w:overflowPunct/>
        <w:topLinePunct w:val="0"/>
        <w:autoSpaceDE/>
        <w:autoSpaceDN/>
        <w:bidi w:val="0"/>
        <w:adjustRightInd w:val="0"/>
        <w:snapToGrid w:val="0"/>
        <w:ind w:firstLine="0"/>
        <w:jc w:val="both"/>
        <w:textAlignment w:val="auto"/>
        <w:rPr>
          <w:rFonts w:hint="eastAsia" w:ascii="宋体" w:hAnsi="宋体" w:eastAsia="宋体" w:cs="宋体"/>
          <w:sz w:val="20"/>
          <w:szCs w:val="20"/>
        </w:rPr>
      </w:pPr>
      <w:r>
        <w:rPr>
          <w:rFonts w:hint="eastAsia" w:ascii="宋体" w:hAnsi="宋体" w:eastAsia="宋体" w:cs="宋体"/>
          <w:sz w:val="20"/>
          <w:szCs w:val="20"/>
        </w:rPr>
        <w:t>10.1、招标公告的公告期限：自财政部和福建省财政厅指定的政府采购信息发布媒体最先发布公告之日起5个工作日。</w:t>
      </w:r>
    </w:p>
    <w:p w14:paraId="3BCAF338">
      <w:pPr>
        <w:pStyle w:val="6"/>
        <w:keepNext w:val="0"/>
        <w:keepLines w:val="0"/>
        <w:pageBreakBefore w:val="0"/>
        <w:widowControl/>
        <w:kinsoku/>
        <w:wordWrap/>
        <w:overflowPunct/>
        <w:topLinePunct w:val="0"/>
        <w:autoSpaceDE/>
        <w:autoSpaceDN/>
        <w:bidi w:val="0"/>
        <w:adjustRightInd w:val="0"/>
        <w:snapToGrid w:val="0"/>
        <w:ind w:firstLine="0"/>
        <w:jc w:val="both"/>
        <w:textAlignment w:val="auto"/>
        <w:rPr>
          <w:rFonts w:hint="eastAsia" w:ascii="宋体" w:hAnsi="宋体" w:eastAsia="宋体" w:cs="宋体"/>
          <w:sz w:val="20"/>
          <w:szCs w:val="20"/>
        </w:rPr>
      </w:pPr>
      <w:r>
        <w:rPr>
          <w:rFonts w:hint="eastAsia" w:ascii="宋体" w:hAnsi="宋体" w:eastAsia="宋体" w:cs="宋体"/>
          <w:sz w:val="20"/>
          <w:szCs w:val="20"/>
        </w:rPr>
        <w:t>10.2、招标文件公告期限：招标文件随同招标公告一并发布，其公告期限与招标公告的公告期限保持一致。</w:t>
      </w:r>
    </w:p>
    <w:p w14:paraId="221556BA">
      <w:pPr>
        <w:pStyle w:val="6"/>
        <w:keepNext w:val="0"/>
        <w:keepLines w:val="0"/>
        <w:pageBreakBefore w:val="0"/>
        <w:widowControl/>
        <w:kinsoku/>
        <w:wordWrap/>
        <w:overflowPunct/>
        <w:topLinePunct w:val="0"/>
        <w:autoSpaceDE/>
        <w:autoSpaceDN/>
        <w:bidi w:val="0"/>
        <w:adjustRightInd w:val="0"/>
        <w:snapToGrid w:val="0"/>
        <w:ind w:firstLine="0"/>
        <w:jc w:val="left"/>
        <w:textAlignment w:val="auto"/>
        <w:outlineLvl w:val="2"/>
        <w:rPr>
          <w:rFonts w:hint="eastAsia" w:ascii="宋体" w:hAnsi="宋体" w:eastAsia="宋体" w:cs="宋体"/>
          <w:color w:val="FF0000"/>
          <w:sz w:val="20"/>
          <w:szCs w:val="20"/>
        </w:rPr>
      </w:pPr>
      <w:r>
        <w:rPr>
          <w:rFonts w:hint="eastAsia" w:ascii="宋体" w:hAnsi="宋体" w:eastAsia="宋体" w:cs="宋体"/>
          <w:b/>
          <w:color w:val="FF0000"/>
          <w:sz w:val="20"/>
          <w:szCs w:val="20"/>
        </w:rPr>
        <w:t>11、采购人：福建省市场监督管理局（本级）</w:t>
      </w:r>
    </w:p>
    <w:p w14:paraId="6B126FD1">
      <w:pPr>
        <w:pStyle w:val="6"/>
        <w:keepNext w:val="0"/>
        <w:keepLines w:val="0"/>
        <w:pageBreakBefore w:val="0"/>
        <w:widowControl/>
        <w:kinsoku/>
        <w:wordWrap/>
        <w:overflowPunct/>
        <w:topLinePunct w:val="0"/>
        <w:autoSpaceDE/>
        <w:autoSpaceDN/>
        <w:bidi w:val="0"/>
        <w:adjustRightInd w:val="0"/>
        <w:snapToGrid w:val="0"/>
        <w:ind w:firstLine="0"/>
        <w:jc w:val="left"/>
        <w:textAlignment w:val="auto"/>
        <w:rPr>
          <w:rFonts w:hint="eastAsia" w:ascii="宋体" w:hAnsi="宋体" w:eastAsia="宋体" w:cs="宋体"/>
          <w:color w:val="FF0000"/>
          <w:sz w:val="20"/>
          <w:szCs w:val="20"/>
        </w:rPr>
      </w:pPr>
      <w:r>
        <w:rPr>
          <w:rFonts w:hint="eastAsia" w:ascii="宋体" w:hAnsi="宋体" w:eastAsia="宋体" w:cs="宋体"/>
          <w:color w:val="FF0000"/>
          <w:sz w:val="20"/>
          <w:szCs w:val="20"/>
        </w:rPr>
        <w:t xml:space="preserve"> 地址： 福建省福州市鼓楼区华林路147号</w:t>
      </w:r>
    </w:p>
    <w:p w14:paraId="0353D5F6">
      <w:pPr>
        <w:pStyle w:val="6"/>
        <w:keepNext w:val="0"/>
        <w:keepLines w:val="0"/>
        <w:pageBreakBefore w:val="0"/>
        <w:widowControl/>
        <w:kinsoku/>
        <w:wordWrap/>
        <w:overflowPunct/>
        <w:topLinePunct w:val="0"/>
        <w:autoSpaceDE/>
        <w:autoSpaceDN/>
        <w:bidi w:val="0"/>
        <w:adjustRightInd w:val="0"/>
        <w:snapToGrid w:val="0"/>
        <w:ind w:firstLine="0"/>
        <w:jc w:val="left"/>
        <w:textAlignment w:val="auto"/>
        <w:rPr>
          <w:rFonts w:hint="eastAsia" w:ascii="宋体" w:hAnsi="宋体" w:eastAsia="宋体" w:cs="宋体"/>
          <w:color w:val="FF0000"/>
          <w:sz w:val="20"/>
          <w:szCs w:val="20"/>
        </w:rPr>
      </w:pPr>
      <w:r>
        <w:rPr>
          <w:rFonts w:hint="eastAsia" w:ascii="宋体" w:hAnsi="宋体" w:eastAsia="宋体" w:cs="宋体"/>
          <w:color w:val="FF0000"/>
          <w:sz w:val="20"/>
          <w:szCs w:val="20"/>
        </w:rPr>
        <w:t xml:space="preserve"> 邮编： 350001</w:t>
      </w:r>
    </w:p>
    <w:p w14:paraId="3ACEF045">
      <w:pPr>
        <w:pStyle w:val="6"/>
        <w:keepNext w:val="0"/>
        <w:keepLines w:val="0"/>
        <w:pageBreakBefore w:val="0"/>
        <w:widowControl/>
        <w:kinsoku/>
        <w:wordWrap/>
        <w:overflowPunct/>
        <w:topLinePunct w:val="0"/>
        <w:autoSpaceDE/>
        <w:autoSpaceDN/>
        <w:bidi w:val="0"/>
        <w:adjustRightInd w:val="0"/>
        <w:snapToGrid w:val="0"/>
        <w:ind w:firstLine="0"/>
        <w:jc w:val="left"/>
        <w:textAlignment w:val="auto"/>
        <w:rPr>
          <w:rFonts w:hint="eastAsia" w:ascii="宋体" w:hAnsi="宋体" w:eastAsia="宋体" w:cs="宋体"/>
          <w:color w:val="FF0000"/>
          <w:sz w:val="20"/>
          <w:szCs w:val="20"/>
        </w:rPr>
      </w:pPr>
      <w:r>
        <w:rPr>
          <w:rFonts w:hint="eastAsia" w:ascii="宋体" w:hAnsi="宋体" w:eastAsia="宋体" w:cs="宋体"/>
          <w:color w:val="FF0000"/>
          <w:sz w:val="20"/>
          <w:szCs w:val="20"/>
        </w:rPr>
        <w:t xml:space="preserve"> 联系人： 庄柳芬</w:t>
      </w:r>
    </w:p>
    <w:p w14:paraId="33B9A301">
      <w:pPr>
        <w:pStyle w:val="6"/>
        <w:keepNext w:val="0"/>
        <w:keepLines w:val="0"/>
        <w:pageBreakBefore w:val="0"/>
        <w:widowControl/>
        <w:kinsoku/>
        <w:wordWrap/>
        <w:overflowPunct/>
        <w:topLinePunct w:val="0"/>
        <w:autoSpaceDE/>
        <w:autoSpaceDN/>
        <w:bidi w:val="0"/>
        <w:adjustRightInd w:val="0"/>
        <w:snapToGrid w:val="0"/>
        <w:ind w:firstLine="0"/>
        <w:jc w:val="left"/>
        <w:textAlignment w:val="auto"/>
        <w:rPr>
          <w:rFonts w:hint="eastAsia" w:ascii="宋体" w:hAnsi="宋体" w:eastAsia="宋体" w:cs="宋体"/>
          <w:color w:val="FF0000"/>
          <w:sz w:val="20"/>
          <w:szCs w:val="20"/>
        </w:rPr>
      </w:pPr>
      <w:r>
        <w:rPr>
          <w:rFonts w:hint="eastAsia" w:ascii="宋体" w:hAnsi="宋体" w:eastAsia="宋体" w:cs="宋体"/>
          <w:color w:val="FF0000"/>
          <w:sz w:val="20"/>
          <w:szCs w:val="20"/>
        </w:rPr>
        <w:t xml:space="preserve"> 联系电话： 059187530813</w:t>
      </w:r>
    </w:p>
    <w:p w14:paraId="04A1BD4B">
      <w:pPr>
        <w:pStyle w:val="6"/>
        <w:keepNext w:val="0"/>
        <w:keepLines w:val="0"/>
        <w:pageBreakBefore w:val="0"/>
        <w:widowControl/>
        <w:kinsoku/>
        <w:wordWrap/>
        <w:overflowPunct/>
        <w:topLinePunct w:val="0"/>
        <w:autoSpaceDE/>
        <w:autoSpaceDN/>
        <w:bidi w:val="0"/>
        <w:adjustRightInd w:val="0"/>
        <w:snapToGrid w:val="0"/>
        <w:ind w:firstLine="0"/>
        <w:jc w:val="left"/>
        <w:textAlignment w:val="auto"/>
        <w:outlineLvl w:val="2"/>
        <w:rPr>
          <w:rFonts w:hint="eastAsia" w:ascii="宋体" w:hAnsi="宋体" w:eastAsia="宋体" w:cs="宋体"/>
          <w:sz w:val="20"/>
          <w:szCs w:val="20"/>
        </w:rPr>
      </w:pPr>
      <w:r>
        <w:rPr>
          <w:rFonts w:hint="eastAsia" w:ascii="宋体" w:hAnsi="宋体" w:eastAsia="宋体" w:cs="宋体"/>
          <w:b/>
          <w:sz w:val="20"/>
          <w:szCs w:val="20"/>
        </w:rPr>
        <w:t>12、代理机构：福建省天海招标有限公司</w:t>
      </w:r>
    </w:p>
    <w:p w14:paraId="5A805874">
      <w:pPr>
        <w:pStyle w:val="6"/>
        <w:keepNext w:val="0"/>
        <w:keepLines w:val="0"/>
        <w:pageBreakBefore w:val="0"/>
        <w:widowControl/>
        <w:kinsoku/>
        <w:wordWrap/>
        <w:overflowPunct/>
        <w:topLinePunct w:val="0"/>
        <w:autoSpaceDE/>
        <w:autoSpaceDN/>
        <w:bidi w:val="0"/>
        <w:adjustRightInd w:val="0"/>
        <w:snapToGrid w:val="0"/>
        <w:ind w:firstLine="0"/>
        <w:jc w:val="both"/>
        <w:textAlignment w:val="auto"/>
        <w:rPr>
          <w:rFonts w:hint="eastAsia" w:ascii="宋体" w:hAnsi="宋体" w:eastAsia="宋体" w:cs="宋体"/>
          <w:sz w:val="20"/>
          <w:szCs w:val="20"/>
        </w:rPr>
      </w:pPr>
      <w:r>
        <w:rPr>
          <w:rFonts w:hint="eastAsia" w:ascii="宋体" w:hAnsi="宋体" w:eastAsia="宋体" w:cs="宋体"/>
          <w:sz w:val="20"/>
          <w:szCs w:val="20"/>
        </w:rPr>
        <w:t xml:space="preserve"> 地址： 鼓东街道营迹路69号恒力创富中心西塔8层</w:t>
      </w:r>
    </w:p>
    <w:p w14:paraId="7726B67D">
      <w:pPr>
        <w:pStyle w:val="6"/>
        <w:keepNext w:val="0"/>
        <w:keepLines w:val="0"/>
        <w:pageBreakBefore w:val="0"/>
        <w:widowControl/>
        <w:kinsoku/>
        <w:wordWrap/>
        <w:overflowPunct/>
        <w:topLinePunct w:val="0"/>
        <w:autoSpaceDE/>
        <w:autoSpaceDN/>
        <w:bidi w:val="0"/>
        <w:adjustRightInd w:val="0"/>
        <w:snapToGrid w:val="0"/>
        <w:ind w:firstLine="0"/>
        <w:jc w:val="both"/>
        <w:textAlignment w:val="auto"/>
        <w:rPr>
          <w:rFonts w:hint="eastAsia" w:ascii="宋体" w:hAnsi="宋体" w:eastAsia="宋体" w:cs="宋体"/>
          <w:sz w:val="20"/>
          <w:szCs w:val="20"/>
        </w:rPr>
      </w:pPr>
      <w:r>
        <w:rPr>
          <w:rFonts w:hint="eastAsia" w:ascii="宋体" w:hAnsi="宋体" w:eastAsia="宋体" w:cs="宋体"/>
          <w:sz w:val="20"/>
          <w:szCs w:val="20"/>
        </w:rPr>
        <w:t xml:space="preserve"> 邮编： 350001</w:t>
      </w:r>
    </w:p>
    <w:p w14:paraId="50390ED8">
      <w:pPr>
        <w:pStyle w:val="6"/>
        <w:keepNext w:val="0"/>
        <w:keepLines w:val="0"/>
        <w:pageBreakBefore w:val="0"/>
        <w:widowControl/>
        <w:kinsoku/>
        <w:wordWrap/>
        <w:overflowPunct/>
        <w:topLinePunct w:val="0"/>
        <w:autoSpaceDE/>
        <w:autoSpaceDN/>
        <w:bidi w:val="0"/>
        <w:adjustRightInd w:val="0"/>
        <w:snapToGrid w:val="0"/>
        <w:ind w:firstLine="0"/>
        <w:jc w:val="both"/>
        <w:textAlignment w:val="auto"/>
        <w:rPr>
          <w:rFonts w:hint="eastAsia" w:ascii="宋体" w:hAnsi="宋体" w:eastAsia="宋体" w:cs="宋体"/>
          <w:sz w:val="20"/>
          <w:szCs w:val="20"/>
        </w:rPr>
      </w:pPr>
      <w:r>
        <w:rPr>
          <w:rFonts w:hint="eastAsia" w:ascii="宋体" w:hAnsi="宋体" w:eastAsia="宋体" w:cs="宋体"/>
          <w:sz w:val="20"/>
          <w:szCs w:val="20"/>
        </w:rPr>
        <w:t xml:space="preserve"> 联系人： 古桂春</w:t>
      </w:r>
    </w:p>
    <w:p w14:paraId="6F1E3A4B">
      <w:pPr>
        <w:pStyle w:val="6"/>
        <w:keepNext w:val="0"/>
        <w:keepLines w:val="0"/>
        <w:pageBreakBefore w:val="0"/>
        <w:widowControl/>
        <w:kinsoku/>
        <w:wordWrap/>
        <w:overflowPunct/>
        <w:topLinePunct w:val="0"/>
        <w:autoSpaceDE/>
        <w:autoSpaceDN/>
        <w:bidi w:val="0"/>
        <w:adjustRightInd w:val="0"/>
        <w:snapToGrid w:val="0"/>
        <w:ind w:firstLine="0"/>
        <w:jc w:val="both"/>
        <w:textAlignment w:val="auto"/>
        <w:rPr>
          <w:rFonts w:hint="eastAsia" w:ascii="宋体" w:hAnsi="宋体" w:eastAsia="宋体" w:cs="宋体"/>
          <w:sz w:val="20"/>
          <w:szCs w:val="20"/>
        </w:rPr>
      </w:pPr>
      <w:r>
        <w:rPr>
          <w:rFonts w:hint="eastAsia" w:ascii="宋体" w:hAnsi="宋体" w:eastAsia="宋体" w:cs="宋体"/>
          <w:sz w:val="20"/>
          <w:szCs w:val="20"/>
        </w:rPr>
        <w:t xml:space="preserve"> 联系电话： 15980631928</w:t>
      </w:r>
    </w:p>
    <w:p w14:paraId="6474AC87">
      <w:pPr>
        <w:pStyle w:val="6"/>
        <w:jc w:val="both"/>
        <w:outlineLvl w:val="2"/>
        <w:rPr>
          <w:rFonts w:hint="eastAsia" w:ascii="宋体" w:hAnsi="宋体" w:eastAsia="宋体" w:cs="宋体"/>
          <w:sz w:val="20"/>
          <w:szCs w:val="20"/>
        </w:rPr>
      </w:pPr>
      <w:r>
        <w:rPr>
          <w:rFonts w:hint="eastAsia" w:ascii="宋体" w:hAnsi="宋体" w:eastAsia="宋体" w:cs="宋体"/>
          <w:b/>
          <w:sz w:val="20"/>
          <w:szCs w:val="20"/>
        </w:rPr>
        <w:t>附1：账户信息</w:t>
      </w:r>
    </w:p>
    <w:tbl>
      <w:tblPr>
        <w:tblStyle w:val="4"/>
        <w:tblW w:w="8857"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857"/>
      </w:tblGrid>
      <w:tr w14:paraId="736334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857" w:type="dxa"/>
          </w:tcPr>
          <w:p w14:paraId="59860C5E">
            <w:pPr>
              <w:pStyle w:val="6"/>
              <w:jc w:val="left"/>
            </w:pPr>
            <w:r>
              <w:t>投标保证金账户</w:t>
            </w:r>
          </w:p>
          <w:p w14:paraId="75F75FD7">
            <w:pPr>
              <w:pStyle w:val="6"/>
              <w:jc w:val="left"/>
            </w:pPr>
          </w:p>
        </w:tc>
      </w:tr>
      <w:tr w14:paraId="73A241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857" w:type="dxa"/>
          </w:tcPr>
          <w:p w14:paraId="5EF89EEF">
            <w:pPr>
              <w:pStyle w:val="6"/>
              <w:jc w:val="left"/>
            </w:pPr>
            <w:r>
              <w:t>开户名称： 福建省天海招标有限公司</w:t>
            </w:r>
          </w:p>
        </w:tc>
      </w:tr>
      <w:tr w14:paraId="16DAE1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857" w:type="dxa"/>
          </w:tcPr>
          <w:p w14:paraId="0E257044">
            <w:pPr>
              <w:pStyle w:val="6"/>
              <w:jc w:val="left"/>
            </w:pPr>
            <w:r>
              <w:t>开户银行：供应商在福建省政府采购网上公开信息系统获取招标文件后，根据其提示自行选择要缴交的投标保证金托管银行。</w:t>
            </w:r>
          </w:p>
        </w:tc>
      </w:tr>
      <w:tr w14:paraId="04BF08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857" w:type="dxa"/>
          </w:tcPr>
          <w:p w14:paraId="1EF87FBD">
            <w:pPr>
              <w:pStyle w:val="6"/>
              <w:jc w:val="left"/>
            </w:pPr>
            <w: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14:paraId="16BF36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857" w:type="dxa"/>
          </w:tcPr>
          <w:p w14:paraId="67EFBB5D">
            <w:pPr>
              <w:pStyle w:val="6"/>
              <w:jc w:val="left"/>
            </w:pPr>
            <w:r>
              <w:t>特别提示</w:t>
            </w:r>
          </w:p>
        </w:tc>
      </w:tr>
      <w:tr w14:paraId="0330EE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857" w:type="dxa"/>
          </w:tcPr>
          <w:p w14:paraId="39F81E07">
            <w:pPr>
              <w:pStyle w:val="6"/>
              <w:jc w:val="left"/>
            </w:pPr>
            <w:r>
              <w:t>1、投标人应认真核对账户信息，将投标保证金汇入以上账户，并自行承担因汇错投标保证金而产生的一切后果。</w:t>
            </w:r>
          </w:p>
          <w:p w14:paraId="6729EA0F">
            <w:pPr>
              <w:pStyle w:val="6"/>
              <w:jc w:val="left"/>
            </w:pPr>
            <w:r>
              <w:t xml:space="preserve"> 2、投标人在转账或电汇的凭证上应按照以下格式注明，以便核对：“（项目编号：***）的投标保证金”。</w:t>
            </w:r>
          </w:p>
        </w:tc>
      </w:tr>
    </w:tbl>
    <w:p w14:paraId="7EB8598E">
      <w:pPr>
        <w:pStyle w:val="6"/>
        <w:keepNext w:val="0"/>
        <w:keepLines w:val="0"/>
        <w:pageBreakBefore w:val="0"/>
        <w:widowControl/>
        <w:kinsoku/>
        <w:wordWrap/>
        <w:overflowPunct/>
        <w:topLinePunct w:val="0"/>
        <w:autoSpaceDE/>
        <w:autoSpaceDN/>
        <w:bidi w:val="0"/>
        <w:adjustRightInd w:val="0"/>
        <w:snapToGrid w:val="0"/>
        <w:spacing w:line="360" w:lineRule="auto"/>
        <w:jc w:val="both"/>
        <w:textAlignment w:val="auto"/>
        <w:outlineLvl w:val="2"/>
        <w:rPr>
          <w:rFonts w:hint="eastAsia" w:ascii="宋体" w:hAnsi="宋体" w:eastAsia="宋体" w:cs="宋体"/>
          <w:color w:val="FF0000"/>
          <w:sz w:val="20"/>
          <w:szCs w:val="20"/>
        </w:rPr>
      </w:pPr>
      <w:r>
        <w:rPr>
          <w:rFonts w:hint="eastAsia" w:ascii="宋体" w:hAnsi="宋体" w:eastAsia="宋体" w:cs="宋体"/>
          <w:b/>
          <w:color w:val="FF0000"/>
          <w:sz w:val="20"/>
          <w:szCs w:val="20"/>
        </w:rPr>
        <w:t>附2：采购标的一览表</w:t>
      </w:r>
    </w:p>
    <w:p w14:paraId="3923BB97">
      <w:pPr>
        <w:pStyle w:val="6"/>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FF0000"/>
        </w:rPr>
      </w:pPr>
      <w:r>
        <w:rPr>
          <w:rFonts w:hint="eastAsia" w:ascii="宋体" w:hAnsi="宋体" w:eastAsia="宋体" w:cs="宋体"/>
          <w:color w:val="FF0000"/>
        </w:rPr>
        <w:t>采购包1：</w:t>
      </w:r>
    </w:p>
    <w:p w14:paraId="667F4E9F">
      <w:pPr>
        <w:pStyle w:val="6"/>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FF0000"/>
        </w:rPr>
      </w:pPr>
      <w:r>
        <w:rPr>
          <w:rFonts w:hint="eastAsia" w:ascii="宋体" w:hAnsi="宋体" w:eastAsia="宋体" w:cs="宋体"/>
          <w:color w:val="FF0000"/>
        </w:rPr>
        <w:t>采购包预算金额（元）: 2,057,970.90</w:t>
      </w:r>
    </w:p>
    <w:p w14:paraId="23CA180F">
      <w:pPr>
        <w:pStyle w:val="6"/>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FF0000"/>
        </w:rPr>
      </w:pPr>
      <w:r>
        <w:rPr>
          <w:rFonts w:hint="eastAsia" w:ascii="宋体" w:hAnsi="宋体" w:eastAsia="宋体" w:cs="宋体"/>
          <w:color w:val="FF0000"/>
        </w:rPr>
        <w:t>采购包最高限价（元）: 2,057,970.90</w:t>
      </w:r>
    </w:p>
    <w:p w14:paraId="6620FC6B">
      <w:pPr>
        <w:pStyle w:val="6"/>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FF0000"/>
        </w:rPr>
      </w:pPr>
      <w:r>
        <w:rPr>
          <w:rFonts w:hint="eastAsia" w:ascii="宋体" w:hAnsi="宋体" w:eastAsia="宋体" w:cs="宋体"/>
          <w:color w:val="FF0000"/>
        </w:rPr>
        <w:t>采购包保证金金额（元）: 20,579.71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66"/>
        <w:gridCol w:w="1602"/>
        <w:gridCol w:w="1186"/>
        <w:gridCol w:w="1416"/>
        <w:gridCol w:w="1184"/>
        <w:gridCol w:w="1184"/>
        <w:gridCol w:w="1184"/>
      </w:tblGrid>
      <w:tr w14:paraId="34E33E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8" w:type="dxa"/>
          </w:tcPr>
          <w:p w14:paraId="004647D7">
            <w:pPr>
              <w:pStyle w:val="6"/>
              <w:keepNext w:val="0"/>
              <w:keepLines w:val="0"/>
              <w:pageBreakBefore w:val="0"/>
              <w:widowControl/>
              <w:kinsoku/>
              <w:wordWrap/>
              <w:overflowPunct/>
              <w:topLinePunct w:val="0"/>
              <w:autoSpaceDE/>
              <w:autoSpaceDN/>
              <w:bidi w:val="0"/>
              <w:adjustRightInd w:val="0"/>
              <w:snapToGrid w:val="0"/>
              <w:jc w:val="left"/>
              <w:textAlignment w:val="auto"/>
              <w:rPr>
                <w:rFonts w:hint="eastAsia" w:ascii="宋体" w:hAnsi="宋体" w:eastAsia="宋体" w:cs="宋体"/>
                <w:color w:val="FF0000"/>
              </w:rPr>
            </w:pPr>
            <w:r>
              <w:rPr>
                <w:rFonts w:hint="eastAsia" w:ascii="宋体" w:hAnsi="宋体" w:eastAsia="宋体" w:cs="宋体"/>
                <w:color w:val="FF0000"/>
              </w:rPr>
              <w:t>序号</w:t>
            </w:r>
          </w:p>
        </w:tc>
        <w:tc>
          <w:tcPr>
            <w:tcW w:w="1606" w:type="dxa"/>
          </w:tcPr>
          <w:p w14:paraId="73200AEF">
            <w:pPr>
              <w:pStyle w:val="6"/>
              <w:keepNext w:val="0"/>
              <w:keepLines w:val="0"/>
              <w:pageBreakBefore w:val="0"/>
              <w:widowControl/>
              <w:kinsoku/>
              <w:wordWrap/>
              <w:overflowPunct/>
              <w:topLinePunct w:val="0"/>
              <w:autoSpaceDE/>
              <w:autoSpaceDN/>
              <w:bidi w:val="0"/>
              <w:adjustRightInd w:val="0"/>
              <w:snapToGrid w:val="0"/>
              <w:jc w:val="left"/>
              <w:textAlignment w:val="auto"/>
              <w:rPr>
                <w:rFonts w:hint="eastAsia" w:ascii="宋体" w:hAnsi="宋体" w:eastAsia="宋体" w:cs="宋体"/>
                <w:color w:val="FF0000"/>
              </w:rPr>
            </w:pPr>
            <w:r>
              <w:rPr>
                <w:rFonts w:hint="eastAsia" w:ascii="宋体" w:hAnsi="宋体" w:eastAsia="宋体" w:cs="宋体"/>
                <w:color w:val="FF0000"/>
              </w:rPr>
              <w:t>标的名称</w:t>
            </w:r>
          </w:p>
        </w:tc>
        <w:tc>
          <w:tcPr>
            <w:tcW w:w="1187" w:type="dxa"/>
          </w:tcPr>
          <w:p w14:paraId="13906800">
            <w:pPr>
              <w:pStyle w:val="6"/>
              <w:keepNext w:val="0"/>
              <w:keepLines w:val="0"/>
              <w:pageBreakBefore w:val="0"/>
              <w:widowControl/>
              <w:kinsoku/>
              <w:wordWrap/>
              <w:overflowPunct/>
              <w:topLinePunct w:val="0"/>
              <w:autoSpaceDE/>
              <w:autoSpaceDN/>
              <w:bidi w:val="0"/>
              <w:adjustRightInd w:val="0"/>
              <w:snapToGrid w:val="0"/>
              <w:jc w:val="left"/>
              <w:textAlignment w:val="auto"/>
              <w:rPr>
                <w:rFonts w:hint="eastAsia" w:ascii="宋体" w:hAnsi="宋体" w:eastAsia="宋体" w:cs="宋体"/>
                <w:color w:val="FF0000"/>
              </w:rPr>
            </w:pPr>
            <w:r>
              <w:rPr>
                <w:rFonts w:hint="eastAsia" w:ascii="宋体" w:hAnsi="宋体" w:eastAsia="宋体" w:cs="宋体"/>
                <w:color w:val="FF0000"/>
              </w:rPr>
              <w:t>数量</w:t>
            </w:r>
          </w:p>
        </w:tc>
        <w:tc>
          <w:tcPr>
            <w:tcW w:w="1416" w:type="dxa"/>
          </w:tcPr>
          <w:p w14:paraId="2713FD7B">
            <w:pPr>
              <w:pStyle w:val="6"/>
              <w:keepNext w:val="0"/>
              <w:keepLines w:val="0"/>
              <w:pageBreakBefore w:val="0"/>
              <w:widowControl/>
              <w:kinsoku/>
              <w:wordWrap/>
              <w:overflowPunct/>
              <w:topLinePunct w:val="0"/>
              <w:autoSpaceDE/>
              <w:autoSpaceDN/>
              <w:bidi w:val="0"/>
              <w:adjustRightInd w:val="0"/>
              <w:snapToGrid w:val="0"/>
              <w:jc w:val="left"/>
              <w:textAlignment w:val="auto"/>
              <w:rPr>
                <w:rFonts w:hint="eastAsia" w:ascii="宋体" w:hAnsi="宋体" w:eastAsia="宋体" w:cs="宋体"/>
                <w:color w:val="FF0000"/>
              </w:rPr>
            </w:pPr>
            <w:r>
              <w:rPr>
                <w:rFonts w:hint="eastAsia" w:ascii="宋体" w:hAnsi="宋体" w:eastAsia="宋体" w:cs="宋体"/>
                <w:color w:val="FF0000"/>
              </w:rPr>
              <w:t>标的金额 （元）</w:t>
            </w:r>
          </w:p>
        </w:tc>
        <w:tc>
          <w:tcPr>
            <w:tcW w:w="1187" w:type="dxa"/>
          </w:tcPr>
          <w:p w14:paraId="2E144942">
            <w:pPr>
              <w:pStyle w:val="6"/>
              <w:keepNext w:val="0"/>
              <w:keepLines w:val="0"/>
              <w:pageBreakBefore w:val="0"/>
              <w:widowControl/>
              <w:kinsoku/>
              <w:wordWrap/>
              <w:overflowPunct/>
              <w:topLinePunct w:val="0"/>
              <w:autoSpaceDE/>
              <w:autoSpaceDN/>
              <w:bidi w:val="0"/>
              <w:adjustRightInd w:val="0"/>
              <w:snapToGrid w:val="0"/>
              <w:jc w:val="left"/>
              <w:textAlignment w:val="auto"/>
              <w:rPr>
                <w:rFonts w:hint="eastAsia" w:ascii="宋体" w:hAnsi="宋体" w:eastAsia="宋体" w:cs="宋体"/>
                <w:color w:val="FF0000"/>
              </w:rPr>
            </w:pPr>
            <w:r>
              <w:rPr>
                <w:rFonts w:hint="eastAsia" w:ascii="宋体" w:hAnsi="宋体" w:eastAsia="宋体" w:cs="宋体"/>
                <w:color w:val="FF0000"/>
              </w:rPr>
              <w:t>计量单位</w:t>
            </w:r>
          </w:p>
        </w:tc>
        <w:tc>
          <w:tcPr>
            <w:tcW w:w="1187" w:type="dxa"/>
          </w:tcPr>
          <w:p w14:paraId="220C688A">
            <w:pPr>
              <w:pStyle w:val="6"/>
              <w:keepNext w:val="0"/>
              <w:keepLines w:val="0"/>
              <w:pageBreakBefore w:val="0"/>
              <w:widowControl/>
              <w:kinsoku/>
              <w:wordWrap/>
              <w:overflowPunct/>
              <w:topLinePunct w:val="0"/>
              <w:autoSpaceDE/>
              <w:autoSpaceDN/>
              <w:bidi w:val="0"/>
              <w:adjustRightInd w:val="0"/>
              <w:snapToGrid w:val="0"/>
              <w:jc w:val="left"/>
              <w:textAlignment w:val="auto"/>
              <w:rPr>
                <w:rFonts w:hint="eastAsia" w:ascii="宋体" w:hAnsi="宋体" w:eastAsia="宋体" w:cs="宋体"/>
                <w:color w:val="FF0000"/>
              </w:rPr>
            </w:pPr>
            <w:r>
              <w:rPr>
                <w:rFonts w:hint="eastAsia" w:ascii="宋体" w:hAnsi="宋体" w:eastAsia="宋体" w:cs="宋体"/>
                <w:color w:val="FF0000"/>
              </w:rPr>
              <w:t>所属行业</w:t>
            </w:r>
          </w:p>
        </w:tc>
        <w:tc>
          <w:tcPr>
            <w:tcW w:w="1187" w:type="dxa"/>
          </w:tcPr>
          <w:p w14:paraId="455B32CB">
            <w:pPr>
              <w:pStyle w:val="6"/>
              <w:keepNext w:val="0"/>
              <w:keepLines w:val="0"/>
              <w:pageBreakBefore w:val="0"/>
              <w:widowControl/>
              <w:kinsoku/>
              <w:wordWrap/>
              <w:overflowPunct/>
              <w:topLinePunct w:val="0"/>
              <w:autoSpaceDE/>
              <w:autoSpaceDN/>
              <w:bidi w:val="0"/>
              <w:adjustRightInd w:val="0"/>
              <w:snapToGrid w:val="0"/>
              <w:jc w:val="left"/>
              <w:textAlignment w:val="auto"/>
              <w:rPr>
                <w:rFonts w:hint="eastAsia" w:ascii="宋体" w:hAnsi="宋体" w:eastAsia="宋体" w:cs="宋体"/>
                <w:color w:val="FF0000"/>
              </w:rPr>
            </w:pPr>
            <w:r>
              <w:rPr>
                <w:rFonts w:hint="eastAsia" w:ascii="宋体" w:hAnsi="宋体" w:eastAsia="宋体" w:cs="宋体"/>
                <w:color w:val="FF0000"/>
              </w:rPr>
              <w:t>是否允许进口产品</w:t>
            </w:r>
          </w:p>
        </w:tc>
      </w:tr>
      <w:tr w14:paraId="01054C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8" w:type="dxa"/>
          </w:tcPr>
          <w:p w14:paraId="76882CC9">
            <w:pPr>
              <w:pStyle w:val="6"/>
              <w:keepNext w:val="0"/>
              <w:keepLines w:val="0"/>
              <w:pageBreakBefore w:val="0"/>
              <w:widowControl/>
              <w:kinsoku/>
              <w:wordWrap/>
              <w:overflowPunct/>
              <w:topLinePunct w:val="0"/>
              <w:autoSpaceDE/>
              <w:autoSpaceDN/>
              <w:bidi w:val="0"/>
              <w:adjustRightInd w:val="0"/>
              <w:snapToGrid w:val="0"/>
              <w:jc w:val="left"/>
              <w:textAlignment w:val="auto"/>
              <w:rPr>
                <w:rFonts w:hint="eastAsia" w:ascii="宋体" w:hAnsi="宋体" w:eastAsia="宋体" w:cs="宋体"/>
                <w:color w:val="FF0000"/>
              </w:rPr>
            </w:pPr>
            <w:r>
              <w:rPr>
                <w:rFonts w:hint="eastAsia" w:ascii="宋体" w:hAnsi="宋体" w:eastAsia="宋体" w:cs="宋体"/>
                <w:color w:val="FF0000"/>
              </w:rPr>
              <w:t>1</w:t>
            </w:r>
          </w:p>
        </w:tc>
        <w:tc>
          <w:tcPr>
            <w:tcW w:w="1606" w:type="dxa"/>
          </w:tcPr>
          <w:p w14:paraId="35680212">
            <w:pPr>
              <w:pStyle w:val="6"/>
              <w:keepNext w:val="0"/>
              <w:keepLines w:val="0"/>
              <w:pageBreakBefore w:val="0"/>
              <w:widowControl/>
              <w:kinsoku/>
              <w:wordWrap/>
              <w:overflowPunct/>
              <w:topLinePunct w:val="0"/>
              <w:autoSpaceDE/>
              <w:autoSpaceDN/>
              <w:bidi w:val="0"/>
              <w:adjustRightInd w:val="0"/>
              <w:snapToGrid w:val="0"/>
              <w:jc w:val="left"/>
              <w:textAlignment w:val="auto"/>
              <w:rPr>
                <w:rFonts w:hint="eastAsia" w:ascii="宋体" w:hAnsi="宋体" w:eastAsia="宋体" w:cs="宋体"/>
                <w:color w:val="FF0000"/>
              </w:rPr>
            </w:pPr>
            <w:r>
              <w:rPr>
                <w:rFonts w:hint="eastAsia" w:ascii="宋体" w:hAnsi="宋体" w:eastAsia="宋体" w:cs="宋体"/>
                <w:color w:val="FF0000"/>
              </w:rPr>
              <w:t>2024年省匹配食品安全监督抽检任务公开招标采购C项目合同包1</w:t>
            </w:r>
          </w:p>
        </w:tc>
        <w:tc>
          <w:tcPr>
            <w:tcW w:w="1187" w:type="dxa"/>
          </w:tcPr>
          <w:p w14:paraId="3CB748E2">
            <w:pPr>
              <w:pStyle w:val="6"/>
              <w:keepNext w:val="0"/>
              <w:keepLines w:val="0"/>
              <w:pageBreakBefore w:val="0"/>
              <w:widowControl/>
              <w:kinsoku/>
              <w:wordWrap/>
              <w:overflowPunct/>
              <w:topLinePunct w:val="0"/>
              <w:autoSpaceDE/>
              <w:autoSpaceDN/>
              <w:bidi w:val="0"/>
              <w:adjustRightInd w:val="0"/>
              <w:snapToGrid w:val="0"/>
              <w:jc w:val="right"/>
              <w:textAlignment w:val="auto"/>
              <w:rPr>
                <w:rFonts w:hint="eastAsia" w:ascii="宋体" w:hAnsi="宋体" w:eastAsia="宋体" w:cs="宋体"/>
                <w:color w:val="FF0000"/>
              </w:rPr>
            </w:pPr>
            <w:r>
              <w:rPr>
                <w:rFonts w:hint="eastAsia" w:ascii="宋体" w:hAnsi="宋体" w:eastAsia="宋体" w:cs="宋体"/>
                <w:color w:val="FF0000"/>
              </w:rPr>
              <w:t>1,030.00</w:t>
            </w:r>
          </w:p>
        </w:tc>
        <w:tc>
          <w:tcPr>
            <w:tcW w:w="1416" w:type="dxa"/>
          </w:tcPr>
          <w:p w14:paraId="27D0583F">
            <w:pPr>
              <w:pStyle w:val="6"/>
              <w:keepNext w:val="0"/>
              <w:keepLines w:val="0"/>
              <w:pageBreakBefore w:val="0"/>
              <w:widowControl/>
              <w:kinsoku/>
              <w:wordWrap/>
              <w:overflowPunct/>
              <w:topLinePunct w:val="0"/>
              <w:autoSpaceDE/>
              <w:autoSpaceDN/>
              <w:bidi w:val="0"/>
              <w:adjustRightInd w:val="0"/>
              <w:snapToGrid w:val="0"/>
              <w:jc w:val="right"/>
              <w:textAlignment w:val="auto"/>
              <w:rPr>
                <w:rFonts w:hint="eastAsia" w:ascii="宋体" w:hAnsi="宋体" w:eastAsia="宋体" w:cs="宋体"/>
                <w:color w:val="FF0000"/>
              </w:rPr>
            </w:pPr>
            <w:r>
              <w:rPr>
                <w:rFonts w:hint="eastAsia" w:ascii="宋体" w:hAnsi="宋体" w:eastAsia="宋体" w:cs="宋体"/>
                <w:color w:val="FF0000"/>
              </w:rPr>
              <w:t>2,057,970.90</w:t>
            </w:r>
          </w:p>
        </w:tc>
        <w:tc>
          <w:tcPr>
            <w:tcW w:w="1187" w:type="dxa"/>
          </w:tcPr>
          <w:p w14:paraId="6C84D848">
            <w:pPr>
              <w:pStyle w:val="6"/>
              <w:keepNext w:val="0"/>
              <w:keepLines w:val="0"/>
              <w:pageBreakBefore w:val="0"/>
              <w:widowControl/>
              <w:kinsoku/>
              <w:wordWrap/>
              <w:overflowPunct/>
              <w:topLinePunct w:val="0"/>
              <w:autoSpaceDE/>
              <w:autoSpaceDN/>
              <w:bidi w:val="0"/>
              <w:adjustRightInd w:val="0"/>
              <w:snapToGrid w:val="0"/>
              <w:jc w:val="left"/>
              <w:textAlignment w:val="auto"/>
              <w:rPr>
                <w:rFonts w:hint="eastAsia" w:ascii="宋体" w:hAnsi="宋体" w:eastAsia="宋体" w:cs="宋体"/>
                <w:color w:val="FF0000"/>
              </w:rPr>
            </w:pPr>
            <w:r>
              <w:rPr>
                <w:rFonts w:hint="eastAsia" w:ascii="宋体" w:hAnsi="宋体" w:eastAsia="宋体" w:cs="宋体"/>
                <w:color w:val="FF0000"/>
              </w:rPr>
              <w:t>批次</w:t>
            </w:r>
          </w:p>
        </w:tc>
        <w:tc>
          <w:tcPr>
            <w:tcW w:w="1187" w:type="dxa"/>
          </w:tcPr>
          <w:p w14:paraId="41A1B742">
            <w:pPr>
              <w:pStyle w:val="6"/>
              <w:keepNext w:val="0"/>
              <w:keepLines w:val="0"/>
              <w:pageBreakBefore w:val="0"/>
              <w:widowControl/>
              <w:kinsoku/>
              <w:wordWrap/>
              <w:overflowPunct/>
              <w:topLinePunct w:val="0"/>
              <w:autoSpaceDE/>
              <w:autoSpaceDN/>
              <w:bidi w:val="0"/>
              <w:adjustRightInd w:val="0"/>
              <w:snapToGrid w:val="0"/>
              <w:jc w:val="left"/>
              <w:textAlignment w:val="auto"/>
              <w:rPr>
                <w:rFonts w:hint="eastAsia" w:ascii="宋体" w:hAnsi="宋体" w:eastAsia="宋体" w:cs="宋体"/>
                <w:color w:val="FF0000"/>
              </w:rPr>
            </w:pPr>
            <w:r>
              <w:rPr>
                <w:rFonts w:hint="eastAsia" w:ascii="宋体" w:hAnsi="宋体" w:eastAsia="宋体" w:cs="宋体"/>
                <w:color w:val="FF0000"/>
              </w:rPr>
              <w:t>其他未列明行业</w:t>
            </w:r>
          </w:p>
        </w:tc>
        <w:tc>
          <w:tcPr>
            <w:tcW w:w="1187" w:type="dxa"/>
          </w:tcPr>
          <w:p w14:paraId="237C3937">
            <w:pPr>
              <w:pStyle w:val="6"/>
              <w:keepNext w:val="0"/>
              <w:keepLines w:val="0"/>
              <w:pageBreakBefore w:val="0"/>
              <w:widowControl/>
              <w:kinsoku/>
              <w:wordWrap/>
              <w:overflowPunct/>
              <w:topLinePunct w:val="0"/>
              <w:autoSpaceDE/>
              <w:autoSpaceDN/>
              <w:bidi w:val="0"/>
              <w:adjustRightInd w:val="0"/>
              <w:snapToGrid w:val="0"/>
              <w:jc w:val="left"/>
              <w:textAlignment w:val="auto"/>
              <w:rPr>
                <w:rFonts w:hint="eastAsia" w:ascii="宋体" w:hAnsi="宋体" w:eastAsia="宋体" w:cs="宋体"/>
                <w:color w:val="FF0000"/>
              </w:rPr>
            </w:pPr>
            <w:r>
              <w:rPr>
                <w:rFonts w:hint="eastAsia" w:ascii="宋体" w:hAnsi="宋体" w:eastAsia="宋体" w:cs="宋体"/>
                <w:color w:val="FF0000"/>
              </w:rPr>
              <w:t>否</w:t>
            </w:r>
          </w:p>
        </w:tc>
      </w:tr>
    </w:tbl>
    <w:p w14:paraId="68E87805">
      <w:pPr>
        <w:pStyle w:val="6"/>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FF0000"/>
        </w:rPr>
      </w:pPr>
      <w:r>
        <w:rPr>
          <w:rFonts w:hint="eastAsia" w:ascii="宋体" w:hAnsi="宋体" w:eastAsia="宋体" w:cs="宋体"/>
          <w:color w:val="FF0000"/>
        </w:rPr>
        <w:t>采购包2：</w:t>
      </w:r>
    </w:p>
    <w:p w14:paraId="4B21F1B9">
      <w:pPr>
        <w:pStyle w:val="6"/>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FF0000"/>
        </w:rPr>
      </w:pPr>
      <w:r>
        <w:rPr>
          <w:rFonts w:hint="eastAsia" w:ascii="宋体" w:hAnsi="宋体" w:eastAsia="宋体" w:cs="宋体"/>
          <w:color w:val="FF0000"/>
        </w:rPr>
        <w:t>采购包预算金额（元）: 2,064,556.88</w:t>
      </w:r>
    </w:p>
    <w:p w14:paraId="414C203E">
      <w:pPr>
        <w:pStyle w:val="6"/>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FF0000"/>
        </w:rPr>
      </w:pPr>
      <w:r>
        <w:rPr>
          <w:rFonts w:hint="eastAsia" w:ascii="宋体" w:hAnsi="宋体" w:eastAsia="宋体" w:cs="宋体"/>
          <w:color w:val="FF0000"/>
        </w:rPr>
        <w:t>采购包最高限价（元）: 2,064,556.88</w:t>
      </w:r>
    </w:p>
    <w:p w14:paraId="19CCCC36">
      <w:pPr>
        <w:pStyle w:val="6"/>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FF0000"/>
        </w:rPr>
      </w:pPr>
      <w:r>
        <w:rPr>
          <w:rFonts w:hint="eastAsia" w:ascii="宋体" w:hAnsi="宋体" w:eastAsia="宋体" w:cs="宋体"/>
          <w:color w:val="FF0000"/>
        </w:rPr>
        <w:t>采购包保证金金额（元）: 20,645.57</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77"/>
        <w:gridCol w:w="1591"/>
        <w:gridCol w:w="1186"/>
        <w:gridCol w:w="1416"/>
        <w:gridCol w:w="1184"/>
        <w:gridCol w:w="1184"/>
        <w:gridCol w:w="1184"/>
      </w:tblGrid>
      <w:tr w14:paraId="63A253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9" w:type="dxa"/>
          </w:tcPr>
          <w:p w14:paraId="60E66E6C">
            <w:pPr>
              <w:pStyle w:val="6"/>
              <w:keepNext w:val="0"/>
              <w:keepLines w:val="0"/>
              <w:pageBreakBefore w:val="0"/>
              <w:widowControl/>
              <w:kinsoku/>
              <w:wordWrap/>
              <w:overflowPunct/>
              <w:topLinePunct w:val="0"/>
              <w:autoSpaceDE/>
              <w:autoSpaceDN/>
              <w:bidi w:val="0"/>
              <w:adjustRightInd w:val="0"/>
              <w:snapToGrid w:val="0"/>
              <w:jc w:val="left"/>
              <w:textAlignment w:val="auto"/>
              <w:rPr>
                <w:rFonts w:hint="eastAsia" w:ascii="宋体" w:hAnsi="宋体" w:eastAsia="宋体" w:cs="宋体"/>
                <w:color w:val="FF0000"/>
              </w:rPr>
            </w:pPr>
            <w:r>
              <w:rPr>
                <w:rFonts w:hint="eastAsia" w:ascii="宋体" w:hAnsi="宋体" w:eastAsia="宋体" w:cs="宋体"/>
                <w:color w:val="FF0000"/>
              </w:rPr>
              <w:t>序号</w:t>
            </w:r>
          </w:p>
        </w:tc>
        <w:tc>
          <w:tcPr>
            <w:tcW w:w="1595" w:type="dxa"/>
          </w:tcPr>
          <w:p w14:paraId="4A294E24">
            <w:pPr>
              <w:pStyle w:val="6"/>
              <w:keepNext w:val="0"/>
              <w:keepLines w:val="0"/>
              <w:pageBreakBefore w:val="0"/>
              <w:widowControl/>
              <w:kinsoku/>
              <w:wordWrap/>
              <w:overflowPunct/>
              <w:topLinePunct w:val="0"/>
              <w:autoSpaceDE/>
              <w:autoSpaceDN/>
              <w:bidi w:val="0"/>
              <w:adjustRightInd w:val="0"/>
              <w:snapToGrid w:val="0"/>
              <w:jc w:val="left"/>
              <w:textAlignment w:val="auto"/>
              <w:rPr>
                <w:rFonts w:hint="eastAsia" w:ascii="宋体" w:hAnsi="宋体" w:eastAsia="宋体" w:cs="宋体"/>
                <w:color w:val="FF0000"/>
              </w:rPr>
            </w:pPr>
            <w:r>
              <w:rPr>
                <w:rFonts w:hint="eastAsia" w:ascii="宋体" w:hAnsi="宋体" w:eastAsia="宋体" w:cs="宋体"/>
                <w:color w:val="FF0000"/>
              </w:rPr>
              <w:t>标的名称</w:t>
            </w:r>
          </w:p>
        </w:tc>
        <w:tc>
          <w:tcPr>
            <w:tcW w:w="1187" w:type="dxa"/>
          </w:tcPr>
          <w:p w14:paraId="059B6C66">
            <w:pPr>
              <w:pStyle w:val="6"/>
              <w:keepNext w:val="0"/>
              <w:keepLines w:val="0"/>
              <w:pageBreakBefore w:val="0"/>
              <w:widowControl/>
              <w:kinsoku/>
              <w:wordWrap/>
              <w:overflowPunct/>
              <w:topLinePunct w:val="0"/>
              <w:autoSpaceDE/>
              <w:autoSpaceDN/>
              <w:bidi w:val="0"/>
              <w:adjustRightInd w:val="0"/>
              <w:snapToGrid w:val="0"/>
              <w:jc w:val="left"/>
              <w:textAlignment w:val="auto"/>
              <w:rPr>
                <w:rFonts w:hint="eastAsia" w:ascii="宋体" w:hAnsi="宋体" w:eastAsia="宋体" w:cs="宋体"/>
                <w:color w:val="FF0000"/>
              </w:rPr>
            </w:pPr>
            <w:r>
              <w:rPr>
                <w:rFonts w:hint="eastAsia" w:ascii="宋体" w:hAnsi="宋体" w:eastAsia="宋体" w:cs="宋体"/>
                <w:color w:val="FF0000"/>
              </w:rPr>
              <w:t>数量</w:t>
            </w:r>
          </w:p>
        </w:tc>
        <w:tc>
          <w:tcPr>
            <w:tcW w:w="1416" w:type="dxa"/>
          </w:tcPr>
          <w:p w14:paraId="13C6DD47">
            <w:pPr>
              <w:pStyle w:val="6"/>
              <w:keepNext w:val="0"/>
              <w:keepLines w:val="0"/>
              <w:pageBreakBefore w:val="0"/>
              <w:widowControl/>
              <w:kinsoku/>
              <w:wordWrap/>
              <w:overflowPunct/>
              <w:topLinePunct w:val="0"/>
              <w:autoSpaceDE/>
              <w:autoSpaceDN/>
              <w:bidi w:val="0"/>
              <w:adjustRightInd w:val="0"/>
              <w:snapToGrid w:val="0"/>
              <w:jc w:val="left"/>
              <w:textAlignment w:val="auto"/>
              <w:rPr>
                <w:rFonts w:hint="eastAsia" w:ascii="宋体" w:hAnsi="宋体" w:eastAsia="宋体" w:cs="宋体"/>
                <w:color w:val="FF0000"/>
              </w:rPr>
            </w:pPr>
            <w:r>
              <w:rPr>
                <w:rFonts w:hint="eastAsia" w:ascii="宋体" w:hAnsi="宋体" w:eastAsia="宋体" w:cs="宋体"/>
                <w:color w:val="FF0000"/>
              </w:rPr>
              <w:t>标的金额 （元）</w:t>
            </w:r>
          </w:p>
        </w:tc>
        <w:tc>
          <w:tcPr>
            <w:tcW w:w="1187" w:type="dxa"/>
          </w:tcPr>
          <w:p w14:paraId="52C6DA2C">
            <w:pPr>
              <w:pStyle w:val="6"/>
              <w:keepNext w:val="0"/>
              <w:keepLines w:val="0"/>
              <w:pageBreakBefore w:val="0"/>
              <w:widowControl/>
              <w:kinsoku/>
              <w:wordWrap/>
              <w:overflowPunct/>
              <w:topLinePunct w:val="0"/>
              <w:autoSpaceDE/>
              <w:autoSpaceDN/>
              <w:bidi w:val="0"/>
              <w:adjustRightInd w:val="0"/>
              <w:snapToGrid w:val="0"/>
              <w:jc w:val="left"/>
              <w:textAlignment w:val="auto"/>
              <w:rPr>
                <w:rFonts w:hint="eastAsia" w:ascii="宋体" w:hAnsi="宋体" w:eastAsia="宋体" w:cs="宋体"/>
                <w:color w:val="FF0000"/>
              </w:rPr>
            </w:pPr>
            <w:r>
              <w:rPr>
                <w:rFonts w:hint="eastAsia" w:ascii="宋体" w:hAnsi="宋体" w:eastAsia="宋体" w:cs="宋体"/>
                <w:color w:val="FF0000"/>
              </w:rPr>
              <w:t>计量单位</w:t>
            </w:r>
          </w:p>
        </w:tc>
        <w:tc>
          <w:tcPr>
            <w:tcW w:w="1187" w:type="dxa"/>
          </w:tcPr>
          <w:p w14:paraId="7430DC68">
            <w:pPr>
              <w:pStyle w:val="6"/>
              <w:keepNext w:val="0"/>
              <w:keepLines w:val="0"/>
              <w:pageBreakBefore w:val="0"/>
              <w:widowControl/>
              <w:kinsoku/>
              <w:wordWrap/>
              <w:overflowPunct/>
              <w:topLinePunct w:val="0"/>
              <w:autoSpaceDE/>
              <w:autoSpaceDN/>
              <w:bidi w:val="0"/>
              <w:adjustRightInd w:val="0"/>
              <w:snapToGrid w:val="0"/>
              <w:jc w:val="left"/>
              <w:textAlignment w:val="auto"/>
              <w:rPr>
                <w:rFonts w:hint="eastAsia" w:ascii="宋体" w:hAnsi="宋体" w:eastAsia="宋体" w:cs="宋体"/>
                <w:color w:val="FF0000"/>
              </w:rPr>
            </w:pPr>
            <w:r>
              <w:rPr>
                <w:rFonts w:hint="eastAsia" w:ascii="宋体" w:hAnsi="宋体" w:eastAsia="宋体" w:cs="宋体"/>
                <w:color w:val="FF0000"/>
              </w:rPr>
              <w:t>所属行业</w:t>
            </w:r>
          </w:p>
        </w:tc>
        <w:tc>
          <w:tcPr>
            <w:tcW w:w="1187" w:type="dxa"/>
          </w:tcPr>
          <w:p w14:paraId="6359EBE6">
            <w:pPr>
              <w:pStyle w:val="6"/>
              <w:keepNext w:val="0"/>
              <w:keepLines w:val="0"/>
              <w:pageBreakBefore w:val="0"/>
              <w:widowControl/>
              <w:kinsoku/>
              <w:wordWrap/>
              <w:overflowPunct/>
              <w:topLinePunct w:val="0"/>
              <w:autoSpaceDE/>
              <w:autoSpaceDN/>
              <w:bidi w:val="0"/>
              <w:adjustRightInd w:val="0"/>
              <w:snapToGrid w:val="0"/>
              <w:jc w:val="left"/>
              <w:textAlignment w:val="auto"/>
              <w:rPr>
                <w:rFonts w:hint="eastAsia" w:ascii="宋体" w:hAnsi="宋体" w:eastAsia="宋体" w:cs="宋体"/>
                <w:color w:val="FF0000"/>
              </w:rPr>
            </w:pPr>
            <w:r>
              <w:rPr>
                <w:rFonts w:hint="eastAsia" w:ascii="宋体" w:hAnsi="宋体" w:eastAsia="宋体" w:cs="宋体"/>
                <w:color w:val="FF0000"/>
              </w:rPr>
              <w:t>是否允许进口产品</w:t>
            </w:r>
          </w:p>
        </w:tc>
      </w:tr>
      <w:tr w14:paraId="003D9E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9" w:type="dxa"/>
          </w:tcPr>
          <w:p w14:paraId="426DD4EB">
            <w:pPr>
              <w:pStyle w:val="6"/>
              <w:keepNext w:val="0"/>
              <w:keepLines w:val="0"/>
              <w:pageBreakBefore w:val="0"/>
              <w:widowControl/>
              <w:kinsoku/>
              <w:wordWrap/>
              <w:overflowPunct/>
              <w:topLinePunct w:val="0"/>
              <w:autoSpaceDE/>
              <w:autoSpaceDN/>
              <w:bidi w:val="0"/>
              <w:adjustRightInd w:val="0"/>
              <w:snapToGrid w:val="0"/>
              <w:jc w:val="left"/>
              <w:textAlignment w:val="auto"/>
              <w:rPr>
                <w:rFonts w:hint="eastAsia" w:ascii="宋体" w:hAnsi="宋体" w:eastAsia="宋体" w:cs="宋体"/>
                <w:color w:val="FF0000"/>
              </w:rPr>
            </w:pPr>
            <w:r>
              <w:rPr>
                <w:rFonts w:hint="eastAsia" w:ascii="宋体" w:hAnsi="宋体" w:eastAsia="宋体" w:cs="宋体"/>
                <w:color w:val="FF0000"/>
              </w:rPr>
              <w:t>1</w:t>
            </w:r>
          </w:p>
        </w:tc>
        <w:tc>
          <w:tcPr>
            <w:tcW w:w="1595" w:type="dxa"/>
          </w:tcPr>
          <w:p w14:paraId="113A010D">
            <w:pPr>
              <w:pStyle w:val="6"/>
              <w:keepNext w:val="0"/>
              <w:keepLines w:val="0"/>
              <w:pageBreakBefore w:val="0"/>
              <w:widowControl/>
              <w:kinsoku/>
              <w:wordWrap/>
              <w:overflowPunct/>
              <w:topLinePunct w:val="0"/>
              <w:autoSpaceDE/>
              <w:autoSpaceDN/>
              <w:bidi w:val="0"/>
              <w:adjustRightInd w:val="0"/>
              <w:snapToGrid w:val="0"/>
              <w:jc w:val="left"/>
              <w:textAlignment w:val="auto"/>
              <w:rPr>
                <w:rFonts w:hint="eastAsia" w:ascii="宋体" w:hAnsi="宋体" w:eastAsia="宋体" w:cs="宋体"/>
                <w:color w:val="FF0000"/>
              </w:rPr>
            </w:pPr>
            <w:r>
              <w:rPr>
                <w:rFonts w:hint="eastAsia" w:ascii="宋体" w:hAnsi="宋体" w:eastAsia="宋体" w:cs="宋体"/>
                <w:color w:val="FF0000"/>
              </w:rPr>
              <w:t>2024年省匹配食品安全监督抽检任务公开招标采购C项目合同包2</w:t>
            </w:r>
          </w:p>
        </w:tc>
        <w:tc>
          <w:tcPr>
            <w:tcW w:w="1187" w:type="dxa"/>
          </w:tcPr>
          <w:p w14:paraId="68ED4587">
            <w:pPr>
              <w:pStyle w:val="6"/>
              <w:keepNext w:val="0"/>
              <w:keepLines w:val="0"/>
              <w:pageBreakBefore w:val="0"/>
              <w:widowControl/>
              <w:kinsoku/>
              <w:wordWrap/>
              <w:overflowPunct/>
              <w:topLinePunct w:val="0"/>
              <w:autoSpaceDE/>
              <w:autoSpaceDN/>
              <w:bidi w:val="0"/>
              <w:adjustRightInd w:val="0"/>
              <w:snapToGrid w:val="0"/>
              <w:jc w:val="right"/>
              <w:textAlignment w:val="auto"/>
              <w:rPr>
                <w:rFonts w:hint="eastAsia" w:ascii="宋体" w:hAnsi="宋体" w:eastAsia="宋体" w:cs="宋体"/>
                <w:color w:val="FF0000"/>
              </w:rPr>
            </w:pPr>
            <w:r>
              <w:rPr>
                <w:rFonts w:hint="eastAsia" w:ascii="宋体" w:hAnsi="宋体" w:eastAsia="宋体" w:cs="宋体"/>
                <w:color w:val="FF0000"/>
              </w:rPr>
              <w:t>1,031.00</w:t>
            </w:r>
          </w:p>
        </w:tc>
        <w:tc>
          <w:tcPr>
            <w:tcW w:w="1416" w:type="dxa"/>
          </w:tcPr>
          <w:p w14:paraId="5963EF22">
            <w:pPr>
              <w:pStyle w:val="6"/>
              <w:keepNext w:val="0"/>
              <w:keepLines w:val="0"/>
              <w:pageBreakBefore w:val="0"/>
              <w:widowControl/>
              <w:kinsoku/>
              <w:wordWrap/>
              <w:overflowPunct/>
              <w:topLinePunct w:val="0"/>
              <w:autoSpaceDE/>
              <w:autoSpaceDN/>
              <w:bidi w:val="0"/>
              <w:adjustRightInd w:val="0"/>
              <w:snapToGrid w:val="0"/>
              <w:jc w:val="right"/>
              <w:textAlignment w:val="auto"/>
              <w:rPr>
                <w:rFonts w:hint="eastAsia" w:ascii="宋体" w:hAnsi="宋体" w:eastAsia="宋体" w:cs="宋体"/>
                <w:color w:val="FF0000"/>
              </w:rPr>
            </w:pPr>
            <w:r>
              <w:rPr>
                <w:rFonts w:hint="eastAsia" w:ascii="宋体" w:hAnsi="宋体" w:eastAsia="宋体" w:cs="宋体"/>
                <w:color w:val="FF0000"/>
              </w:rPr>
              <w:t>2,064,556.88</w:t>
            </w:r>
          </w:p>
        </w:tc>
        <w:tc>
          <w:tcPr>
            <w:tcW w:w="1187" w:type="dxa"/>
          </w:tcPr>
          <w:p w14:paraId="7EE98B17">
            <w:pPr>
              <w:pStyle w:val="6"/>
              <w:keepNext w:val="0"/>
              <w:keepLines w:val="0"/>
              <w:pageBreakBefore w:val="0"/>
              <w:widowControl/>
              <w:kinsoku/>
              <w:wordWrap/>
              <w:overflowPunct/>
              <w:topLinePunct w:val="0"/>
              <w:autoSpaceDE/>
              <w:autoSpaceDN/>
              <w:bidi w:val="0"/>
              <w:adjustRightInd w:val="0"/>
              <w:snapToGrid w:val="0"/>
              <w:jc w:val="left"/>
              <w:textAlignment w:val="auto"/>
              <w:rPr>
                <w:rFonts w:hint="eastAsia" w:ascii="宋体" w:hAnsi="宋体" w:eastAsia="宋体" w:cs="宋体"/>
                <w:color w:val="FF0000"/>
              </w:rPr>
            </w:pPr>
            <w:r>
              <w:rPr>
                <w:rFonts w:hint="eastAsia" w:ascii="宋体" w:hAnsi="宋体" w:eastAsia="宋体" w:cs="宋体"/>
                <w:color w:val="FF0000"/>
              </w:rPr>
              <w:t>批次</w:t>
            </w:r>
          </w:p>
        </w:tc>
        <w:tc>
          <w:tcPr>
            <w:tcW w:w="1187" w:type="dxa"/>
          </w:tcPr>
          <w:p w14:paraId="2E12AC7E">
            <w:pPr>
              <w:pStyle w:val="6"/>
              <w:keepNext w:val="0"/>
              <w:keepLines w:val="0"/>
              <w:pageBreakBefore w:val="0"/>
              <w:widowControl/>
              <w:kinsoku/>
              <w:wordWrap/>
              <w:overflowPunct/>
              <w:topLinePunct w:val="0"/>
              <w:autoSpaceDE/>
              <w:autoSpaceDN/>
              <w:bidi w:val="0"/>
              <w:adjustRightInd w:val="0"/>
              <w:snapToGrid w:val="0"/>
              <w:jc w:val="left"/>
              <w:textAlignment w:val="auto"/>
              <w:rPr>
                <w:rFonts w:hint="eastAsia" w:ascii="宋体" w:hAnsi="宋体" w:eastAsia="宋体" w:cs="宋体"/>
                <w:color w:val="FF0000"/>
              </w:rPr>
            </w:pPr>
            <w:r>
              <w:rPr>
                <w:rFonts w:hint="eastAsia" w:ascii="宋体" w:hAnsi="宋体" w:eastAsia="宋体" w:cs="宋体"/>
                <w:color w:val="FF0000"/>
              </w:rPr>
              <w:t>其他未列明行业</w:t>
            </w:r>
          </w:p>
        </w:tc>
        <w:tc>
          <w:tcPr>
            <w:tcW w:w="1187" w:type="dxa"/>
          </w:tcPr>
          <w:p w14:paraId="14EFD0A4">
            <w:pPr>
              <w:pStyle w:val="6"/>
              <w:keepNext w:val="0"/>
              <w:keepLines w:val="0"/>
              <w:pageBreakBefore w:val="0"/>
              <w:widowControl/>
              <w:kinsoku/>
              <w:wordWrap/>
              <w:overflowPunct/>
              <w:topLinePunct w:val="0"/>
              <w:autoSpaceDE/>
              <w:autoSpaceDN/>
              <w:bidi w:val="0"/>
              <w:adjustRightInd w:val="0"/>
              <w:snapToGrid w:val="0"/>
              <w:jc w:val="left"/>
              <w:textAlignment w:val="auto"/>
              <w:rPr>
                <w:rFonts w:hint="eastAsia" w:ascii="宋体" w:hAnsi="宋体" w:eastAsia="宋体" w:cs="宋体"/>
                <w:color w:val="FF0000"/>
              </w:rPr>
            </w:pPr>
            <w:r>
              <w:rPr>
                <w:rFonts w:hint="eastAsia" w:ascii="宋体" w:hAnsi="宋体" w:eastAsia="宋体" w:cs="宋体"/>
                <w:color w:val="FF0000"/>
              </w:rPr>
              <w:t>否</w:t>
            </w:r>
          </w:p>
        </w:tc>
      </w:tr>
    </w:tbl>
    <w:p w14:paraId="34F9E090">
      <w:pPr>
        <w:pStyle w:val="6"/>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FF0000"/>
        </w:rPr>
      </w:pPr>
      <w:r>
        <w:rPr>
          <w:rFonts w:hint="eastAsia" w:ascii="宋体" w:hAnsi="宋体" w:eastAsia="宋体" w:cs="宋体"/>
          <w:color w:val="FF0000"/>
        </w:rPr>
        <w:t>采购包3：</w:t>
      </w:r>
    </w:p>
    <w:p w14:paraId="38F93A7D">
      <w:pPr>
        <w:pStyle w:val="6"/>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FF0000"/>
        </w:rPr>
      </w:pPr>
      <w:r>
        <w:rPr>
          <w:rFonts w:hint="eastAsia" w:ascii="宋体" w:hAnsi="宋体" w:eastAsia="宋体" w:cs="宋体"/>
          <w:color w:val="FF0000"/>
        </w:rPr>
        <w:t>采购包预算金额（元）: 2,068,066.08</w:t>
      </w:r>
    </w:p>
    <w:p w14:paraId="2A08A37C">
      <w:pPr>
        <w:pStyle w:val="6"/>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FF0000"/>
        </w:rPr>
      </w:pPr>
      <w:r>
        <w:rPr>
          <w:rFonts w:hint="eastAsia" w:ascii="宋体" w:hAnsi="宋体" w:eastAsia="宋体" w:cs="宋体"/>
          <w:color w:val="FF0000"/>
        </w:rPr>
        <w:t>采购包最高限价（元）: 2,068,066.08</w:t>
      </w:r>
    </w:p>
    <w:p w14:paraId="070F1DBB">
      <w:pPr>
        <w:pStyle w:val="6"/>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FF0000"/>
        </w:rPr>
      </w:pPr>
      <w:r>
        <w:rPr>
          <w:rFonts w:hint="eastAsia" w:ascii="宋体" w:hAnsi="宋体" w:eastAsia="宋体" w:cs="宋体"/>
          <w:color w:val="FF0000"/>
        </w:rPr>
        <w:t>采购包保证金金额（元）: 20,680.66</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66"/>
        <w:gridCol w:w="1602"/>
        <w:gridCol w:w="1186"/>
        <w:gridCol w:w="1416"/>
        <w:gridCol w:w="1184"/>
        <w:gridCol w:w="1184"/>
        <w:gridCol w:w="1184"/>
      </w:tblGrid>
      <w:tr w14:paraId="047D5E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8" w:type="dxa"/>
          </w:tcPr>
          <w:p w14:paraId="355FD52D">
            <w:pPr>
              <w:pStyle w:val="6"/>
              <w:keepNext w:val="0"/>
              <w:keepLines w:val="0"/>
              <w:pageBreakBefore w:val="0"/>
              <w:widowControl/>
              <w:kinsoku/>
              <w:wordWrap/>
              <w:overflowPunct/>
              <w:topLinePunct w:val="0"/>
              <w:autoSpaceDE/>
              <w:autoSpaceDN/>
              <w:bidi w:val="0"/>
              <w:adjustRightInd w:val="0"/>
              <w:snapToGrid w:val="0"/>
              <w:jc w:val="left"/>
              <w:textAlignment w:val="auto"/>
              <w:rPr>
                <w:rFonts w:hint="eastAsia" w:ascii="宋体" w:hAnsi="宋体" w:eastAsia="宋体" w:cs="宋体"/>
                <w:color w:val="FF0000"/>
              </w:rPr>
            </w:pPr>
            <w:r>
              <w:rPr>
                <w:rFonts w:hint="eastAsia" w:ascii="宋体" w:hAnsi="宋体" w:eastAsia="宋体" w:cs="宋体"/>
                <w:color w:val="FF0000"/>
              </w:rPr>
              <w:t>序号</w:t>
            </w:r>
          </w:p>
        </w:tc>
        <w:tc>
          <w:tcPr>
            <w:tcW w:w="1606" w:type="dxa"/>
          </w:tcPr>
          <w:p w14:paraId="1DC04A86">
            <w:pPr>
              <w:pStyle w:val="6"/>
              <w:keepNext w:val="0"/>
              <w:keepLines w:val="0"/>
              <w:pageBreakBefore w:val="0"/>
              <w:widowControl/>
              <w:kinsoku/>
              <w:wordWrap/>
              <w:overflowPunct/>
              <w:topLinePunct w:val="0"/>
              <w:autoSpaceDE/>
              <w:autoSpaceDN/>
              <w:bidi w:val="0"/>
              <w:adjustRightInd w:val="0"/>
              <w:snapToGrid w:val="0"/>
              <w:jc w:val="left"/>
              <w:textAlignment w:val="auto"/>
              <w:rPr>
                <w:rFonts w:hint="eastAsia" w:ascii="宋体" w:hAnsi="宋体" w:eastAsia="宋体" w:cs="宋体"/>
                <w:color w:val="FF0000"/>
              </w:rPr>
            </w:pPr>
            <w:r>
              <w:rPr>
                <w:rFonts w:hint="eastAsia" w:ascii="宋体" w:hAnsi="宋体" w:eastAsia="宋体" w:cs="宋体"/>
                <w:color w:val="FF0000"/>
              </w:rPr>
              <w:t>标的名称</w:t>
            </w:r>
          </w:p>
        </w:tc>
        <w:tc>
          <w:tcPr>
            <w:tcW w:w="1187" w:type="dxa"/>
          </w:tcPr>
          <w:p w14:paraId="062283ED">
            <w:pPr>
              <w:pStyle w:val="6"/>
              <w:keepNext w:val="0"/>
              <w:keepLines w:val="0"/>
              <w:pageBreakBefore w:val="0"/>
              <w:widowControl/>
              <w:kinsoku/>
              <w:wordWrap/>
              <w:overflowPunct/>
              <w:topLinePunct w:val="0"/>
              <w:autoSpaceDE/>
              <w:autoSpaceDN/>
              <w:bidi w:val="0"/>
              <w:adjustRightInd w:val="0"/>
              <w:snapToGrid w:val="0"/>
              <w:jc w:val="left"/>
              <w:textAlignment w:val="auto"/>
              <w:rPr>
                <w:rFonts w:hint="eastAsia" w:ascii="宋体" w:hAnsi="宋体" w:eastAsia="宋体" w:cs="宋体"/>
                <w:color w:val="FF0000"/>
              </w:rPr>
            </w:pPr>
            <w:r>
              <w:rPr>
                <w:rFonts w:hint="eastAsia" w:ascii="宋体" w:hAnsi="宋体" w:eastAsia="宋体" w:cs="宋体"/>
                <w:color w:val="FF0000"/>
              </w:rPr>
              <w:t>数量</w:t>
            </w:r>
          </w:p>
        </w:tc>
        <w:tc>
          <w:tcPr>
            <w:tcW w:w="1416" w:type="dxa"/>
          </w:tcPr>
          <w:p w14:paraId="13CADE68">
            <w:pPr>
              <w:pStyle w:val="6"/>
              <w:keepNext w:val="0"/>
              <w:keepLines w:val="0"/>
              <w:pageBreakBefore w:val="0"/>
              <w:widowControl/>
              <w:kinsoku/>
              <w:wordWrap/>
              <w:overflowPunct/>
              <w:topLinePunct w:val="0"/>
              <w:autoSpaceDE/>
              <w:autoSpaceDN/>
              <w:bidi w:val="0"/>
              <w:adjustRightInd w:val="0"/>
              <w:snapToGrid w:val="0"/>
              <w:jc w:val="left"/>
              <w:textAlignment w:val="auto"/>
              <w:rPr>
                <w:rFonts w:hint="eastAsia" w:ascii="宋体" w:hAnsi="宋体" w:eastAsia="宋体" w:cs="宋体"/>
                <w:color w:val="FF0000"/>
              </w:rPr>
            </w:pPr>
            <w:r>
              <w:rPr>
                <w:rFonts w:hint="eastAsia" w:ascii="宋体" w:hAnsi="宋体" w:eastAsia="宋体" w:cs="宋体"/>
                <w:color w:val="FF0000"/>
              </w:rPr>
              <w:t>标的金额 （元）</w:t>
            </w:r>
          </w:p>
        </w:tc>
        <w:tc>
          <w:tcPr>
            <w:tcW w:w="1187" w:type="dxa"/>
          </w:tcPr>
          <w:p w14:paraId="40BA312D">
            <w:pPr>
              <w:pStyle w:val="6"/>
              <w:keepNext w:val="0"/>
              <w:keepLines w:val="0"/>
              <w:pageBreakBefore w:val="0"/>
              <w:widowControl/>
              <w:kinsoku/>
              <w:wordWrap/>
              <w:overflowPunct/>
              <w:topLinePunct w:val="0"/>
              <w:autoSpaceDE/>
              <w:autoSpaceDN/>
              <w:bidi w:val="0"/>
              <w:adjustRightInd w:val="0"/>
              <w:snapToGrid w:val="0"/>
              <w:jc w:val="left"/>
              <w:textAlignment w:val="auto"/>
              <w:rPr>
                <w:rFonts w:hint="eastAsia" w:ascii="宋体" w:hAnsi="宋体" w:eastAsia="宋体" w:cs="宋体"/>
                <w:color w:val="FF0000"/>
              </w:rPr>
            </w:pPr>
            <w:r>
              <w:rPr>
                <w:rFonts w:hint="eastAsia" w:ascii="宋体" w:hAnsi="宋体" w:eastAsia="宋体" w:cs="宋体"/>
                <w:color w:val="FF0000"/>
              </w:rPr>
              <w:t>计量单位</w:t>
            </w:r>
          </w:p>
        </w:tc>
        <w:tc>
          <w:tcPr>
            <w:tcW w:w="1187" w:type="dxa"/>
          </w:tcPr>
          <w:p w14:paraId="740DEE77">
            <w:pPr>
              <w:pStyle w:val="6"/>
              <w:keepNext w:val="0"/>
              <w:keepLines w:val="0"/>
              <w:pageBreakBefore w:val="0"/>
              <w:widowControl/>
              <w:kinsoku/>
              <w:wordWrap/>
              <w:overflowPunct/>
              <w:topLinePunct w:val="0"/>
              <w:autoSpaceDE/>
              <w:autoSpaceDN/>
              <w:bidi w:val="0"/>
              <w:adjustRightInd w:val="0"/>
              <w:snapToGrid w:val="0"/>
              <w:jc w:val="left"/>
              <w:textAlignment w:val="auto"/>
              <w:rPr>
                <w:rFonts w:hint="eastAsia" w:ascii="宋体" w:hAnsi="宋体" w:eastAsia="宋体" w:cs="宋体"/>
                <w:color w:val="FF0000"/>
              </w:rPr>
            </w:pPr>
            <w:r>
              <w:rPr>
                <w:rFonts w:hint="eastAsia" w:ascii="宋体" w:hAnsi="宋体" w:eastAsia="宋体" w:cs="宋体"/>
                <w:color w:val="FF0000"/>
              </w:rPr>
              <w:t>所属行业</w:t>
            </w:r>
          </w:p>
        </w:tc>
        <w:tc>
          <w:tcPr>
            <w:tcW w:w="1187" w:type="dxa"/>
          </w:tcPr>
          <w:p w14:paraId="2AEB0C17">
            <w:pPr>
              <w:pStyle w:val="6"/>
              <w:keepNext w:val="0"/>
              <w:keepLines w:val="0"/>
              <w:pageBreakBefore w:val="0"/>
              <w:widowControl/>
              <w:kinsoku/>
              <w:wordWrap/>
              <w:overflowPunct/>
              <w:topLinePunct w:val="0"/>
              <w:autoSpaceDE/>
              <w:autoSpaceDN/>
              <w:bidi w:val="0"/>
              <w:adjustRightInd w:val="0"/>
              <w:snapToGrid w:val="0"/>
              <w:jc w:val="left"/>
              <w:textAlignment w:val="auto"/>
              <w:rPr>
                <w:rFonts w:hint="eastAsia" w:ascii="宋体" w:hAnsi="宋体" w:eastAsia="宋体" w:cs="宋体"/>
                <w:color w:val="FF0000"/>
              </w:rPr>
            </w:pPr>
            <w:r>
              <w:rPr>
                <w:rFonts w:hint="eastAsia" w:ascii="宋体" w:hAnsi="宋体" w:eastAsia="宋体" w:cs="宋体"/>
                <w:color w:val="FF0000"/>
              </w:rPr>
              <w:t>是否允许进口产品</w:t>
            </w:r>
          </w:p>
        </w:tc>
      </w:tr>
      <w:tr w14:paraId="234C3A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8" w:type="dxa"/>
          </w:tcPr>
          <w:p w14:paraId="694A1760">
            <w:pPr>
              <w:pStyle w:val="6"/>
              <w:keepNext w:val="0"/>
              <w:keepLines w:val="0"/>
              <w:pageBreakBefore w:val="0"/>
              <w:widowControl/>
              <w:kinsoku/>
              <w:wordWrap/>
              <w:overflowPunct/>
              <w:topLinePunct w:val="0"/>
              <w:autoSpaceDE/>
              <w:autoSpaceDN/>
              <w:bidi w:val="0"/>
              <w:adjustRightInd w:val="0"/>
              <w:snapToGrid w:val="0"/>
              <w:jc w:val="left"/>
              <w:textAlignment w:val="auto"/>
              <w:rPr>
                <w:rFonts w:hint="eastAsia" w:ascii="宋体" w:hAnsi="宋体" w:eastAsia="宋体" w:cs="宋体"/>
                <w:color w:val="FF0000"/>
              </w:rPr>
            </w:pPr>
            <w:r>
              <w:rPr>
                <w:rFonts w:hint="eastAsia" w:ascii="宋体" w:hAnsi="宋体" w:eastAsia="宋体" w:cs="宋体"/>
                <w:color w:val="FF0000"/>
              </w:rPr>
              <w:t>1</w:t>
            </w:r>
          </w:p>
        </w:tc>
        <w:tc>
          <w:tcPr>
            <w:tcW w:w="1606" w:type="dxa"/>
          </w:tcPr>
          <w:p w14:paraId="16ED466D">
            <w:pPr>
              <w:pStyle w:val="6"/>
              <w:keepNext w:val="0"/>
              <w:keepLines w:val="0"/>
              <w:pageBreakBefore w:val="0"/>
              <w:widowControl/>
              <w:kinsoku/>
              <w:wordWrap/>
              <w:overflowPunct/>
              <w:topLinePunct w:val="0"/>
              <w:autoSpaceDE/>
              <w:autoSpaceDN/>
              <w:bidi w:val="0"/>
              <w:adjustRightInd w:val="0"/>
              <w:snapToGrid w:val="0"/>
              <w:jc w:val="left"/>
              <w:textAlignment w:val="auto"/>
              <w:rPr>
                <w:rFonts w:hint="eastAsia" w:ascii="宋体" w:hAnsi="宋体" w:eastAsia="宋体" w:cs="宋体"/>
                <w:color w:val="FF0000"/>
              </w:rPr>
            </w:pPr>
            <w:r>
              <w:rPr>
                <w:rFonts w:hint="eastAsia" w:ascii="宋体" w:hAnsi="宋体" w:eastAsia="宋体" w:cs="宋体"/>
                <w:color w:val="FF0000"/>
              </w:rPr>
              <w:t>2024年省匹配食品安全监督抽检任务公开招标采购C项目合同包3</w:t>
            </w:r>
          </w:p>
        </w:tc>
        <w:tc>
          <w:tcPr>
            <w:tcW w:w="1187" w:type="dxa"/>
          </w:tcPr>
          <w:p w14:paraId="4A40B134">
            <w:pPr>
              <w:pStyle w:val="6"/>
              <w:keepNext w:val="0"/>
              <w:keepLines w:val="0"/>
              <w:pageBreakBefore w:val="0"/>
              <w:widowControl/>
              <w:kinsoku/>
              <w:wordWrap/>
              <w:overflowPunct/>
              <w:topLinePunct w:val="0"/>
              <w:autoSpaceDE/>
              <w:autoSpaceDN/>
              <w:bidi w:val="0"/>
              <w:adjustRightInd w:val="0"/>
              <w:snapToGrid w:val="0"/>
              <w:jc w:val="right"/>
              <w:textAlignment w:val="auto"/>
              <w:rPr>
                <w:rFonts w:hint="eastAsia" w:ascii="宋体" w:hAnsi="宋体" w:eastAsia="宋体" w:cs="宋体"/>
                <w:color w:val="FF0000"/>
              </w:rPr>
            </w:pPr>
            <w:r>
              <w:rPr>
                <w:rFonts w:hint="eastAsia" w:ascii="宋体" w:hAnsi="宋体" w:eastAsia="宋体" w:cs="宋体"/>
                <w:color w:val="FF0000"/>
              </w:rPr>
              <w:t>1,032.00</w:t>
            </w:r>
          </w:p>
        </w:tc>
        <w:tc>
          <w:tcPr>
            <w:tcW w:w="1416" w:type="dxa"/>
          </w:tcPr>
          <w:p w14:paraId="301CC64F">
            <w:pPr>
              <w:pStyle w:val="6"/>
              <w:keepNext w:val="0"/>
              <w:keepLines w:val="0"/>
              <w:pageBreakBefore w:val="0"/>
              <w:widowControl/>
              <w:kinsoku/>
              <w:wordWrap/>
              <w:overflowPunct/>
              <w:topLinePunct w:val="0"/>
              <w:autoSpaceDE/>
              <w:autoSpaceDN/>
              <w:bidi w:val="0"/>
              <w:adjustRightInd w:val="0"/>
              <w:snapToGrid w:val="0"/>
              <w:jc w:val="right"/>
              <w:textAlignment w:val="auto"/>
              <w:rPr>
                <w:rFonts w:hint="eastAsia" w:ascii="宋体" w:hAnsi="宋体" w:eastAsia="宋体" w:cs="宋体"/>
                <w:color w:val="FF0000"/>
              </w:rPr>
            </w:pPr>
            <w:r>
              <w:rPr>
                <w:rFonts w:hint="eastAsia" w:ascii="宋体" w:hAnsi="宋体" w:eastAsia="宋体" w:cs="宋体"/>
                <w:color w:val="FF0000"/>
              </w:rPr>
              <w:t>2,068,066.08</w:t>
            </w:r>
          </w:p>
        </w:tc>
        <w:tc>
          <w:tcPr>
            <w:tcW w:w="1187" w:type="dxa"/>
          </w:tcPr>
          <w:p w14:paraId="73704FFD">
            <w:pPr>
              <w:pStyle w:val="6"/>
              <w:keepNext w:val="0"/>
              <w:keepLines w:val="0"/>
              <w:pageBreakBefore w:val="0"/>
              <w:widowControl/>
              <w:kinsoku/>
              <w:wordWrap/>
              <w:overflowPunct/>
              <w:topLinePunct w:val="0"/>
              <w:autoSpaceDE/>
              <w:autoSpaceDN/>
              <w:bidi w:val="0"/>
              <w:adjustRightInd w:val="0"/>
              <w:snapToGrid w:val="0"/>
              <w:jc w:val="left"/>
              <w:textAlignment w:val="auto"/>
              <w:rPr>
                <w:rFonts w:hint="eastAsia" w:ascii="宋体" w:hAnsi="宋体" w:eastAsia="宋体" w:cs="宋体"/>
                <w:color w:val="FF0000"/>
              </w:rPr>
            </w:pPr>
            <w:r>
              <w:rPr>
                <w:rFonts w:hint="eastAsia" w:ascii="宋体" w:hAnsi="宋体" w:eastAsia="宋体" w:cs="宋体"/>
                <w:color w:val="FF0000"/>
              </w:rPr>
              <w:t>批次</w:t>
            </w:r>
          </w:p>
        </w:tc>
        <w:tc>
          <w:tcPr>
            <w:tcW w:w="1187" w:type="dxa"/>
          </w:tcPr>
          <w:p w14:paraId="4C6DC413">
            <w:pPr>
              <w:pStyle w:val="6"/>
              <w:keepNext w:val="0"/>
              <w:keepLines w:val="0"/>
              <w:pageBreakBefore w:val="0"/>
              <w:widowControl/>
              <w:kinsoku/>
              <w:wordWrap/>
              <w:overflowPunct/>
              <w:topLinePunct w:val="0"/>
              <w:autoSpaceDE/>
              <w:autoSpaceDN/>
              <w:bidi w:val="0"/>
              <w:adjustRightInd w:val="0"/>
              <w:snapToGrid w:val="0"/>
              <w:jc w:val="left"/>
              <w:textAlignment w:val="auto"/>
              <w:rPr>
                <w:rFonts w:hint="eastAsia" w:ascii="宋体" w:hAnsi="宋体" w:eastAsia="宋体" w:cs="宋体"/>
                <w:color w:val="FF0000"/>
              </w:rPr>
            </w:pPr>
            <w:r>
              <w:rPr>
                <w:rFonts w:hint="eastAsia" w:ascii="宋体" w:hAnsi="宋体" w:eastAsia="宋体" w:cs="宋体"/>
                <w:color w:val="FF0000"/>
              </w:rPr>
              <w:t>其他未列明行业</w:t>
            </w:r>
          </w:p>
        </w:tc>
        <w:tc>
          <w:tcPr>
            <w:tcW w:w="1187" w:type="dxa"/>
          </w:tcPr>
          <w:p w14:paraId="472CECDE">
            <w:pPr>
              <w:pStyle w:val="6"/>
              <w:keepNext w:val="0"/>
              <w:keepLines w:val="0"/>
              <w:pageBreakBefore w:val="0"/>
              <w:widowControl/>
              <w:kinsoku/>
              <w:wordWrap/>
              <w:overflowPunct/>
              <w:topLinePunct w:val="0"/>
              <w:autoSpaceDE/>
              <w:autoSpaceDN/>
              <w:bidi w:val="0"/>
              <w:adjustRightInd w:val="0"/>
              <w:snapToGrid w:val="0"/>
              <w:jc w:val="left"/>
              <w:textAlignment w:val="auto"/>
              <w:rPr>
                <w:rFonts w:hint="eastAsia" w:ascii="宋体" w:hAnsi="宋体" w:eastAsia="宋体" w:cs="宋体"/>
                <w:color w:val="FF0000"/>
              </w:rPr>
            </w:pPr>
            <w:r>
              <w:rPr>
                <w:rFonts w:hint="eastAsia" w:ascii="宋体" w:hAnsi="宋体" w:eastAsia="宋体" w:cs="宋体"/>
                <w:color w:val="FF0000"/>
              </w:rPr>
              <w:t>否</w:t>
            </w:r>
          </w:p>
        </w:tc>
      </w:tr>
    </w:tbl>
    <w:p w14:paraId="2FAA200C">
      <w:pPr>
        <w:pStyle w:val="6"/>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FF0000"/>
        </w:rPr>
      </w:pPr>
      <w:r>
        <w:rPr>
          <w:rFonts w:hint="eastAsia" w:ascii="宋体" w:hAnsi="宋体" w:eastAsia="宋体" w:cs="宋体"/>
          <w:color w:val="FF0000"/>
        </w:rPr>
        <w:t>采购包1：</w:t>
      </w:r>
    </w:p>
    <w:p w14:paraId="6C14ADCA">
      <w:pPr>
        <w:pStyle w:val="6"/>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FF0000"/>
        </w:rPr>
      </w:pPr>
      <w:r>
        <w:rPr>
          <w:rFonts w:hint="eastAsia" w:ascii="宋体" w:hAnsi="宋体" w:eastAsia="宋体" w:cs="宋体"/>
          <w:color w:val="FF0000"/>
        </w:rPr>
        <w:t>（1）报价要求：</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1949"/>
        <w:gridCol w:w="1028"/>
        <w:gridCol w:w="1177"/>
        <w:gridCol w:w="1416"/>
        <w:gridCol w:w="1384"/>
        <w:gridCol w:w="1038"/>
      </w:tblGrid>
      <w:tr w14:paraId="6F3294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63E14079">
            <w:pPr>
              <w:pStyle w:val="6"/>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FF0000"/>
              </w:rPr>
            </w:pPr>
            <w:r>
              <w:rPr>
                <w:rFonts w:hint="eastAsia" w:ascii="宋体" w:hAnsi="宋体" w:eastAsia="宋体" w:cs="宋体"/>
                <w:color w:val="FF0000"/>
              </w:rPr>
              <w:t>序号</w:t>
            </w:r>
          </w:p>
        </w:tc>
        <w:tc>
          <w:tcPr>
            <w:tcW w:w="1949" w:type="dxa"/>
          </w:tcPr>
          <w:p w14:paraId="1B65FD4E">
            <w:pPr>
              <w:pStyle w:val="6"/>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FF0000"/>
              </w:rPr>
            </w:pPr>
            <w:r>
              <w:rPr>
                <w:rFonts w:hint="eastAsia" w:ascii="宋体" w:hAnsi="宋体" w:eastAsia="宋体" w:cs="宋体"/>
                <w:color w:val="FF0000"/>
              </w:rPr>
              <w:t>报价内容</w:t>
            </w:r>
          </w:p>
        </w:tc>
        <w:tc>
          <w:tcPr>
            <w:tcW w:w="1028" w:type="dxa"/>
          </w:tcPr>
          <w:p w14:paraId="78BDEB13">
            <w:pPr>
              <w:pStyle w:val="6"/>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FF0000"/>
              </w:rPr>
            </w:pPr>
            <w:r>
              <w:rPr>
                <w:rFonts w:hint="eastAsia" w:ascii="宋体" w:hAnsi="宋体" w:eastAsia="宋体" w:cs="宋体"/>
                <w:color w:val="FF0000"/>
              </w:rPr>
              <w:t>计量单位</w:t>
            </w:r>
          </w:p>
        </w:tc>
        <w:tc>
          <w:tcPr>
            <w:tcW w:w="1177" w:type="dxa"/>
          </w:tcPr>
          <w:p w14:paraId="2CEF0936">
            <w:pPr>
              <w:pStyle w:val="6"/>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FF0000"/>
              </w:rPr>
            </w:pPr>
            <w:r>
              <w:rPr>
                <w:rFonts w:hint="eastAsia" w:ascii="宋体" w:hAnsi="宋体" w:eastAsia="宋体" w:cs="宋体"/>
                <w:color w:val="FF0000"/>
              </w:rPr>
              <w:t>报价单位</w:t>
            </w:r>
          </w:p>
        </w:tc>
        <w:tc>
          <w:tcPr>
            <w:tcW w:w="1416" w:type="dxa"/>
          </w:tcPr>
          <w:p w14:paraId="7CDA70C9">
            <w:pPr>
              <w:pStyle w:val="6"/>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FF0000"/>
              </w:rPr>
            </w:pPr>
            <w:r>
              <w:rPr>
                <w:rFonts w:hint="eastAsia" w:ascii="宋体" w:hAnsi="宋体" w:eastAsia="宋体" w:cs="宋体"/>
                <w:color w:val="FF0000"/>
              </w:rPr>
              <w:t>最高限价</w:t>
            </w:r>
          </w:p>
        </w:tc>
        <w:tc>
          <w:tcPr>
            <w:tcW w:w="1384" w:type="dxa"/>
          </w:tcPr>
          <w:p w14:paraId="5F6C9715">
            <w:pPr>
              <w:pStyle w:val="6"/>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FF0000"/>
              </w:rPr>
            </w:pPr>
            <w:r>
              <w:rPr>
                <w:rFonts w:hint="eastAsia" w:ascii="宋体" w:hAnsi="宋体" w:eastAsia="宋体" w:cs="宋体"/>
                <w:color w:val="FF0000"/>
              </w:rPr>
              <w:t>价款形式</w:t>
            </w:r>
          </w:p>
        </w:tc>
        <w:tc>
          <w:tcPr>
            <w:tcW w:w="1038" w:type="dxa"/>
          </w:tcPr>
          <w:p w14:paraId="0E8876DA">
            <w:pPr>
              <w:pStyle w:val="6"/>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FF0000"/>
              </w:rPr>
            </w:pPr>
            <w:r>
              <w:rPr>
                <w:rFonts w:hint="eastAsia" w:ascii="宋体" w:hAnsi="宋体" w:eastAsia="宋体" w:cs="宋体"/>
                <w:color w:val="FF0000"/>
              </w:rPr>
              <w:t>报价说明</w:t>
            </w:r>
          </w:p>
        </w:tc>
      </w:tr>
      <w:tr w14:paraId="563409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1BA6143A">
            <w:pPr>
              <w:pStyle w:val="6"/>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FF0000"/>
              </w:rPr>
            </w:pPr>
            <w:r>
              <w:rPr>
                <w:rFonts w:hint="eastAsia" w:ascii="宋体" w:hAnsi="宋体" w:eastAsia="宋体" w:cs="宋体"/>
                <w:color w:val="FF0000"/>
              </w:rPr>
              <w:t>1</w:t>
            </w:r>
          </w:p>
        </w:tc>
        <w:tc>
          <w:tcPr>
            <w:tcW w:w="1949" w:type="dxa"/>
          </w:tcPr>
          <w:p w14:paraId="6F7F947C">
            <w:pPr>
              <w:pStyle w:val="6"/>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FF0000"/>
              </w:rPr>
            </w:pPr>
            <w:r>
              <w:rPr>
                <w:rFonts w:hint="eastAsia" w:ascii="宋体" w:hAnsi="宋体" w:eastAsia="宋体" w:cs="宋体"/>
                <w:color w:val="FF0000"/>
              </w:rPr>
              <w:t>2024年省匹配食品安全监督抽检任务公开招标采购C项目合同包1</w:t>
            </w:r>
          </w:p>
        </w:tc>
        <w:tc>
          <w:tcPr>
            <w:tcW w:w="1028" w:type="dxa"/>
          </w:tcPr>
          <w:p w14:paraId="1CBF639A">
            <w:pPr>
              <w:pStyle w:val="6"/>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FF0000"/>
              </w:rPr>
            </w:pPr>
            <w:r>
              <w:rPr>
                <w:rFonts w:hint="eastAsia" w:ascii="宋体" w:hAnsi="宋体" w:eastAsia="宋体" w:cs="宋体"/>
                <w:color w:val="FF0000"/>
              </w:rPr>
              <w:t>批次</w:t>
            </w:r>
          </w:p>
        </w:tc>
        <w:tc>
          <w:tcPr>
            <w:tcW w:w="1177" w:type="dxa"/>
          </w:tcPr>
          <w:p w14:paraId="189395B7">
            <w:pPr>
              <w:pStyle w:val="6"/>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FF0000"/>
              </w:rPr>
            </w:pPr>
            <w:r>
              <w:rPr>
                <w:rFonts w:hint="eastAsia" w:ascii="宋体" w:hAnsi="宋体" w:eastAsia="宋体" w:cs="宋体"/>
                <w:color w:val="FF0000"/>
              </w:rPr>
              <w:t>元</w:t>
            </w:r>
          </w:p>
        </w:tc>
        <w:tc>
          <w:tcPr>
            <w:tcW w:w="1416" w:type="dxa"/>
          </w:tcPr>
          <w:p w14:paraId="0D7632FB">
            <w:pPr>
              <w:pStyle w:val="6"/>
              <w:keepNext w:val="0"/>
              <w:keepLines w:val="0"/>
              <w:pageBreakBefore w:val="0"/>
              <w:widowControl/>
              <w:kinsoku/>
              <w:wordWrap/>
              <w:overflowPunct/>
              <w:topLinePunct w:val="0"/>
              <w:autoSpaceDE/>
              <w:autoSpaceDN/>
              <w:bidi w:val="0"/>
              <w:adjustRightInd w:val="0"/>
              <w:snapToGrid w:val="0"/>
              <w:spacing w:line="360" w:lineRule="auto"/>
              <w:jc w:val="right"/>
              <w:textAlignment w:val="auto"/>
              <w:rPr>
                <w:rFonts w:hint="eastAsia" w:ascii="宋体" w:hAnsi="宋体" w:eastAsia="宋体" w:cs="宋体"/>
                <w:color w:val="FF0000"/>
              </w:rPr>
            </w:pPr>
            <w:r>
              <w:rPr>
                <w:rFonts w:hint="eastAsia" w:ascii="宋体" w:hAnsi="宋体" w:eastAsia="宋体" w:cs="宋体"/>
                <w:color w:val="FF0000"/>
              </w:rPr>
              <w:t>2,057,970.90</w:t>
            </w:r>
          </w:p>
        </w:tc>
        <w:tc>
          <w:tcPr>
            <w:tcW w:w="1384" w:type="dxa"/>
          </w:tcPr>
          <w:p w14:paraId="4789A701">
            <w:pPr>
              <w:pStyle w:val="6"/>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FF0000"/>
              </w:rPr>
            </w:pPr>
            <w:r>
              <w:rPr>
                <w:rFonts w:hint="eastAsia" w:ascii="宋体" w:hAnsi="宋体" w:eastAsia="宋体" w:cs="宋体"/>
                <w:color w:val="FF0000"/>
              </w:rPr>
              <w:t>总价</w:t>
            </w:r>
          </w:p>
        </w:tc>
        <w:tc>
          <w:tcPr>
            <w:tcW w:w="1038" w:type="dxa"/>
          </w:tcPr>
          <w:p w14:paraId="4FC5906C">
            <w:pPr>
              <w:pStyle w:val="6"/>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FF0000"/>
              </w:rPr>
            </w:pPr>
            <w:r>
              <w:rPr>
                <w:rFonts w:hint="eastAsia" w:ascii="宋体" w:hAnsi="宋体" w:eastAsia="宋体" w:cs="宋体"/>
                <w:color w:val="FF0000"/>
              </w:rPr>
              <w:t>无</w:t>
            </w:r>
          </w:p>
        </w:tc>
      </w:tr>
    </w:tbl>
    <w:p w14:paraId="45E84A06">
      <w:pPr>
        <w:pStyle w:val="6"/>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FF0000"/>
          <w:lang w:eastAsia="zh-CN"/>
        </w:rPr>
      </w:pPr>
      <w:r>
        <w:rPr>
          <w:rFonts w:hint="eastAsia" w:ascii="宋体" w:hAnsi="宋体" w:eastAsia="宋体" w:cs="宋体"/>
          <w:color w:val="FF0000"/>
        </w:rPr>
        <w:t>（2）报价明细要求：</w:t>
      </w:r>
    </w:p>
    <w:p w14:paraId="07598276">
      <w:pPr>
        <w:pStyle w:val="6"/>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FF0000"/>
        </w:rPr>
      </w:pPr>
      <w:r>
        <w:rPr>
          <w:rFonts w:hint="eastAsia" w:ascii="宋体" w:hAnsi="宋体" w:eastAsia="宋体" w:cs="宋体"/>
          <w:color w:val="FF0000"/>
        </w:rPr>
        <w:t>2024年省匹配食品安全监督抽检任务公开招标采购C项目合同包1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1946"/>
        <w:gridCol w:w="1051"/>
        <w:gridCol w:w="1311"/>
        <w:gridCol w:w="416"/>
        <w:gridCol w:w="1416"/>
        <w:gridCol w:w="794"/>
        <w:gridCol w:w="1172"/>
      </w:tblGrid>
      <w:tr w14:paraId="35C6D8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15C0F1EB">
            <w:pPr>
              <w:pStyle w:val="6"/>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FF0000"/>
              </w:rPr>
            </w:pPr>
            <w:r>
              <w:rPr>
                <w:rFonts w:hint="eastAsia" w:ascii="宋体" w:hAnsi="宋体" w:eastAsia="宋体" w:cs="宋体"/>
                <w:color w:val="FF0000"/>
              </w:rPr>
              <w:t>序号</w:t>
            </w:r>
          </w:p>
        </w:tc>
        <w:tc>
          <w:tcPr>
            <w:tcW w:w="1979" w:type="dxa"/>
          </w:tcPr>
          <w:p w14:paraId="5FC3E753">
            <w:pPr>
              <w:pStyle w:val="6"/>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FF0000"/>
              </w:rPr>
            </w:pPr>
            <w:r>
              <w:rPr>
                <w:rFonts w:hint="eastAsia" w:ascii="宋体" w:hAnsi="宋体" w:eastAsia="宋体" w:cs="宋体"/>
                <w:color w:val="FF0000"/>
              </w:rPr>
              <w:t>报价明细内容</w:t>
            </w:r>
          </w:p>
        </w:tc>
        <w:tc>
          <w:tcPr>
            <w:tcW w:w="1062" w:type="dxa"/>
          </w:tcPr>
          <w:p w14:paraId="5C837FB0">
            <w:pPr>
              <w:pStyle w:val="6"/>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FF0000"/>
              </w:rPr>
            </w:pPr>
            <w:r>
              <w:rPr>
                <w:rFonts w:hint="eastAsia" w:ascii="宋体" w:hAnsi="宋体" w:eastAsia="宋体" w:cs="宋体"/>
                <w:color w:val="FF0000"/>
              </w:rPr>
              <w:t>报价要求</w:t>
            </w:r>
          </w:p>
        </w:tc>
        <w:tc>
          <w:tcPr>
            <w:tcW w:w="1333" w:type="dxa"/>
          </w:tcPr>
          <w:p w14:paraId="411A7E1B">
            <w:pPr>
              <w:pStyle w:val="6"/>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FF0000"/>
              </w:rPr>
            </w:pPr>
            <w:r>
              <w:rPr>
                <w:rFonts w:hint="eastAsia" w:ascii="宋体" w:hAnsi="宋体" w:eastAsia="宋体" w:cs="宋体"/>
                <w:color w:val="FF0000"/>
              </w:rPr>
              <w:t>计量单位</w:t>
            </w:r>
          </w:p>
        </w:tc>
        <w:tc>
          <w:tcPr>
            <w:tcW w:w="416" w:type="dxa"/>
          </w:tcPr>
          <w:p w14:paraId="61642EB2">
            <w:pPr>
              <w:pStyle w:val="6"/>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FF0000"/>
              </w:rPr>
            </w:pPr>
            <w:r>
              <w:rPr>
                <w:rFonts w:hint="eastAsia" w:ascii="宋体" w:hAnsi="宋体" w:eastAsia="宋体" w:cs="宋体"/>
                <w:color w:val="FF0000"/>
              </w:rPr>
              <w:t>报价单位</w:t>
            </w:r>
          </w:p>
        </w:tc>
        <w:tc>
          <w:tcPr>
            <w:tcW w:w="1416" w:type="dxa"/>
          </w:tcPr>
          <w:p w14:paraId="38B6C6CE">
            <w:pPr>
              <w:pStyle w:val="6"/>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FF0000"/>
              </w:rPr>
            </w:pPr>
            <w:r>
              <w:rPr>
                <w:rFonts w:hint="eastAsia" w:ascii="宋体" w:hAnsi="宋体" w:eastAsia="宋体" w:cs="宋体"/>
                <w:color w:val="FF0000"/>
              </w:rPr>
              <w:t>最高限价</w:t>
            </w:r>
          </w:p>
        </w:tc>
        <w:tc>
          <w:tcPr>
            <w:tcW w:w="803" w:type="dxa"/>
          </w:tcPr>
          <w:p w14:paraId="66C69A6C">
            <w:pPr>
              <w:pStyle w:val="6"/>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FF0000"/>
              </w:rPr>
            </w:pPr>
            <w:r>
              <w:rPr>
                <w:rFonts w:hint="eastAsia" w:ascii="宋体" w:hAnsi="宋体" w:eastAsia="宋体" w:cs="宋体"/>
                <w:color w:val="FF0000"/>
              </w:rPr>
              <w:t>价款形式</w:t>
            </w:r>
          </w:p>
        </w:tc>
        <w:tc>
          <w:tcPr>
            <w:tcW w:w="1191" w:type="dxa"/>
          </w:tcPr>
          <w:p w14:paraId="16CE89D9">
            <w:pPr>
              <w:pStyle w:val="6"/>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FF0000"/>
              </w:rPr>
            </w:pPr>
            <w:r>
              <w:rPr>
                <w:rFonts w:hint="eastAsia" w:ascii="宋体" w:hAnsi="宋体" w:eastAsia="宋体" w:cs="宋体"/>
                <w:color w:val="FF0000"/>
              </w:rPr>
              <w:t>报价说明</w:t>
            </w:r>
          </w:p>
        </w:tc>
      </w:tr>
      <w:tr w14:paraId="7585A0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601764CE">
            <w:pPr>
              <w:pStyle w:val="6"/>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FF0000"/>
              </w:rPr>
            </w:pPr>
            <w:r>
              <w:rPr>
                <w:rFonts w:hint="eastAsia" w:ascii="宋体" w:hAnsi="宋体" w:eastAsia="宋体" w:cs="宋体"/>
                <w:color w:val="FF0000"/>
              </w:rPr>
              <w:t>1</w:t>
            </w:r>
          </w:p>
        </w:tc>
        <w:tc>
          <w:tcPr>
            <w:tcW w:w="1979" w:type="dxa"/>
          </w:tcPr>
          <w:p w14:paraId="69774BDA">
            <w:pPr>
              <w:pStyle w:val="6"/>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FF0000"/>
              </w:rPr>
            </w:pPr>
            <w:r>
              <w:rPr>
                <w:rFonts w:hint="eastAsia" w:ascii="宋体" w:hAnsi="宋体" w:eastAsia="宋体" w:cs="宋体"/>
                <w:color w:val="FF0000"/>
              </w:rPr>
              <w:t>2024年省匹配食品安全监督抽检任务公开招标采购C项目合同包1</w:t>
            </w:r>
          </w:p>
        </w:tc>
        <w:tc>
          <w:tcPr>
            <w:tcW w:w="1062" w:type="dxa"/>
          </w:tcPr>
          <w:p w14:paraId="1B5EC88B">
            <w:pPr>
              <w:pStyle w:val="6"/>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FF0000"/>
              </w:rPr>
            </w:pPr>
            <w:r>
              <w:rPr>
                <w:rFonts w:hint="eastAsia" w:ascii="宋体" w:hAnsi="宋体" w:eastAsia="宋体" w:cs="宋体"/>
                <w:color w:val="FF0000"/>
              </w:rPr>
              <w:t>2024年省匹配食品安全监督抽检任务公开招标采购C项目合同包1</w:t>
            </w:r>
          </w:p>
        </w:tc>
        <w:tc>
          <w:tcPr>
            <w:tcW w:w="1333" w:type="dxa"/>
          </w:tcPr>
          <w:p w14:paraId="2BCCAB1C">
            <w:pPr>
              <w:pStyle w:val="6"/>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FF0000"/>
              </w:rPr>
            </w:pPr>
            <w:r>
              <w:rPr>
                <w:rFonts w:hint="eastAsia" w:ascii="宋体" w:hAnsi="宋体" w:eastAsia="宋体" w:cs="宋体"/>
                <w:color w:val="FF0000"/>
              </w:rPr>
              <w:t>批次</w:t>
            </w:r>
          </w:p>
        </w:tc>
        <w:tc>
          <w:tcPr>
            <w:tcW w:w="416" w:type="dxa"/>
          </w:tcPr>
          <w:p w14:paraId="6A3ABCAA">
            <w:pPr>
              <w:pStyle w:val="6"/>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FF0000"/>
              </w:rPr>
            </w:pPr>
            <w:r>
              <w:rPr>
                <w:rFonts w:hint="eastAsia" w:ascii="宋体" w:hAnsi="宋体" w:eastAsia="宋体" w:cs="宋体"/>
                <w:color w:val="FF0000"/>
              </w:rPr>
              <w:t>元</w:t>
            </w:r>
          </w:p>
        </w:tc>
        <w:tc>
          <w:tcPr>
            <w:tcW w:w="1416" w:type="dxa"/>
          </w:tcPr>
          <w:p w14:paraId="3CCC7A72">
            <w:pPr>
              <w:pStyle w:val="6"/>
              <w:keepNext w:val="0"/>
              <w:keepLines w:val="0"/>
              <w:pageBreakBefore w:val="0"/>
              <w:widowControl/>
              <w:kinsoku/>
              <w:wordWrap/>
              <w:overflowPunct/>
              <w:topLinePunct w:val="0"/>
              <w:autoSpaceDE/>
              <w:autoSpaceDN/>
              <w:bidi w:val="0"/>
              <w:adjustRightInd w:val="0"/>
              <w:snapToGrid w:val="0"/>
              <w:spacing w:line="360" w:lineRule="auto"/>
              <w:jc w:val="right"/>
              <w:textAlignment w:val="auto"/>
              <w:rPr>
                <w:rFonts w:hint="eastAsia" w:ascii="宋体" w:hAnsi="宋体" w:eastAsia="宋体" w:cs="宋体"/>
                <w:color w:val="FF0000"/>
              </w:rPr>
            </w:pPr>
            <w:r>
              <w:rPr>
                <w:rFonts w:hint="eastAsia" w:ascii="宋体" w:hAnsi="宋体" w:eastAsia="宋体" w:cs="宋体"/>
                <w:color w:val="FF0000"/>
              </w:rPr>
              <w:t>2,057,970.90</w:t>
            </w:r>
          </w:p>
        </w:tc>
        <w:tc>
          <w:tcPr>
            <w:tcW w:w="803" w:type="dxa"/>
          </w:tcPr>
          <w:p w14:paraId="78EB010D">
            <w:pPr>
              <w:pStyle w:val="6"/>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FF0000"/>
              </w:rPr>
            </w:pPr>
            <w:r>
              <w:rPr>
                <w:rFonts w:hint="eastAsia" w:ascii="宋体" w:hAnsi="宋体" w:eastAsia="宋体" w:cs="宋体"/>
                <w:color w:val="FF0000"/>
              </w:rPr>
              <w:t>总价</w:t>
            </w:r>
          </w:p>
        </w:tc>
        <w:tc>
          <w:tcPr>
            <w:tcW w:w="1191" w:type="dxa"/>
          </w:tcPr>
          <w:p w14:paraId="4152EA36">
            <w:pPr>
              <w:pStyle w:val="6"/>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FF0000"/>
              </w:rPr>
            </w:pPr>
            <w:r>
              <w:rPr>
                <w:rFonts w:hint="eastAsia" w:ascii="宋体" w:hAnsi="宋体" w:eastAsia="宋体" w:cs="宋体"/>
                <w:color w:val="FF0000"/>
              </w:rPr>
              <w:t>无</w:t>
            </w:r>
          </w:p>
        </w:tc>
      </w:tr>
    </w:tbl>
    <w:p w14:paraId="6749AC16">
      <w:pPr>
        <w:pStyle w:val="6"/>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FF0000"/>
        </w:rPr>
      </w:pPr>
      <w:r>
        <w:rPr>
          <w:rFonts w:hint="eastAsia" w:ascii="宋体" w:hAnsi="宋体" w:eastAsia="宋体" w:cs="宋体"/>
          <w:color w:val="FF0000"/>
        </w:rPr>
        <w:t>采购包2：</w:t>
      </w:r>
    </w:p>
    <w:p w14:paraId="69C429E7">
      <w:pPr>
        <w:pStyle w:val="6"/>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FF0000"/>
        </w:rPr>
      </w:pPr>
      <w:r>
        <w:rPr>
          <w:rFonts w:hint="eastAsia" w:ascii="宋体" w:hAnsi="宋体" w:eastAsia="宋体" w:cs="宋体"/>
          <w:color w:val="FF0000"/>
        </w:rPr>
        <w:t>（1）报价要求：</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1957"/>
        <w:gridCol w:w="1196"/>
        <w:gridCol w:w="953"/>
        <w:gridCol w:w="1416"/>
        <w:gridCol w:w="1367"/>
        <w:gridCol w:w="1217"/>
      </w:tblGrid>
      <w:tr w14:paraId="615D1F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6A7DC515">
            <w:pPr>
              <w:pStyle w:val="6"/>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FF0000"/>
              </w:rPr>
            </w:pPr>
            <w:r>
              <w:rPr>
                <w:rFonts w:hint="eastAsia" w:ascii="宋体" w:hAnsi="宋体" w:eastAsia="宋体" w:cs="宋体"/>
                <w:color w:val="FF0000"/>
              </w:rPr>
              <w:t>序号</w:t>
            </w:r>
          </w:p>
        </w:tc>
        <w:tc>
          <w:tcPr>
            <w:tcW w:w="1981" w:type="dxa"/>
          </w:tcPr>
          <w:p w14:paraId="6D1E394B">
            <w:pPr>
              <w:pStyle w:val="6"/>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FF0000"/>
              </w:rPr>
            </w:pPr>
            <w:r>
              <w:rPr>
                <w:rFonts w:hint="eastAsia" w:ascii="宋体" w:hAnsi="宋体" w:eastAsia="宋体" w:cs="宋体"/>
                <w:color w:val="FF0000"/>
              </w:rPr>
              <w:t>报价内容</w:t>
            </w:r>
          </w:p>
        </w:tc>
        <w:tc>
          <w:tcPr>
            <w:tcW w:w="1210" w:type="dxa"/>
          </w:tcPr>
          <w:p w14:paraId="3CFAB4C1">
            <w:pPr>
              <w:pStyle w:val="6"/>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FF0000"/>
              </w:rPr>
            </w:pPr>
            <w:r>
              <w:rPr>
                <w:rFonts w:hint="eastAsia" w:ascii="宋体" w:hAnsi="宋体" w:eastAsia="宋体" w:cs="宋体"/>
                <w:color w:val="FF0000"/>
              </w:rPr>
              <w:t>计量单位</w:t>
            </w:r>
          </w:p>
        </w:tc>
        <w:tc>
          <w:tcPr>
            <w:tcW w:w="963" w:type="dxa"/>
          </w:tcPr>
          <w:p w14:paraId="098DD3A0">
            <w:pPr>
              <w:pStyle w:val="6"/>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FF0000"/>
              </w:rPr>
            </w:pPr>
            <w:r>
              <w:rPr>
                <w:rFonts w:hint="eastAsia" w:ascii="宋体" w:hAnsi="宋体" w:eastAsia="宋体" w:cs="宋体"/>
                <w:color w:val="FF0000"/>
              </w:rPr>
              <w:t>报价单位</w:t>
            </w:r>
          </w:p>
        </w:tc>
        <w:tc>
          <w:tcPr>
            <w:tcW w:w="1416" w:type="dxa"/>
          </w:tcPr>
          <w:p w14:paraId="496D4FFA">
            <w:pPr>
              <w:pStyle w:val="6"/>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FF0000"/>
              </w:rPr>
            </w:pPr>
            <w:r>
              <w:rPr>
                <w:rFonts w:hint="eastAsia" w:ascii="宋体" w:hAnsi="宋体" w:eastAsia="宋体" w:cs="宋体"/>
                <w:color w:val="FF0000"/>
              </w:rPr>
              <w:t>最高限价</w:t>
            </w:r>
          </w:p>
        </w:tc>
        <w:tc>
          <w:tcPr>
            <w:tcW w:w="1384" w:type="dxa"/>
          </w:tcPr>
          <w:p w14:paraId="6C5884F2">
            <w:pPr>
              <w:pStyle w:val="6"/>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FF0000"/>
              </w:rPr>
            </w:pPr>
            <w:r>
              <w:rPr>
                <w:rFonts w:hint="eastAsia" w:ascii="宋体" w:hAnsi="宋体" w:eastAsia="宋体" w:cs="宋体"/>
                <w:color w:val="FF0000"/>
              </w:rPr>
              <w:t>价款形式</w:t>
            </w:r>
          </w:p>
        </w:tc>
        <w:tc>
          <w:tcPr>
            <w:tcW w:w="1230" w:type="dxa"/>
          </w:tcPr>
          <w:p w14:paraId="461793C1">
            <w:pPr>
              <w:pStyle w:val="6"/>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FF0000"/>
              </w:rPr>
            </w:pPr>
            <w:r>
              <w:rPr>
                <w:rFonts w:hint="eastAsia" w:ascii="宋体" w:hAnsi="宋体" w:eastAsia="宋体" w:cs="宋体"/>
                <w:color w:val="FF0000"/>
              </w:rPr>
              <w:t>报价说明</w:t>
            </w:r>
          </w:p>
        </w:tc>
      </w:tr>
      <w:tr w14:paraId="723B92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34432458">
            <w:pPr>
              <w:pStyle w:val="6"/>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FF0000"/>
              </w:rPr>
            </w:pPr>
            <w:r>
              <w:rPr>
                <w:rFonts w:hint="eastAsia" w:ascii="宋体" w:hAnsi="宋体" w:eastAsia="宋体" w:cs="宋体"/>
                <w:color w:val="FF0000"/>
              </w:rPr>
              <w:t>1</w:t>
            </w:r>
          </w:p>
        </w:tc>
        <w:tc>
          <w:tcPr>
            <w:tcW w:w="1981" w:type="dxa"/>
          </w:tcPr>
          <w:p w14:paraId="3BB8E188">
            <w:pPr>
              <w:pStyle w:val="6"/>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FF0000"/>
              </w:rPr>
            </w:pPr>
            <w:r>
              <w:rPr>
                <w:rFonts w:hint="eastAsia" w:ascii="宋体" w:hAnsi="宋体" w:eastAsia="宋体" w:cs="宋体"/>
                <w:color w:val="FF0000"/>
              </w:rPr>
              <w:t>2024年省匹配食品安全监督抽检任务公开招标采购C项目合同包2</w:t>
            </w:r>
          </w:p>
        </w:tc>
        <w:tc>
          <w:tcPr>
            <w:tcW w:w="1210" w:type="dxa"/>
          </w:tcPr>
          <w:p w14:paraId="23FF06AC">
            <w:pPr>
              <w:pStyle w:val="6"/>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FF0000"/>
              </w:rPr>
            </w:pPr>
            <w:r>
              <w:rPr>
                <w:rFonts w:hint="eastAsia" w:ascii="宋体" w:hAnsi="宋体" w:eastAsia="宋体" w:cs="宋体"/>
                <w:color w:val="FF0000"/>
              </w:rPr>
              <w:t>批次</w:t>
            </w:r>
          </w:p>
        </w:tc>
        <w:tc>
          <w:tcPr>
            <w:tcW w:w="963" w:type="dxa"/>
          </w:tcPr>
          <w:p w14:paraId="1825D368">
            <w:pPr>
              <w:pStyle w:val="6"/>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FF0000"/>
              </w:rPr>
            </w:pPr>
            <w:r>
              <w:rPr>
                <w:rFonts w:hint="eastAsia" w:ascii="宋体" w:hAnsi="宋体" w:eastAsia="宋体" w:cs="宋体"/>
                <w:color w:val="FF0000"/>
              </w:rPr>
              <w:t>元</w:t>
            </w:r>
          </w:p>
        </w:tc>
        <w:tc>
          <w:tcPr>
            <w:tcW w:w="1416" w:type="dxa"/>
          </w:tcPr>
          <w:p w14:paraId="0F26373F">
            <w:pPr>
              <w:pStyle w:val="6"/>
              <w:keepNext w:val="0"/>
              <w:keepLines w:val="0"/>
              <w:pageBreakBefore w:val="0"/>
              <w:widowControl/>
              <w:kinsoku/>
              <w:wordWrap/>
              <w:overflowPunct/>
              <w:topLinePunct w:val="0"/>
              <w:autoSpaceDE/>
              <w:autoSpaceDN/>
              <w:bidi w:val="0"/>
              <w:adjustRightInd w:val="0"/>
              <w:snapToGrid w:val="0"/>
              <w:spacing w:line="360" w:lineRule="auto"/>
              <w:jc w:val="right"/>
              <w:textAlignment w:val="auto"/>
              <w:rPr>
                <w:rFonts w:hint="eastAsia" w:ascii="宋体" w:hAnsi="宋体" w:eastAsia="宋体" w:cs="宋体"/>
                <w:color w:val="FF0000"/>
              </w:rPr>
            </w:pPr>
            <w:r>
              <w:rPr>
                <w:rFonts w:hint="eastAsia" w:ascii="宋体" w:hAnsi="宋体" w:eastAsia="宋体" w:cs="宋体"/>
                <w:color w:val="FF0000"/>
              </w:rPr>
              <w:t>2,064,556.88</w:t>
            </w:r>
          </w:p>
        </w:tc>
        <w:tc>
          <w:tcPr>
            <w:tcW w:w="1384" w:type="dxa"/>
          </w:tcPr>
          <w:p w14:paraId="4B9E024A">
            <w:pPr>
              <w:pStyle w:val="6"/>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FF0000"/>
              </w:rPr>
            </w:pPr>
            <w:r>
              <w:rPr>
                <w:rFonts w:hint="eastAsia" w:ascii="宋体" w:hAnsi="宋体" w:eastAsia="宋体" w:cs="宋体"/>
                <w:color w:val="FF0000"/>
              </w:rPr>
              <w:t>总价</w:t>
            </w:r>
          </w:p>
        </w:tc>
        <w:tc>
          <w:tcPr>
            <w:tcW w:w="1230" w:type="dxa"/>
          </w:tcPr>
          <w:p w14:paraId="6B829434">
            <w:pPr>
              <w:pStyle w:val="6"/>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FF0000"/>
              </w:rPr>
            </w:pPr>
            <w:r>
              <w:rPr>
                <w:rFonts w:hint="eastAsia" w:ascii="宋体" w:hAnsi="宋体" w:eastAsia="宋体" w:cs="宋体"/>
                <w:color w:val="FF0000"/>
              </w:rPr>
              <w:t>无</w:t>
            </w:r>
          </w:p>
        </w:tc>
      </w:tr>
    </w:tbl>
    <w:p w14:paraId="190F4F5C">
      <w:pPr>
        <w:pStyle w:val="6"/>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FF0000"/>
        </w:rPr>
      </w:pPr>
      <w:r>
        <w:rPr>
          <w:rFonts w:hint="eastAsia" w:ascii="宋体" w:hAnsi="宋体" w:eastAsia="宋体" w:cs="宋体"/>
          <w:color w:val="FF0000"/>
        </w:rPr>
        <w:t>（2）报价明细要求：</w:t>
      </w:r>
    </w:p>
    <w:p w14:paraId="1F3120C4">
      <w:pPr>
        <w:pStyle w:val="6"/>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FF0000"/>
        </w:rPr>
      </w:pPr>
      <w:r>
        <w:rPr>
          <w:rFonts w:hint="eastAsia" w:ascii="宋体" w:hAnsi="宋体" w:eastAsia="宋体" w:cs="宋体"/>
          <w:color w:val="FF0000"/>
        </w:rPr>
        <w:t>2024年省匹配食品安全监督抽检任务公开招标采购C项目合同包2</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1946"/>
        <w:gridCol w:w="1198"/>
        <w:gridCol w:w="1164"/>
        <w:gridCol w:w="416"/>
        <w:gridCol w:w="1416"/>
        <w:gridCol w:w="794"/>
        <w:gridCol w:w="1172"/>
      </w:tblGrid>
      <w:tr w14:paraId="766C63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55A7318D">
            <w:pPr>
              <w:pStyle w:val="6"/>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FF0000"/>
              </w:rPr>
            </w:pPr>
            <w:r>
              <w:rPr>
                <w:rFonts w:hint="eastAsia" w:ascii="宋体" w:hAnsi="宋体" w:eastAsia="宋体" w:cs="宋体"/>
                <w:color w:val="FF0000"/>
              </w:rPr>
              <w:t>序号</w:t>
            </w:r>
          </w:p>
        </w:tc>
        <w:tc>
          <w:tcPr>
            <w:tcW w:w="1979" w:type="dxa"/>
          </w:tcPr>
          <w:p w14:paraId="6E3E65E8">
            <w:pPr>
              <w:pStyle w:val="6"/>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FF0000"/>
              </w:rPr>
            </w:pPr>
            <w:r>
              <w:rPr>
                <w:rFonts w:hint="eastAsia" w:ascii="宋体" w:hAnsi="宋体" w:eastAsia="宋体" w:cs="宋体"/>
                <w:color w:val="FF0000"/>
              </w:rPr>
              <w:t>报价明细内容</w:t>
            </w:r>
          </w:p>
        </w:tc>
        <w:tc>
          <w:tcPr>
            <w:tcW w:w="1212" w:type="dxa"/>
          </w:tcPr>
          <w:p w14:paraId="1DA94B8A">
            <w:pPr>
              <w:pStyle w:val="6"/>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FF0000"/>
              </w:rPr>
            </w:pPr>
            <w:r>
              <w:rPr>
                <w:rFonts w:hint="eastAsia" w:ascii="宋体" w:hAnsi="宋体" w:eastAsia="宋体" w:cs="宋体"/>
                <w:color w:val="FF0000"/>
              </w:rPr>
              <w:t>报价要求</w:t>
            </w:r>
          </w:p>
        </w:tc>
        <w:tc>
          <w:tcPr>
            <w:tcW w:w="1183" w:type="dxa"/>
          </w:tcPr>
          <w:p w14:paraId="08DD87B1">
            <w:pPr>
              <w:pStyle w:val="6"/>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FF0000"/>
              </w:rPr>
            </w:pPr>
            <w:r>
              <w:rPr>
                <w:rFonts w:hint="eastAsia" w:ascii="宋体" w:hAnsi="宋体" w:eastAsia="宋体" w:cs="宋体"/>
                <w:color w:val="FF0000"/>
              </w:rPr>
              <w:t>计量单位</w:t>
            </w:r>
          </w:p>
        </w:tc>
        <w:tc>
          <w:tcPr>
            <w:tcW w:w="416" w:type="dxa"/>
          </w:tcPr>
          <w:p w14:paraId="20680750">
            <w:pPr>
              <w:pStyle w:val="6"/>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FF0000"/>
              </w:rPr>
            </w:pPr>
            <w:r>
              <w:rPr>
                <w:rFonts w:hint="eastAsia" w:ascii="宋体" w:hAnsi="宋体" w:eastAsia="宋体" w:cs="宋体"/>
                <w:color w:val="FF0000"/>
              </w:rPr>
              <w:t>报价单位</w:t>
            </w:r>
          </w:p>
        </w:tc>
        <w:tc>
          <w:tcPr>
            <w:tcW w:w="1416" w:type="dxa"/>
          </w:tcPr>
          <w:p w14:paraId="4A32F3FF">
            <w:pPr>
              <w:pStyle w:val="6"/>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FF0000"/>
              </w:rPr>
            </w:pPr>
            <w:r>
              <w:rPr>
                <w:rFonts w:hint="eastAsia" w:ascii="宋体" w:hAnsi="宋体" w:eastAsia="宋体" w:cs="宋体"/>
                <w:color w:val="FF0000"/>
              </w:rPr>
              <w:t>最高限价</w:t>
            </w:r>
          </w:p>
        </w:tc>
        <w:tc>
          <w:tcPr>
            <w:tcW w:w="803" w:type="dxa"/>
          </w:tcPr>
          <w:p w14:paraId="710CC70D">
            <w:pPr>
              <w:pStyle w:val="6"/>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FF0000"/>
              </w:rPr>
            </w:pPr>
            <w:r>
              <w:rPr>
                <w:rFonts w:hint="eastAsia" w:ascii="宋体" w:hAnsi="宋体" w:eastAsia="宋体" w:cs="宋体"/>
                <w:color w:val="FF0000"/>
              </w:rPr>
              <w:t>价款形式</w:t>
            </w:r>
          </w:p>
        </w:tc>
        <w:tc>
          <w:tcPr>
            <w:tcW w:w="1191" w:type="dxa"/>
          </w:tcPr>
          <w:p w14:paraId="08D01770">
            <w:pPr>
              <w:pStyle w:val="6"/>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FF0000"/>
              </w:rPr>
            </w:pPr>
            <w:r>
              <w:rPr>
                <w:rFonts w:hint="eastAsia" w:ascii="宋体" w:hAnsi="宋体" w:eastAsia="宋体" w:cs="宋体"/>
                <w:color w:val="FF0000"/>
              </w:rPr>
              <w:t>报价说明</w:t>
            </w:r>
          </w:p>
        </w:tc>
      </w:tr>
      <w:tr w14:paraId="7AAB2D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6C64068E">
            <w:pPr>
              <w:pStyle w:val="6"/>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FF0000"/>
              </w:rPr>
            </w:pPr>
            <w:r>
              <w:rPr>
                <w:rFonts w:hint="eastAsia" w:ascii="宋体" w:hAnsi="宋体" w:eastAsia="宋体" w:cs="宋体"/>
                <w:color w:val="FF0000"/>
              </w:rPr>
              <w:t>1</w:t>
            </w:r>
          </w:p>
        </w:tc>
        <w:tc>
          <w:tcPr>
            <w:tcW w:w="1979" w:type="dxa"/>
          </w:tcPr>
          <w:p w14:paraId="2E44619D">
            <w:pPr>
              <w:pStyle w:val="6"/>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FF0000"/>
              </w:rPr>
            </w:pPr>
            <w:r>
              <w:rPr>
                <w:rFonts w:hint="eastAsia" w:ascii="宋体" w:hAnsi="宋体" w:eastAsia="宋体" w:cs="宋体"/>
                <w:color w:val="FF0000"/>
              </w:rPr>
              <w:t>2024年省匹配食品安全监督抽检任务公开招标采购C项目合同包2</w:t>
            </w:r>
          </w:p>
        </w:tc>
        <w:tc>
          <w:tcPr>
            <w:tcW w:w="1212" w:type="dxa"/>
          </w:tcPr>
          <w:p w14:paraId="5BFAB65F">
            <w:pPr>
              <w:pStyle w:val="6"/>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FF0000"/>
              </w:rPr>
            </w:pPr>
            <w:r>
              <w:rPr>
                <w:rFonts w:hint="eastAsia" w:ascii="宋体" w:hAnsi="宋体" w:eastAsia="宋体" w:cs="宋体"/>
                <w:color w:val="FF0000"/>
              </w:rPr>
              <w:t>2024年省匹配食品安全监督抽检任务公开招标采购C项目合同包2</w:t>
            </w:r>
          </w:p>
        </w:tc>
        <w:tc>
          <w:tcPr>
            <w:tcW w:w="1183" w:type="dxa"/>
          </w:tcPr>
          <w:p w14:paraId="2FF1764E">
            <w:pPr>
              <w:pStyle w:val="6"/>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FF0000"/>
              </w:rPr>
            </w:pPr>
            <w:r>
              <w:rPr>
                <w:rFonts w:hint="eastAsia" w:ascii="宋体" w:hAnsi="宋体" w:eastAsia="宋体" w:cs="宋体"/>
                <w:color w:val="FF0000"/>
              </w:rPr>
              <w:t>批次</w:t>
            </w:r>
          </w:p>
        </w:tc>
        <w:tc>
          <w:tcPr>
            <w:tcW w:w="416" w:type="dxa"/>
          </w:tcPr>
          <w:p w14:paraId="28A65FFD">
            <w:pPr>
              <w:pStyle w:val="6"/>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FF0000"/>
              </w:rPr>
            </w:pPr>
            <w:r>
              <w:rPr>
                <w:rFonts w:hint="eastAsia" w:ascii="宋体" w:hAnsi="宋体" w:eastAsia="宋体" w:cs="宋体"/>
                <w:color w:val="FF0000"/>
              </w:rPr>
              <w:t>元</w:t>
            </w:r>
          </w:p>
        </w:tc>
        <w:tc>
          <w:tcPr>
            <w:tcW w:w="1416" w:type="dxa"/>
          </w:tcPr>
          <w:p w14:paraId="0BA87ECE">
            <w:pPr>
              <w:pStyle w:val="6"/>
              <w:keepNext w:val="0"/>
              <w:keepLines w:val="0"/>
              <w:pageBreakBefore w:val="0"/>
              <w:widowControl/>
              <w:kinsoku/>
              <w:wordWrap/>
              <w:overflowPunct/>
              <w:topLinePunct w:val="0"/>
              <w:autoSpaceDE/>
              <w:autoSpaceDN/>
              <w:bidi w:val="0"/>
              <w:adjustRightInd w:val="0"/>
              <w:snapToGrid w:val="0"/>
              <w:spacing w:line="360" w:lineRule="auto"/>
              <w:jc w:val="right"/>
              <w:textAlignment w:val="auto"/>
              <w:rPr>
                <w:rFonts w:hint="eastAsia" w:ascii="宋体" w:hAnsi="宋体" w:eastAsia="宋体" w:cs="宋体"/>
                <w:color w:val="FF0000"/>
              </w:rPr>
            </w:pPr>
            <w:r>
              <w:rPr>
                <w:rFonts w:hint="eastAsia" w:ascii="宋体" w:hAnsi="宋体" w:eastAsia="宋体" w:cs="宋体"/>
                <w:color w:val="FF0000"/>
              </w:rPr>
              <w:t>2,064,556.88</w:t>
            </w:r>
          </w:p>
        </w:tc>
        <w:tc>
          <w:tcPr>
            <w:tcW w:w="803" w:type="dxa"/>
          </w:tcPr>
          <w:p w14:paraId="04B303DB">
            <w:pPr>
              <w:pStyle w:val="6"/>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FF0000"/>
              </w:rPr>
            </w:pPr>
            <w:r>
              <w:rPr>
                <w:rFonts w:hint="eastAsia" w:ascii="宋体" w:hAnsi="宋体" w:eastAsia="宋体" w:cs="宋体"/>
                <w:color w:val="FF0000"/>
              </w:rPr>
              <w:t>总价</w:t>
            </w:r>
          </w:p>
        </w:tc>
        <w:tc>
          <w:tcPr>
            <w:tcW w:w="1191" w:type="dxa"/>
          </w:tcPr>
          <w:p w14:paraId="7502D50E">
            <w:pPr>
              <w:pStyle w:val="6"/>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FF0000"/>
              </w:rPr>
            </w:pPr>
            <w:r>
              <w:rPr>
                <w:rFonts w:hint="eastAsia" w:ascii="宋体" w:hAnsi="宋体" w:eastAsia="宋体" w:cs="宋体"/>
                <w:color w:val="FF0000"/>
              </w:rPr>
              <w:t>无</w:t>
            </w:r>
          </w:p>
        </w:tc>
      </w:tr>
    </w:tbl>
    <w:p w14:paraId="05896033">
      <w:pPr>
        <w:pStyle w:val="6"/>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FF0000"/>
        </w:rPr>
      </w:pPr>
      <w:r>
        <w:rPr>
          <w:rFonts w:hint="eastAsia" w:ascii="宋体" w:hAnsi="宋体" w:eastAsia="宋体" w:cs="宋体"/>
          <w:color w:val="FF0000"/>
        </w:rPr>
        <w:t>采购包3：</w:t>
      </w:r>
    </w:p>
    <w:p w14:paraId="5CB86A39">
      <w:pPr>
        <w:pStyle w:val="6"/>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FF0000"/>
        </w:rPr>
      </w:pPr>
      <w:r>
        <w:rPr>
          <w:rFonts w:hint="eastAsia" w:ascii="宋体" w:hAnsi="宋体" w:eastAsia="宋体" w:cs="宋体"/>
          <w:color w:val="FF0000"/>
        </w:rPr>
        <w:t>（1）报价要求：</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1974"/>
        <w:gridCol w:w="1174"/>
        <w:gridCol w:w="952"/>
        <w:gridCol w:w="1416"/>
        <w:gridCol w:w="1365"/>
        <w:gridCol w:w="1225"/>
      </w:tblGrid>
      <w:tr w14:paraId="45F9E6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30456B34">
            <w:pPr>
              <w:pStyle w:val="6"/>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FF0000"/>
              </w:rPr>
            </w:pPr>
            <w:r>
              <w:rPr>
                <w:rFonts w:hint="eastAsia" w:ascii="宋体" w:hAnsi="宋体" w:eastAsia="宋体" w:cs="宋体"/>
                <w:color w:val="FF0000"/>
              </w:rPr>
              <w:t>序号</w:t>
            </w:r>
          </w:p>
        </w:tc>
        <w:tc>
          <w:tcPr>
            <w:tcW w:w="2002" w:type="dxa"/>
          </w:tcPr>
          <w:p w14:paraId="1C3D57D9">
            <w:pPr>
              <w:pStyle w:val="6"/>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FF0000"/>
              </w:rPr>
            </w:pPr>
            <w:r>
              <w:rPr>
                <w:rFonts w:hint="eastAsia" w:ascii="宋体" w:hAnsi="宋体" w:eastAsia="宋体" w:cs="宋体"/>
                <w:color w:val="FF0000"/>
              </w:rPr>
              <w:t>报价内容</w:t>
            </w:r>
          </w:p>
        </w:tc>
        <w:tc>
          <w:tcPr>
            <w:tcW w:w="1189" w:type="dxa"/>
          </w:tcPr>
          <w:p w14:paraId="0FAA7B5D">
            <w:pPr>
              <w:pStyle w:val="6"/>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FF0000"/>
              </w:rPr>
            </w:pPr>
            <w:r>
              <w:rPr>
                <w:rFonts w:hint="eastAsia" w:ascii="宋体" w:hAnsi="宋体" w:eastAsia="宋体" w:cs="宋体"/>
                <w:color w:val="FF0000"/>
              </w:rPr>
              <w:t>计量单位</w:t>
            </w:r>
          </w:p>
        </w:tc>
        <w:tc>
          <w:tcPr>
            <w:tcW w:w="963" w:type="dxa"/>
          </w:tcPr>
          <w:p w14:paraId="18B547EC">
            <w:pPr>
              <w:pStyle w:val="6"/>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FF0000"/>
              </w:rPr>
            </w:pPr>
            <w:r>
              <w:rPr>
                <w:rFonts w:hint="eastAsia" w:ascii="宋体" w:hAnsi="宋体" w:eastAsia="宋体" w:cs="宋体"/>
                <w:color w:val="FF0000"/>
              </w:rPr>
              <w:t>报价单位</w:t>
            </w:r>
          </w:p>
        </w:tc>
        <w:tc>
          <w:tcPr>
            <w:tcW w:w="1416" w:type="dxa"/>
          </w:tcPr>
          <w:p w14:paraId="23259896">
            <w:pPr>
              <w:pStyle w:val="6"/>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FF0000"/>
              </w:rPr>
            </w:pPr>
            <w:r>
              <w:rPr>
                <w:rFonts w:hint="eastAsia" w:ascii="宋体" w:hAnsi="宋体" w:eastAsia="宋体" w:cs="宋体"/>
                <w:color w:val="FF0000"/>
              </w:rPr>
              <w:t>最高限价</w:t>
            </w:r>
          </w:p>
        </w:tc>
        <w:tc>
          <w:tcPr>
            <w:tcW w:w="1384" w:type="dxa"/>
          </w:tcPr>
          <w:p w14:paraId="74693B74">
            <w:pPr>
              <w:pStyle w:val="6"/>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FF0000"/>
              </w:rPr>
            </w:pPr>
            <w:r>
              <w:rPr>
                <w:rFonts w:hint="eastAsia" w:ascii="宋体" w:hAnsi="宋体" w:eastAsia="宋体" w:cs="宋体"/>
                <w:color w:val="FF0000"/>
              </w:rPr>
              <w:t>价款形式</w:t>
            </w:r>
          </w:p>
        </w:tc>
        <w:tc>
          <w:tcPr>
            <w:tcW w:w="1241" w:type="dxa"/>
          </w:tcPr>
          <w:p w14:paraId="5562971A">
            <w:pPr>
              <w:pStyle w:val="6"/>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FF0000"/>
              </w:rPr>
            </w:pPr>
            <w:r>
              <w:rPr>
                <w:rFonts w:hint="eastAsia" w:ascii="宋体" w:hAnsi="宋体" w:eastAsia="宋体" w:cs="宋体"/>
                <w:color w:val="FF0000"/>
              </w:rPr>
              <w:t>报价说明</w:t>
            </w:r>
          </w:p>
        </w:tc>
      </w:tr>
      <w:tr w14:paraId="4B6514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2F91B626">
            <w:pPr>
              <w:pStyle w:val="6"/>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FF0000"/>
              </w:rPr>
            </w:pPr>
            <w:r>
              <w:rPr>
                <w:rFonts w:hint="eastAsia" w:ascii="宋体" w:hAnsi="宋体" w:eastAsia="宋体" w:cs="宋体"/>
                <w:color w:val="FF0000"/>
              </w:rPr>
              <w:t>1</w:t>
            </w:r>
          </w:p>
        </w:tc>
        <w:tc>
          <w:tcPr>
            <w:tcW w:w="2002" w:type="dxa"/>
          </w:tcPr>
          <w:p w14:paraId="68AD7824">
            <w:pPr>
              <w:pStyle w:val="6"/>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FF0000"/>
              </w:rPr>
            </w:pPr>
            <w:r>
              <w:rPr>
                <w:rFonts w:hint="eastAsia" w:ascii="宋体" w:hAnsi="宋体" w:eastAsia="宋体" w:cs="宋体"/>
                <w:color w:val="FF0000"/>
              </w:rPr>
              <w:t>2024年省匹配食品安全监督抽检任务公开招标采购C项目合同包3</w:t>
            </w:r>
          </w:p>
        </w:tc>
        <w:tc>
          <w:tcPr>
            <w:tcW w:w="1189" w:type="dxa"/>
          </w:tcPr>
          <w:p w14:paraId="2D16C1AD">
            <w:pPr>
              <w:pStyle w:val="6"/>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FF0000"/>
              </w:rPr>
            </w:pPr>
            <w:r>
              <w:rPr>
                <w:rFonts w:hint="eastAsia" w:ascii="宋体" w:hAnsi="宋体" w:eastAsia="宋体" w:cs="宋体"/>
                <w:color w:val="FF0000"/>
              </w:rPr>
              <w:t>批次</w:t>
            </w:r>
          </w:p>
        </w:tc>
        <w:tc>
          <w:tcPr>
            <w:tcW w:w="963" w:type="dxa"/>
          </w:tcPr>
          <w:p w14:paraId="2710E5BB">
            <w:pPr>
              <w:pStyle w:val="6"/>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FF0000"/>
              </w:rPr>
            </w:pPr>
            <w:r>
              <w:rPr>
                <w:rFonts w:hint="eastAsia" w:ascii="宋体" w:hAnsi="宋体" w:eastAsia="宋体" w:cs="宋体"/>
                <w:color w:val="FF0000"/>
              </w:rPr>
              <w:t>元</w:t>
            </w:r>
          </w:p>
        </w:tc>
        <w:tc>
          <w:tcPr>
            <w:tcW w:w="1416" w:type="dxa"/>
          </w:tcPr>
          <w:p w14:paraId="53E4AE93">
            <w:pPr>
              <w:pStyle w:val="6"/>
              <w:keepNext w:val="0"/>
              <w:keepLines w:val="0"/>
              <w:pageBreakBefore w:val="0"/>
              <w:widowControl/>
              <w:kinsoku/>
              <w:wordWrap/>
              <w:overflowPunct/>
              <w:topLinePunct w:val="0"/>
              <w:autoSpaceDE/>
              <w:autoSpaceDN/>
              <w:bidi w:val="0"/>
              <w:adjustRightInd w:val="0"/>
              <w:snapToGrid w:val="0"/>
              <w:spacing w:line="360" w:lineRule="auto"/>
              <w:jc w:val="right"/>
              <w:textAlignment w:val="auto"/>
              <w:rPr>
                <w:rFonts w:hint="eastAsia" w:ascii="宋体" w:hAnsi="宋体" w:eastAsia="宋体" w:cs="宋体"/>
                <w:color w:val="FF0000"/>
              </w:rPr>
            </w:pPr>
            <w:r>
              <w:rPr>
                <w:rFonts w:hint="eastAsia" w:ascii="宋体" w:hAnsi="宋体" w:eastAsia="宋体" w:cs="宋体"/>
                <w:color w:val="FF0000"/>
              </w:rPr>
              <w:t>2,068,066.08</w:t>
            </w:r>
          </w:p>
        </w:tc>
        <w:tc>
          <w:tcPr>
            <w:tcW w:w="1384" w:type="dxa"/>
          </w:tcPr>
          <w:p w14:paraId="3E23F78F">
            <w:pPr>
              <w:pStyle w:val="6"/>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FF0000"/>
              </w:rPr>
            </w:pPr>
            <w:r>
              <w:rPr>
                <w:rFonts w:hint="eastAsia" w:ascii="宋体" w:hAnsi="宋体" w:eastAsia="宋体" w:cs="宋体"/>
                <w:color w:val="FF0000"/>
              </w:rPr>
              <w:t>总价</w:t>
            </w:r>
          </w:p>
        </w:tc>
        <w:tc>
          <w:tcPr>
            <w:tcW w:w="1241" w:type="dxa"/>
          </w:tcPr>
          <w:p w14:paraId="7FD9D1C4">
            <w:pPr>
              <w:pStyle w:val="6"/>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FF0000"/>
              </w:rPr>
            </w:pPr>
            <w:r>
              <w:rPr>
                <w:rFonts w:hint="eastAsia" w:ascii="宋体" w:hAnsi="宋体" w:eastAsia="宋体" w:cs="宋体"/>
                <w:color w:val="FF0000"/>
              </w:rPr>
              <w:t>无</w:t>
            </w:r>
          </w:p>
        </w:tc>
      </w:tr>
    </w:tbl>
    <w:p w14:paraId="5F03582C">
      <w:pPr>
        <w:pStyle w:val="6"/>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FF0000"/>
        </w:rPr>
      </w:pPr>
      <w:r>
        <w:rPr>
          <w:rFonts w:hint="eastAsia" w:ascii="宋体" w:hAnsi="宋体" w:eastAsia="宋体" w:cs="宋体"/>
          <w:color w:val="FF0000"/>
        </w:rPr>
        <w:t>（2）报价明细要求：</w:t>
      </w:r>
      <w:r>
        <w:rPr>
          <w:rFonts w:hint="eastAsia" w:ascii="宋体" w:hAnsi="宋体" w:eastAsia="宋体" w:cs="宋体"/>
          <w:color w:val="FF0000"/>
          <w:lang w:eastAsia="zh-CN"/>
        </w:rPr>
        <w:t>无</w:t>
      </w:r>
    </w:p>
    <w:p w14:paraId="7E92F03A">
      <w:pPr>
        <w:pStyle w:val="6"/>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FF0000"/>
        </w:rPr>
      </w:pPr>
      <w:r>
        <w:rPr>
          <w:rFonts w:hint="eastAsia" w:ascii="宋体" w:hAnsi="宋体" w:eastAsia="宋体" w:cs="宋体"/>
          <w:color w:val="FF0000"/>
        </w:rPr>
        <w:t>2024年省匹配食品安全监督抽检任务公开招标采购C项目合同包3</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1946"/>
        <w:gridCol w:w="1208"/>
        <w:gridCol w:w="951"/>
        <w:gridCol w:w="619"/>
        <w:gridCol w:w="1416"/>
        <w:gridCol w:w="794"/>
        <w:gridCol w:w="1172"/>
      </w:tblGrid>
      <w:tr w14:paraId="15C58B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55CD9028">
            <w:pPr>
              <w:pStyle w:val="6"/>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FF0000"/>
              </w:rPr>
            </w:pPr>
            <w:r>
              <w:rPr>
                <w:rFonts w:hint="eastAsia" w:ascii="宋体" w:hAnsi="宋体" w:eastAsia="宋体" w:cs="宋体"/>
                <w:color w:val="FF0000"/>
              </w:rPr>
              <w:t>序号</w:t>
            </w:r>
          </w:p>
        </w:tc>
        <w:tc>
          <w:tcPr>
            <w:tcW w:w="1979" w:type="dxa"/>
          </w:tcPr>
          <w:p w14:paraId="38920B65">
            <w:pPr>
              <w:pStyle w:val="6"/>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FF0000"/>
              </w:rPr>
            </w:pPr>
            <w:r>
              <w:rPr>
                <w:rFonts w:hint="eastAsia" w:ascii="宋体" w:hAnsi="宋体" w:eastAsia="宋体" w:cs="宋体"/>
                <w:color w:val="FF0000"/>
              </w:rPr>
              <w:t>报价明细内容</w:t>
            </w:r>
          </w:p>
        </w:tc>
        <w:tc>
          <w:tcPr>
            <w:tcW w:w="1223" w:type="dxa"/>
          </w:tcPr>
          <w:p w14:paraId="7906A332">
            <w:pPr>
              <w:pStyle w:val="6"/>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FF0000"/>
              </w:rPr>
            </w:pPr>
            <w:r>
              <w:rPr>
                <w:rFonts w:hint="eastAsia" w:ascii="宋体" w:hAnsi="宋体" w:eastAsia="宋体" w:cs="宋体"/>
                <w:color w:val="FF0000"/>
              </w:rPr>
              <w:t>报价要求</w:t>
            </w:r>
          </w:p>
        </w:tc>
        <w:tc>
          <w:tcPr>
            <w:tcW w:w="964" w:type="dxa"/>
          </w:tcPr>
          <w:p w14:paraId="56D32E84">
            <w:pPr>
              <w:pStyle w:val="6"/>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FF0000"/>
              </w:rPr>
            </w:pPr>
            <w:r>
              <w:rPr>
                <w:rFonts w:hint="eastAsia" w:ascii="宋体" w:hAnsi="宋体" w:eastAsia="宋体" w:cs="宋体"/>
                <w:color w:val="FF0000"/>
              </w:rPr>
              <w:t>计量单位</w:t>
            </w:r>
          </w:p>
        </w:tc>
        <w:tc>
          <w:tcPr>
            <w:tcW w:w="624" w:type="dxa"/>
          </w:tcPr>
          <w:p w14:paraId="5FE1445A">
            <w:pPr>
              <w:pStyle w:val="6"/>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FF0000"/>
              </w:rPr>
            </w:pPr>
            <w:r>
              <w:rPr>
                <w:rFonts w:hint="eastAsia" w:ascii="宋体" w:hAnsi="宋体" w:eastAsia="宋体" w:cs="宋体"/>
                <w:color w:val="FF0000"/>
              </w:rPr>
              <w:t>报价单位</w:t>
            </w:r>
          </w:p>
        </w:tc>
        <w:tc>
          <w:tcPr>
            <w:tcW w:w="1416" w:type="dxa"/>
          </w:tcPr>
          <w:p w14:paraId="030E8D0A">
            <w:pPr>
              <w:pStyle w:val="6"/>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FF0000"/>
              </w:rPr>
            </w:pPr>
            <w:r>
              <w:rPr>
                <w:rFonts w:hint="eastAsia" w:ascii="宋体" w:hAnsi="宋体" w:eastAsia="宋体" w:cs="宋体"/>
                <w:color w:val="FF0000"/>
              </w:rPr>
              <w:t>最高限价</w:t>
            </w:r>
          </w:p>
        </w:tc>
        <w:tc>
          <w:tcPr>
            <w:tcW w:w="803" w:type="dxa"/>
          </w:tcPr>
          <w:p w14:paraId="7C4B5DBE">
            <w:pPr>
              <w:pStyle w:val="6"/>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FF0000"/>
              </w:rPr>
            </w:pPr>
            <w:r>
              <w:rPr>
                <w:rFonts w:hint="eastAsia" w:ascii="宋体" w:hAnsi="宋体" w:eastAsia="宋体" w:cs="宋体"/>
                <w:color w:val="FF0000"/>
              </w:rPr>
              <w:t>价款形式</w:t>
            </w:r>
          </w:p>
        </w:tc>
        <w:tc>
          <w:tcPr>
            <w:tcW w:w="1191" w:type="dxa"/>
          </w:tcPr>
          <w:p w14:paraId="51F31ECB">
            <w:pPr>
              <w:pStyle w:val="6"/>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FF0000"/>
              </w:rPr>
            </w:pPr>
            <w:r>
              <w:rPr>
                <w:rFonts w:hint="eastAsia" w:ascii="宋体" w:hAnsi="宋体" w:eastAsia="宋体" w:cs="宋体"/>
                <w:color w:val="FF0000"/>
              </w:rPr>
              <w:t>报价说明</w:t>
            </w:r>
          </w:p>
        </w:tc>
      </w:tr>
      <w:tr w14:paraId="21C9F4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729436B8">
            <w:pPr>
              <w:pStyle w:val="6"/>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FF0000"/>
              </w:rPr>
            </w:pPr>
            <w:r>
              <w:rPr>
                <w:rFonts w:hint="eastAsia" w:ascii="宋体" w:hAnsi="宋体" w:eastAsia="宋体" w:cs="宋体"/>
                <w:color w:val="FF0000"/>
              </w:rPr>
              <w:t>1</w:t>
            </w:r>
          </w:p>
        </w:tc>
        <w:tc>
          <w:tcPr>
            <w:tcW w:w="1979" w:type="dxa"/>
          </w:tcPr>
          <w:p w14:paraId="0BC7B5D6">
            <w:pPr>
              <w:pStyle w:val="6"/>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FF0000"/>
              </w:rPr>
            </w:pPr>
            <w:r>
              <w:rPr>
                <w:rFonts w:hint="eastAsia" w:ascii="宋体" w:hAnsi="宋体" w:eastAsia="宋体" w:cs="宋体"/>
                <w:color w:val="FF0000"/>
              </w:rPr>
              <w:t>2024年省匹配食品安全监督抽检任务公开招标采购C项目合同包3</w:t>
            </w:r>
          </w:p>
        </w:tc>
        <w:tc>
          <w:tcPr>
            <w:tcW w:w="1223" w:type="dxa"/>
          </w:tcPr>
          <w:p w14:paraId="102D0560">
            <w:pPr>
              <w:pStyle w:val="6"/>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FF0000"/>
              </w:rPr>
            </w:pPr>
            <w:r>
              <w:rPr>
                <w:rFonts w:hint="eastAsia" w:ascii="宋体" w:hAnsi="宋体" w:eastAsia="宋体" w:cs="宋体"/>
                <w:color w:val="FF0000"/>
              </w:rPr>
              <w:t>2024年省匹配食品安全监督抽检任务公开招标采购C项目合同包3</w:t>
            </w:r>
          </w:p>
        </w:tc>
        <w:tc>
          <w:tcPr>
            <w:tcW w:w="964" w:type="dxa"/>
          </w:tcPr>
          <w:p w14:paraId="1F1B2E37">
            <w:pPr>
              <w:pStyle w:val="6"/>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FF0000"/>
              </w:rPr>
            </w:pPr>
            <w:r>
              <w:rPr>
                <w:rFonts w:hint="eastAsia" w:ascii="宋体" w:hAnsi="宋体" w:eastAsia="宋体" w:cs="宋体"/>
                <w:color w:val="FF0000"/>
              </w:rPr>
              <w:t>批次</w:t>
            </w:r>
          </w:p>
        </w:tc>
        <w:tc>
          <w:tcPr>
            <w:tcW w:w="624" w:type="dxa"/>
          </w:tcPr>
          <w:p w14:paraId="3DB65132">
            <w:pPr>
              <w:pStyle w:val="6"/>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FF0000"/>
              </w:rPr>
            </w:pPr>
            <w:r>
              <w:rPr>
                <w:rFonts w:hint="eastAsia" w:ascii="宋体" w:hAnsi="宋体" w:eastAsia="宋体" w:cs="宋体"/>
                <w:color w:val="FF0000"/>
              </w:rPr>
              <w:t>元</w:t>
            </w:r>
          </w:p>
        </w:tc>
        <w:tc>
          <w:tcPr>
            <w:tcW w:w="1416" w:type="dxa"/>
          </w:tcPr>
          <w:p w14:paraId="4729C52E">
            <w:pPr>
              <w:pStyle w:val="6"/>
              <w:keepNext w:val="0"/>
              <w:keepLines w:val="0"/>
              <w:pageBreakBefore w:val="0"/>
              <w:widowControl/>
              <w:kinsoku/>
              <w:wordWrap/>
              <w:overflowPunct/>
              <w:topLinePunct w:val="0"/>
              <w:autoSpaceDE/>
              <w:autoSpaceDN/>
              <w:bidi w:val="0"/>
              <w:adjustRightInd w:val="0"/>
              <w:snapToGrid w:val="0"/>
              <w:spacing w:line="360" w:lineRule="auto"/>
              <w:jc w:val="right"/>
              <w:textAlignment w:val="auto"/>
              <w:rPr>
                <w:rFonts w:hint="eastAsia" w:ascii="宋体" w:hAnsi="宋体" w:eastAsia="宋体" w:cs="宋体"/>
                <w:color w:val="FF0000"/>
              </w:rPr>
            </w:pPr>
            <w:r>
              <w:rPr>
                <w:rFonts w:hint="eastAsia" w:ascii="宋体" w:hAnsi="宋体" w:eastAsia="宋体" w:cs="宋体"/>
                <w:color w:val="FF0000"/>
              </w:rPr>
              <w:t>2,068,066.08</w:t>
            </w:r>
          </w:p>
        </w:tc>
        <w:tc>
          <w:tcPr>
            <w:tcW w:w="803" w:type="dxa"/>
          </w:tcPr>
          <w:p w14:paraId="1B38FE12">
            <w:pPr>
              <w:pStyle w:val="6"/>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FF0000"/>
              </w:rPr>
            </w:pPr>
            <w:r>
              <w:rPr>
                <w:rFonts w:hint="eastAsia" w:ascii="宋体" w:hAnsi="宋体" w:eastAsia="宋体" w:cs="宋体"/>
                <w:color w:val="FF0000"/>
              </w:rPr>
              <w:t>总价</w:t>
            </w:r>
          </w:p>
        </w:tc>
        <w:tc>
          <w:tcPr>
            <w:tcW w:w="1191" w:type="dxa"/>
          </w:tcPr>
          <w:p w14:paraId="09BD074B">
            <w:pPr>
              <w:pStyle w:val="6"/>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FF0000"/>
              </w:rPr>
            </w:pPr>
            <w:r>
              <w:rPr>
                <w:rFonts w:hint="eastAsia" w:ascii="宋体" w:hAnsi="宋体" w:eastAsia="宋体" w:cs="宋体"/>
                <w:color w:val="FF0000"/>
              </w:rPr>
              <w:t>无</w:t>
            </w:r>
          </w:p>
        </w:tc>
      </w:tr>
    </w:tbl>
    <w:p w14:paraId="47EAE622">
      <w:pPr>
        <w:pStyle w:val="6"/>
        <w:keepNext w:val="0"/>
        <w:keepLines w:val="0"/>
        <w:pageBreakBefore w:val="0"/>
        <w:widowControl/>
        <w:kinsoku/>
        <w:wordWrap/>
        <w:overflowPunct/>
        <w:topLinePunct w:val="0"/>
        <w:autoSpaceDE/>
        <w:autoSpaceDN/>
        <w:bidi w:val="0"/>
        <w:adjustRightInd w:val="0"/>
        <w:snapToGrid w:val="0"/>
        <w:textAlignment w:val="auto"/>
      </w:pPr>
      <w:r>
        <w:rPr>
          <w:rFonts w:hint="eastAsia" w:ascii="宋体" w:hAnsi="宋体" w:eastAsia="宋体" w:cs="宋体"/>
          <w:color w:val="FF0000"/>
        </w:rPr>
        <w:t xml:space="preserve"> </w:t>
      </w:r>
      <w:r>
        <w:br w:type="textWrapping"/>
      </w:r>
      <w:r>
        <w:br w:type="page"/>
      </w:r>
    </w:p>
    <w:p w14:paraId="718B940B">
      <w:pPr>
        <w:pStyle w:val="6"/>
        <w:jc w:val="center"/>
        <w:outlineLvl w:val="1"/>
      </w:pPr>
      <w:r>
        <w:rPr>
          <w:b/>
          <w:sz w:val="36"/>
        </w:rPr>
        <w:t>第二章 投标人须知前附表</w:t>
      </w:r>
    </w:p>
    <w:p w14:paraId="4B60D7A0">
      <w:pPr>
        <w:pStyle w:val="6"/>
        <w:ind w:firstLine="480"/>
        <w:jc w:val="both"/>
        <w:outlineLvl w:val="2"/>
      </w:pPr>
      <w:r>
        <w:rPr>
          <w:b/>
          <w:sz w:val="28"/>
        </w:rPr>
        <w:t>一、投标人须知前附表1</w:t>
      </w:r>
    </w:p>
    <w:tbl>
      <w:tblPr>
        <w:tblStyle w:val="4"/>
        <w:tblW w:w="880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25"/>
        <w:gridCol w:w="1329"/>
        <w:gridCol w:w="6750"/>
      </w:tblGrid>
      <w:tr w14:paraId="348369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804" w:type="dxa"/>
            <w:gridSpan w:val="3"/>
          </w:tcPr>
          <w:p w14:paraId="00F84C8E">
            <w:pPr>
              <w:pStyle w:val="6"/>
              <w:jc w:val="left"/>
            </w:pPr>
            <w:r>
              <w:t>特别提示：本表与招标文件对应章节的内容若不一致，以本表为准。</w:t>
            </w:r>
          </w:p>
        </w:tc>
      </w:tr>
      <w:tr w14:paraId="6BF527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5" w:type="dxa"/>
          </w:tcPr>
          <w:p w14:paraId="1B672FA5">
            <w:pPr>
              <w:pStyle w:val="6"/>
              <w:jc w:val="left"/>
            </w:pPr>
            <w:r>
              <w:t>序号</w:t>
            </w:r>
          </w:p>
        </w:tc>
        <w:tc>
          <w:tcPr>
            <w:tcW w:w="1329" w:type="dxa"/>
          </w:tcPr>
          <w:p w14:paraId="24329BEE">
            <w:pPr>
              <w:pStyle w:val="6"/>
              <w:jc w:val="left"/>
            </w:pPr>
            <w:r>
              <w:t>招标文件</w:t>
            </w:r>
          </w:p>
          <w:p w14:paraId="5811C655">
            <w:pPr>
              <w:pStyle w:val="6"/>
              <w:jc w:val="left"/>
            </w:pPr>
            <w:r>
              <w:t xml:space="preserve"> （第三章）</w:t>
            </w:r>
          </w:p>
        </w:tc>
        <w:tc>
          <w:tcPr>
            <w:tcW w:w="6750" w:type="dxa"/>
          </w:tcPr>
          <w:p w14:paraId="3D4D6846">
            <w:pPr>
              <w:pStyle w:val="6"/>
              <w:jc w:val="left"/>
            </w:pPr>
            <w:r>
              <w:t>编列内容</w:t>
            </w:r>
          </w:p>
        </w:tc>
      </w:tr>
      <w:tr w14:paraId="6B2DC9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5" w:type="dxa"/>
          </w:tcPr>
          <w:p w14:paraId="7068DDB7">
            <w:pPr>
              <w:pStyle w:val="6"/>
              <w:jc w:val="left"/>
            </w:pPr>
            <w:r>
              <w:t>1</w:t>
            </w:r>
          </w:p>
        </w:tc>
        <w:tc>
          <w:tcPr>
            <w:tcW w:w="1329" w:type="dxa"/>
          </w:tcPr>
          <w:p w14:paraId="1A10C019">
            <w:pPr>
              <w:pStyle w:val="6"/>
              <w:jc w:val="left"/>
            </w:pPr>
            <w:r>
              <w:t>6.1</w:t>
            </w:r>
          </w:p>
        </w:tc>
        <w:tc>
          <w:tcPr>
            <w:tcW w:w="6750" w:type="dxa"/>
          </w:tcPr>
          <w:p w14:paraId="7CB61BEC">
            <w:pPr>
              <w:pStyle w:val="6"/>
              <w:jc w:val="left"/>
            </w:pPr>
            <w:r>
              <w:t>是否组织现场考察或召开开标前答疑会：</w:t>
            </w:r>
          </w:p>
          <w:p w14:paraId="6F7702F0">
            <w:pPr>
              <w:pStyle w:val="6"/>
              <w:jc w:val="left"/>
            </w:pPr>
            <w:r>
              <w:t>采购包1：不组织</w:t>
            </w:r>
          </w:p>
          <w:p w14:paraId="500D42FF">
            <w:pPr>
              <w:pStyle w:val="6"/>
              <w:jc w:val="left"/>
            </w:pPr>
            <w:r>
              <w:t>采购包2：不组织</w:t>
            </w:r>
          </w:p>
          <w:p w14:paraId="7B39A451">
            <w:pPr>
              <w:pStyle w:val="6"/>
              <w:jc w:val="left"/>
            </w:pPr>
            <w:r>
              <w:t>采购包3：不组织</w:t>
            </w:r>
          </w:p>
        </w:tc>
      </w:tr>
      <w:tr w14:paraId="4992DB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5" w:type="dxa"/>
          </w:tcPr>
          <w:p w14:paraId="217B37E4">
            <w:pPr>
              <w:pStyle w:val="6"/>
              <w:jc w:val="left"/>
            </w:pPr>
            <w:r>
              <w:t>2</w:t>
            </w:r>
          </w:p>
        </w:tc>
        <w:tc>
          <w:tcPr>
            <w:tcW w:w="1329" w:type="dxa"/>
          </w:tcPr>
          <w:p w14:paraId="529B13F8">
            <w:pPr>
              <w:pStyle w:val="6"/>
              <w:jc w:val="left"/>
            </w:pPr>
            <w:r>
              <w:t>10.4</w:t>
            </w:r>
          </w:p>
        </w:tc>
        <w:tc>
          <w:tcPr>
            <w:tcW w:w="6750" w:type="dxa"/>
          </w:tcPr>
          <w:p w14:paraId="0FEDA5E1">
            <w:pPr>
              <w:pStyle w:val="6"/>
              <w:jc w:val="left"/>
            </w:pPr>
            <w:r>
              <w:t>投标文件的份数：</w:t>
            </w:r>
          </w:p>
          <w:p w14:paraId="3BAA1FBE">
            <w:pPr>
              <w:pStyle w:val="6"/>
              <w:jc w:val="left"/>
            </w:pPr>
            <w:r>
              <w:t xml:space="preserve"> （1）可读介质（光盘或U盘） 0 份：投标人应将其上传至福建省政府采购网上公开信息系统的电子投标文件在该可读介质中另存 0 份。</w:t>
            </w:r>
          </w:p>
          <w:p w14:paraId="64BA407F">
            <w:pPr>
              <w:pStyle w:val="6"/>
              <w:jc w:val="left"/>
            </w:pPr>
            <w:r>
              <w:t xml:space="preserve"> （2）电子投标文件：详见投标人须知前附表2《关于电子招标投标活动的专门规定》。</w:t>
            </w:r>
          </w:p>
        </w:tc>
      </w:tr>
      <w:tr w14:paraId="614447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5" w:type="dxa"/>
          </w:tcPr>
          <w:p w14:paraId="2AA8F5C8">
            <w:pPr>
              <w:pStyle w:val="6"/>
              <w:jc w:val="left"/>
            </w:pPr>
            <w:r>
              <w:t>3</w:t>
            </w:r>
          </w:p>
        </w:tc>
        <w:tc>
          <w:tcPr>
            <w:tcW w:w="1329" w:type="dxa"/>
          </w:tcPr>
          <w:p w14:paraId="7D6B94C4">
            <w:pPr>
              <w:pStyle w:val="6"/>
              <w:jc w:val="left"/>
            </w:pPr>
            <w:r>
              <w:t>10.7-（1）</w:t>
            </w:r>
          </w:p>
        </w:tc>
        <w:tc>
          <w:tcPr>
            <w:tcW w:w="6750" w:type="dxa"/>
          </w:tcPr>
          <w:p w14:paraId="4946AE74">
            <w:pPr>
              <w:pStyle w:val="6"/>
              <w:jc w:val="left"/>
            </w:pPr>
            <w:r>
              <w:t>是否允许中标人将本项目的非主体、非关键性工作进行分包：</w:t>
            </w:r>
          </w:p>
          <w:p w14:paraId="79D600A3">
            <w:pPr>
              <w:pStyle w:val="6"/>
              <w:jc w:val="left"/>
            </w:pPr>
            <w:r>
              <w:t>采购包1：不允许合同分包；</w:t>
            </w:r>
          </w:p>
          <w:p w14:paraId="1D08A2FD">
            <w:pPr>
              <w:pStyle w:val="6"/>
              <w:jc w:val="left"/>
            </w:pPr>
            <w:r>
              <w:t>采购包2：不允许合同分包；</w:t>
            </w:r>
          </w:p>
          <w:p w14:paraId="2A71FEB8">
            <w:pPr>
              <w:pStyle w:val="6"/>
              <w:jc w:val="left"/>
            </w:pPr>
            <w:r>
              <w:t>采购包3：不允许合同分包；</w:t>
            </w:r>
          </w:p>
        </w:tc>
      </w:tr>
      <w:tr w14:paraId="467E54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5" w:type="dxa"/>
          </w:tcPr>
          <w:p w14:paraId="7FD11440">
            <w:pPr>
              <w:pStyle w:val="6"/>
              <w:jc w:val="left"/>
            </w:pPr>
            <w:r>
              <w:t>4</w:t>
            </w:r>
          </w:p>
        </w:tc>
        <w:tc>
          <w:tcPr>
            <w:tcW w:w="1329" w:type="dxa"/>
          </w:tcPr>
          <w:p w14:paraId="3E91A8EF">
            <w:pPr>
              <w:pStyle w:val="6"/>
              <w:jc w:val="left"/>
            </w:pPr>
            <w:r>
              <w:t>10.8-（1）</w:t>
            </w:r>
          </w:p>
        </w:tc>
        <w:tc>
          <w:tcPr>
            <w:tcW w:w="6750" w:type="dxa"/>
          </w:tcPr>
          <w:p w14:paraId="2C6DAA8E">
            <w:pPr>
              <w:pStyle w:val="6"/>
              <w:jc w:val="left"/>
            </w:pPr>
            <w:r>
              <w:t>投标有效期：投标截止时间起 90 个日历日。</w:t>
            </w:r>
          </w:p>
        </w:tc>
      </w:tr>
      <w:tr w14:paraId="6B5454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5" w:type="dxa"/>
          </w:tcPr>
          <w:p w14:paraId="3DCD2D10">
            <w:pPr>
              <w:pStyle w:val="6"/>
              <w:jc w:val="left"/>
            </w:pPr>
            <w:r>
              <w:t>5</w:t>
            </w:r>
          </w:p>
        </w:tc>
        <w:tc>
          <w:tcPr>
            <w:tcW w:w="1329" w:type="dxa"/>
          </w:tcPr>
          <w:p w14:paraId="6CF11EA2">
            <w:pPr>
              <w:pStyle w:val="6"/>
              <w:jc w:val="left"/>
            </w:pPr>
            <w:r>
              <w:t>12.1</w:t>
            </w:r>
          </w:p>
        </w:tc>
        <w:tc>
          <w:tcPr>
            <w:tcW w:w="6750" w:type="dxa"/>
          </w:tcPr>
          <w:p w14:paraId="21C54108">
            <w:pPr>
              <w:pStyle w:val="6"/>
              <w:jc w:val="left"/>
            </w:pPr>
            <w:r>
              <w:t>确定中标候选人名单：</w:t>
            </w:r>
          </w:p>
          <w:p w14:paraId="0AA438A9">
            <w:pPr>
              <w:pStyle w:val="6"/>
              <w:jc w:val="left"/>
            </w:pPr>
            <w:r>
              <w:t>采购包1：1名</w:t>
            </w:r>
          </w:p>
          <w:p w14:paraId="3BC728BD">
            <w:pPr>
              <w:pStyle w:val="6"/>
              <w:jc w:val="left"/>
            </w:pPr>
            <w:r>
              <w:t>采购包2：1名</w:t>
            </w:r>
          </w:p>
          <w:p w14:paraId="5A22AA63">
            <w:pPr>
              <w:pStyle w:val="6"/>
              <w:jc w:val="left"/>
            </w:pPr>
            <w:r>
              <w:t>采购包3：1名</w:t>
            </w:r>
          </w:p>
        </w:tc>
      </w:tr>
      <w:tr w14:paraId="19052B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5" w:type="dxa"/>
          </w:tcPr>
          <w:p w14:paraId="6A33EBA5">
            <w:pPr>
              <w:pStyle w:val="6"/>
              <w:jc w:val="left"/>
            </w:pPr>
            <w:r>
              <w:t>6</w:t>
            </w:r>
          </w:p>
        </w:tc>
        <w:tc>
          <w:tcPr>
            <w:tcW w:w="1329" w:type="dxa"/>
          </w:tcPr>
          <w:p w14:paraId="1BCF501B">
            <w:pPr>
              <w:pStyle w:val="6"/>
              <w:jc w:val="left"/>
            </w:pPr>
            <w:r>
              <w:t>12.2</w:t>
            </w:r>
          </w:p>
        </w:tc>
        <w:tc>
          <w:tcPr>
            <w:tcW w:w="6750" w:type="dxa"/>
          </w:tcPr>
          <w:p w14:paraId="435432A6">
            <w:pPr>
              <w:pStyle w:val="6"/>
              <w:jc w:val="left"/>
            </w:pPr>
            <w:r>
              <w:t>本项目中标人的确定（以采购包为单位）：</w:t>
            </w:r>
          </w:p>
          <w:p w14:paraId="0B5DB9EB">
            <w:pPr>
              <w:pStyle w:val="6"/>
              <w:jc w:val="left"/>
            </w:pPr>
            <w:r>
              <w:t>（1） 采购人应在政府采购招投标管理办法规定的时限内确定中标人。</w:t>
            </w:r>
          </w:p>
          <w:p w14:paraId="62197B00">
            <w:pPr>
              <w:pStyle w:val="6"/>
              <w:jc w:val="left"/>
            </w:pPr>
            <w:r>
              <w:t>（2）若出现中标候选人并列情形，则按照下列方式确定中标人：</w:t>
            </w:r>
          </w:p>
          <w:p w14:paraId="6FD93864">
            <w:pPr>
              <w:pStyle w:val="6"/>
              <w:jc w:val="left"/>
            </w:pPr>
            <w:r>
              <w:t>①招标文件规定的方式：</w:t>
            </w:r>
          </w:p>
          <w:p w14:paraId="6F09AD9A">
            <w:pPr>
              <w:pStyle w:val="6"/>
              <w:jc w:val="left"/>
            </w:pPr>
            <w:r>
              <w:t>无</w:t>
            </w:r>
          </w:p>
          <w:p w14:paraId="41D06AE7">
            <w:pPr>
              <w:pStyle w:val="6"/>
              <w:jc w:val="left"/>
            </w:pPr>
            <w:r>
              <w:t>②若本款第①点规定方式为“无”，则按照下列方式确定：</w:t>
            </w:r>
          </w:p>
          <w:p w14:paraId="1DC818B6">
            <w:pPr>
              <w:pStyle w:val="6"/>
              <w:jc w:val="left"/>
            </w:pPr>
            <w:r>
              <w:t>无</w:t>
            </w:r>
          </w:p>
          <w:p w14:paraId="17D361DD">
            <w:pPr>
              <w:pStyle w:val="6"/>
              <w:jc w:val="left"/>
            </w:pPr>
            <w:r>
              <w:t>③若本款第①、②点规定方式均为“无”，则按照下列方式确定：随机抽取。</w:t>
            </w:r>
          </w:p>
          <w:p w14:paraId="15D2E071">
            <w:pPr>
              <w:pStyle w:val="6"/>
              <w:jc w:val="left"/>
            </w:pPr>
            <w:r>
              <w:t>（3）本项目确定的中标人家数：</w:t>
            </w:r>
          </w:p>
          <w:p w14:paraId="7A60F74A">
            <w:pPr>
              <w:pStyle w:val="6"/>
              <w:jc w:val="left"/>
            </w:pPr>
            <w:r>
              <w:t>采购包1：1名</w:t>
            </w:r>
          </w:p>
          <w:p w14:paraId="1612893E">
            <w:pPr>
              <w:pStyle w:val="6"/>
              <w:jc w:val="left"/>
            </w:pPr>
            <w:r>
              <w:t>采购包2：1名</w:t>
            </w:r>
          </w:p>
          <w:p w14:paraId="07C814AE">
            <w:pPr>
              <w:pStyle w:val="6"/>
              <w:jc w:val="left"/>
            </w:pPr>
            <w:r>
              <w:t>采购包3：1名</w:t>
            </w:r>
          </w:p>
        </w:tc>
      </w:tr>
      <w:tr w14:paraId="05FA3F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5" w:type="dxa"/>
          </w:tcPr>
          <w:p w14:paraId="1FC55636">
            <w:pPr>
              <w:pStyle w:val="6"/>
              <w:jc w:val="left"/>
            </w:pPr>
            <w:r>
              <w:t>7</w:t>
            </w:r>
          </w:p>
        </w:tc>
        <w:tc>
          <w:tcPr>
            <w:tcW w:w="1329" w:type="dxa"/>
          </w:tcPr>
          <w:p w14:paraId="41CBFBDE">
            <w:pPr>
              <w:pStyle w:val="6"/>
              <w:jc w:val="left"/>
            </w:pPr>
            <w:r>
              <w:t>13.2</w:t>
            </w:r>
          </w:p>
        </w:tc>
        <w:tc>
          <w:tcPr>
            <w:tcW w:w="6750" w:type="dxa"/>
          </w:tcPr>
          <w:p w14:paraId="4C1BE017">
            <w:pPr>
              <w:pStyle w:val="6"/>
              <w:jc w:val="left"/>
            </w:pPr>
            <w:r>
              <w:t>合同签订时限： 自中标通知书发出之日起30个日历日内。</w:t>
            </w:r>
          </w:p>
        </w:tc>
      </w:tr>
      <w:tr w14:paraId="324A83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5" w:type="dxa"/>
          </w:tcPr>
          <w:p w14:paraId="753A8599">
            <w:pPr>
              <w:pStyle w:val="6"/>
              <w:jc w:val="left"/>
            </w:pPr>
            <w:r>
              <w:t>8</w:t>
            </w:r>
          </w:p>
        </w:tc>
        <w:tc>
          <w:tcPr>
            <w:tcW w:w="1329" w:type="dxa"/>
          </w:tcPr>
          <w:p w14:paraId="45E6DBA3">
            <w:pPr>
              <w:pStyle w:val="6"/>
              <w:jc w:val="left"/>
            </w:pPr>
            <w:r>
              <w:t>15.1-（2）</w:t>
            </w:r>
          </w:p>
        </w:tc>
        <w:tc>
          <w:tcPr>
            <w:tcW w:w="6750" w:type="dxa"/>
          </w:tcPr>
          <w:p w14:paraId="17F78135">
            <w:pPr>
              <w:pStyle w:val="6"/>
              <w:jc w:val="left"/>
            </w:pPr>
            <w:r>
              <w:t>质疑函原件应采用下列方式提交：书面形式。</w:t>
            </w:r>
          </w:p>
        </w:tc>
      </w:tr>
      <w:tr w14:paraId="271E4B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5" w:type="dxa"/>
          </w:tcPr>
          <w:p w14:paraId="0234C6E4">
            <w:pPr>
              <w:pStyle w:val="6"/>
              <w:jc w:val="left"/>
            </w:pPr>
            <w:r>
              <w:t>9</w:t>
            </w:r>
          </w:p>
        </w:tc>
        <w:tc>
          <w:tcPr>
            <w:tcW w:w="1329" w:type="dxa"/>
          </w:tcPr>
          <w:p w14:paraId="20D03711">
            <w:pPr>
              <w:pStyle w:val="6"/>
              <w:jc w:val="left"/>
            </w:pPr>
            <w:r>
              <w:t>15.4</w:t>
            </w:r>
          </w:p>
        </w:tc>
        <w:tc>
          <w:tcPr>
            <w:tcW w:w="6750" w:type="dxa"/>
          </w:tcPr>
          <w:p w14:paraId="1F27D1D9">
            <w:pPr>
              <w:pStyle w:val="6"/>
              <w:jc w:val="left"/>
            </w:pPr>
            <w:r>
              <w:t>招标文件的质疑</w:t>
            </w:r>
          </w:p>
          <w:p w14:paraId="042609D4">
            <w:pPr>
              <w:pStyle w:val="6"/>
              <w:jc w:val="left"/>
            </w:pPr>
            <w:r>
              <w:t xml:space="preserve"> （1）潜在投标人可在质疑时效期间内对招标文件以书面形式提出质疑。</w:t>
            </w:r>
          </w:p>
          <w:p w14:paraId="74C9EB21">
            <w:pPr>
              <w:pStyle w:val="6"/>
              <w:jc w:val="left"/>
            </w:pPr>
            <w:r>
              <w:t xml:space="preserve"> （2）质疑时效期间：应在依法获取招标文件之日起7个工作日内向 福建省天海招标有限公司 提出，依法获取招标文件的时间以福建省政府采购网上公开信息系统记载的为准。</w:t>
            </w:r>
          </w:p>
          <w:p w14:paraId="47B5559F">
            <w:pPr>
              <w:pStyle w:val="6"/>
              <w:jc w:val="left"/>
            </w:pPr>
            <w:r>
              <w:t xml:space="preserve"> ※除上述规定外，对招标文件提出的质疑还应符合招标文件第三章第15.1条的有关规定。</w:t>
            </w:r>
          </w:p>
        </w:tc>
      </w:tr>
      <w:tr w14:paraId="0E144C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5" w:type="dxa"/>
          </w:tcPr>
          <w:p w14:paraId="32ADB089">
            <w:pPr>
              <w:pStyle w:val="6"/>
              <w:jc w:val="left"/>
            </w:pPr>
            <w:r>
              <w:t>10</w:t>
            </w:r>
          </w:p>
        </w:tc>
        <w:tc>
          <w:tcPr>
            <w:tcW w:w="1329" w:type="dxa"/>
          </w:tcPr>
          <w:p w14:paraId="39A0CDF8">
            <w:pPr>
              <w:pStyle w:val="6"/>
              <w:jc w:val="left"/>
            </w:pPr>
            <w:r>
              <w:t>16.1</w:t>
            </w:r>
          </w:p>
        </w:tc>
        <w:tc>
          <w:tcPr>
            <w:tcW w:w="6750" w:type="dxa"/>
          </w:tcPr>
          <w:p w14:paraId="3767D8A6">
            <w:pPr>
              <w:pStyle w:val="6"/>
              <w:jc w:val="left"/>
            </w:pPr>
            <w:r>
              <w:t>监督管理部门： 福建省财政厅政府采购监督管理办公室 （仅限依法进行政府采购的货物或服务类项目）。</w:t>
            </w:r>
          </w:p>
        </w:tc>
      </w:tr>
      <w:tr w14:paraId="5B0306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5" w:type="dxa"/>
          </w:tcPr>
          <w:p w14:paraId="455B38F5">
            <w:pPr>
              <w:pStyle w:val="6"/>
              <w:jc w:val="left"/>
            </w:pPr>
            <w:r>
              <w:t>11</w:t>
            </w:r>
          </w:p>
        </w:tc>
        <w:tc>
          <w:tcPr>
            <w:tcW w:w="1329" w:type="dxa"/>
          </w:tcPr>
          <w:p w14:paraId="59663EFF">
            <w:pPr>
              <w:pStyle w:val="6"/>
              <w:jc w:val="left"/>
            </w:pPr>
            <w:r>
              <w:t>18.1</w:t>
            </w:r>
          </w:p>
        </w:tc>
        <w:tc>
          <w:tcPr>
            <w:tcW w:w="6750" w:type="dxa"/>
          </w:tcPr>
          <w:p w14:paraId="07BB40A2">
            <w:pPr>
              <w:pStyle w:val="6"/>
              <w:jc w:val="left"/>
            </w:pPr>
            <w:r>
              <w:t>财政部和福建省财政厅指定的政府采购信息发布媒体（以下简称：“指定媒体”）：</w:t>
            </w:r>
          </w:p>
          <w:p w14:paraId="2D2B0CB6">
            <w:pPr>
              <w:pStyle w:val="6"/>
              <w:jc w:val="left"/>
            </w:pPr>
            <w:r>
              <w:t xml:space="preserve"> （1）中国政府采购网，网址www.ccgp.gov.cn。</w:t>
            </w:r>
          </w:p>
          <w:p w14:paraId="3B8F382B">
            <w:pPr>
              <w:pStyle w:val="6"/>
              <w:jc w:val="left"/>
            </w:pPr>
            <w:r>
              <w:t xml:space="preserve"> （2）中国政府采购网福建分网（福建省政府采购网），网址zfcg.czt.fujian.gov.cn。</w:t>
            </w:r>
          </w:p>
          <w:p w14:paraId="35C48706">
            <w:pPr>
              <w:pStyle w:val="6"/>
              <w:jc w:val="left"/>
            </w:pPr>
            <w:r>
              <w:t xml:space="preserve"> ※若出现上述指定媒体信息不一致情形，应以中国政府采购网福建分网（福建省政府采购网）发布的为准。</w:t>
            </w:r>
          </w:p>
        </w:tc>
      </w:tr>
      <w:tr w14:paraId="368802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5" w:type="dxa"/>
          </w:tcPr>
          <w:p w14:paraId="74A0E6E5">
            <w:pPr>
              <w:pStyle w:val="6"/>
              <w:jc w:val="left"/>
            </w:pPr>
            <w:r>
              <w:t>12</w:t>
            </w:r>
          </w:p>
        </w:tc>
        <w:tc>
          <w:tcPr>
            <w:tcW w:w="1329" w:type="dxa"/>
          </w:tcPr>
          <w:p w14:paraId="1A2CEE26">
            <w:pPr>
              <w:pStyle w:val="6"/>
              <w:jc w:val="left"/>
            </w:pPr>
            <w:r>
              <w:t>19</w:t>
            </w:r>
          </w:p>
        </w:tc>
        <w:tc>
          <w:tcPr>
            <w:tcW w:w="6750" w:type="dxa"/>
          </w:tcPr>
          <w:p w14:paraId="0D8B0CE2">
            <w:pPr>
              <w:pStyle w:val="6"/>
              <w:jc w:val="left"/>
            </w:pPr>
            <w:r>
              <w:t>其他事项：</w:t>
            </w:r>
          </w:p>
          <w:p w14:paraId="289F547D">
            <w:pPr>
              <w:pStyle w:val="6"/>
              <w:jc w:val="left"/>
              <w:rPr>
                <w:color w:val="FF0000"/>
              </w:rPr>
            </w:pPr>
            <w:r>
              <w:t xml:space="preserve"> </w:t>
            </w:r>
            <w:r>
              <w:rPr>
                <w:color w:val="FF0000"/>
              </w:rPr>
              <w:t>(1)本项目代理服务费：</w:t>
            </w:r>
          </w:p>
          <w:p w14:paraId="427194BB">
            <w:pPr>
              <w:pStyle w:val="6"/>
              <w:jc w:val="left"/>
              <w:rPr>
                <w:color w:val="FF0000"/>
              </w:rPr>
            </w:pPr>
            <w:r>
              <w:rPr>
                <w:color w:val="FF0000"/>
              </w:rPr>
              <w:t>本项目收取代理服务费</w:t>
            </w:r>
          </w:p>
          <w:p w14:paraId="2CFE1133">
            <w:pPr>
              <w:pStyle w:val="6"/>
              <w:jc w:val="left"/>
              <w:rPr>
                <w:color w:val="FF0000"/>
              </w:rPr>
            </w:pPr>
            <w:r>
              <w:rPr>
                <w:color w:val="FF0000"/>
              </w:rPr>
              <w:t>代理服务费用收取对象：中标/成交供应商</w:t>
            </w:r>
          </w:p>
          <w:p w14:paraId="57AC05D4">
            <w:pPr>
              <w:pStyle w:val="6"/>
              <w:jc w:val="left"/>
              <w:rPr>
                <w:color w:val="FF0000"/>
              </w:rPr>
            </w:pPr>
            <w:r>
              <w:rPr>
                <w:color w:val="FF0000"/>
              </w:rPr>
              <w:t>代理服务费收费标准：收费标准：100万元以下按中标总金额的1.5%收取，100万元～500万元，按中标总金额的0.8 %收取；服务费按差额定率累进法计算后下浮率55%收取。招标服务费按合同包计算，由中标人在领取中标通知书前以现金、转账等付款方式一次性付清。户名：福建省天海招标有限公司屏南分公司；开户行：屏南县农村信用合作联社；账号：9060710010010000067766。</w:t>
            </w:r>
          </w:p>
          <w:p w14:paraId="359237DC">
            <w:pPr>
              <w:pStyle w:val="6"/>
              <w:jc w:val="left"/>
            </w:pPr>
            <w:r>
              <w:rPr>
                <w:color w:val="FF0000"/>
              </w:rPr>
              <w:t xml:space="preserve"> (2)其他：中标人在领取中标通知书时，应向招标代理机构提供与电子投标文件相同的纸质投标文件（加盖中标人单位公章）2套。</w:t>
            </w:r>
          </w:p>
        </w:tc>
      </w:tr>
      <w:tr w14:paraId="49B571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54" w:type="dxa"/>
            <w:gridSpan w:val="2"/>
          </w:tcPr>
          <w:p w14:paraId="513CDC4E">
            <w:pPr>
              <w:pStyle w:val="6"/>
              <w:jc w:val="left"/>
            </w:pPr>
            <w:r>
              <w:t>备注</w:t>
            </w:r>
          </w:p>
        </w:tc>
        <w:tc>
          <w:tcPr>
            <w:tcW w:w="6750" w:type="dxa"/>
          </w:tcPr>
          <w:p w14:paraId="420A21C8">
            <w:pPr>
              <w:pStyle w:val="6"/>
              <w:jc w:val="left"/>
            </w:pPr>
            <w:r>
              <w:t>后有投标人须知前附表2，请勿遗漏。</w:t>
            </w:r>
          </w:p>
        </w:tc>
      </w:tr>
    </w:tbl>
    <w:p w14:paraId="51BF56AE">
      <w:pPr>
        <w:pStyle w:val="6"/>
        <w:jc w:val="both"/>
        <w:outlineLvl w:val="2"/>
      </w:pPr>
      <w:r>
        <w:rPr>
          <w:b/>
          <w:sz w:val="28"/>
        </w:rPr>
        <w:t>二、投标人须知前附表2</w:t>
      </w:r>
    </w:p>
    <w:tbl>
      <w:tblPr>
        <w:tblStyle w:val="4"/>
        <w:tblW w:w="880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15"/>
        <w:gridCol w:w="8089"/>
      </w:tblGrid>
      <w:tr w14:paraId="150312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804" w:type="dxa"/>
            <w:gridSpan w:val="2"/>
          </w:tcPr>
          <w:p w14:paraId="2437C22D">
            <w:pPr>
              <w:pStyle w:val="6"/>
              <w:jc w:val="left"/>
            </w:pPr>
            <w:r>
              <w:t>关于电子招标投标活动的专门规定</w:t>
            </w:r>
          </w:p>
        </w:tc>
      </w:tr>
      <w:tr w14:paraId="70E2EB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5" w:type="dxa"/>
          </w:tcPr>
          <w:p w14:paraId="608D0BEE">
            <w:pPr>
              <w:pStyle w:val="6"/>
              <w:jc w:val="left"/>
            </w:pPr>
            <w:r>
              <w:t>序号</w:t>
            </w:r>
          </w:p>
        </w:tc>
        <w:tc>
          <w:tcPr>
            <w:tcW w:w="8089" w:type="dxa"/>
          </w:tcPr>
          <w:p w14:paraId="5122957B">
            <w:pPr>
              <w:pStyle w:val="6"/>
              <w:jc w:val="left"/>
            </w:pPr>
            <w:r>
              <w:t>编列内容</w:t>
            </w:r>
          </w:p>
        </w:tc>
      </w:tr>
      <w:tr w14:paraId="534BE3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5" w:type="dxa"/>
          </w:tcPr>
          <w:p w14:paraId="5139570B">
            <w:pPr>
              <w:pStyle w:val="6"/>
              <w:jc w:val="left"/>
            </w:pPr>
            <w:r>
              <w:t>1</w:t>
            </w:r>
          </w:p>
        </w:tc>
        <w:tc>
          <w:tcPr>
            <w:tcW w:w="8089" w:type="dxa"/>
          </w:tcPr>
          <w:p w14:paraId="4A2422A8">
            <w:pPr>
              <w:pStyle w:val="6"/>
              <w:jc w:val="left"/>
            </w:pPr>
            <w:r>
              <w:t>（1）电子招标投标活动的专门规定适用本项目电子招标投标活动。</w:t>
            </w:r>
          </w:p>
          <w:p w14:paraId="684CE4AC">
            <w:pPr>
              <w:pStyle w:val="6"/>
              <w:jc w:val="left"/>
            </w:pPr>
            <w:r>
              <w:t xml:space="preserve"> （2）将招标文件</w:t>
            </w:r>
          </w:p>
          <w:p w14:paraId="7083C63F">
            <w:pPr>
              <w:pStyle w:val="6"/>
              <w:jc w:val="left"/>
            </w:pPr>
            <w:r>
              <w:t>无 的内容修正为下列内容：</w:t>
            </w:r>
          </w:p>
          <w:p w14:paraId="2362A7CE">
            <w:pPr>
              <w:pStyle w:val="6"/>
              <w:jc w:val="left"/>
            </w:pPr>
            <w:r>
              <w:t>无 后适用本项目的电子招标投标活动。</w:t>
            </w:r>
          </w:p>
          <w:p w14:paraId="57D794BF">
            <w:pPr>
              <w:pStyle w:val="6"/>
              <w:jc w:val="left"/>
            </w:pPr>
            <w:r>
              <w:t xml:space="preserve"> （3）将下列内容增列为招标文件的组成部分（以下简称：“增列内容”）适用本项目的电子招标投标活动，若增列内容与招标文件其他章节内容有冲突，应以增列内容为准：</w:t>
            </w:r>
          </w:p>
          <w:p w14:paraId="791515DB">
            <w:pPr>
              <w:pStyle w:val="6"/>
              <w:jc w:val="left"/>
            </w:pPr>
            <w:r>
              <w:t xml:space="preserve"> ①电子招标投标活动的具体操作流程以福建省政府采购网上公开信息系统设定的为准。</w:t>
            </w:r>
          </w:p>
          <w:p w14:paraId="0CB50A90">
            <w:pPr>
              <w:pStyle w:val="6"/>
              <w:jc w:val="left"/>
            </w:pPr>
            <w:r>
              <w:t xml:space="preserve"> ②关于电子投标文件：</w:t>
            </w:r>
          </w:p>
          <w:p w14:paraId="47F1D995">
            <w:pPr>
              <w:pStyle w:val="6"/>
              <w:jc w:val="left"/>
            </w:pPr>
            <w:r>
              <w:t xml:space="preserve"> a.投标人应按照福建省政府采购网上公开信息系统设定的评审节点编制电子投标文件，否则资格审查小组、评标委员会将按照不利于投标人的内容进行认定。</w:t>
            </w:r>
          </w:p>
          <w:p w14:paraId="48847891">
            <w:pPr>
              <w:pStyle w:val="6"/>
              <w:jc w:val="left"/>
            </w:pPr>
            <w:r>
              <w:t xml:space="preserve"> b.投标人应在投标截止时间前按照福建省政府采购网上公开信息系统设定的操作流程将电子投标文件1份上传至福建省政府采购网上公开信息系统。电子投标文件的投标（响应）报价明细表、投标客户端的投标（响应）报价明细表应保持一致，并以投标客户端的投标（响应）报价明细表为准。</w:t>
            </w:r>
          </w:p>
          <w:p w14:paraId="3E8CE1B9">
            <w:pPr>
              <w:pStyle w:val="6"/>
              <w:jc w:val="left"/>
            </w:pPr>
            <w:r>
              <w:t xml:space="preserve"> ③关于证明材料或资料：</w:t>
            </w:r>
          </w:p>
          <w:p w14:paraId="33B1F2C3">
            <w:pPr>
              <w:pStyle w:val="6"/>
              <w:jc w:val="left"/>
            </w:pPr>
            <w:r>
              <w:t xml:space="preserve"> 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14:paraId="298CA789">
            <w:pPr>
              <w:pStyle w:val="6"/>
              <w:jc w:val="left"/>
            </w:pPr>
            <w:r>
              <w:t xml:space="preserve"> b.若投标人提供注明“复印件无效”或“复印无效”的证明材料或资料，应结合上文a条款进行判定，若招标文件未要求投标人提供原件，投标人提供原件，复印件（含扫描件）均视为满足招标文件要求。</w:t>
            </w:r>
          </w:p>
          <w:p w14:paraId="787B3F6A">
            <w:pPr>
              <w:pStyle w:val="6"/>
              <w:jc w:val="left"/>
            </w:pPr>
            <w:r>
              <w:t xml:space="preserve"> ④关于“全称”、“投标人代表签字”及“加盖单位公章”：</w:t>
            </w:r>
          </w:p>
          <w:p w14:paraId="0D610B77">
            <w:pPr>
              <w:pStyle w:val="6"/>
              <w:jc w:val="left"/>
            </w:pPr>
            <w:r>
              <w:t xml:space="preserve"> a.在电子投标文件中，涉及“全称”和“投标人代表签字”的内容可使用打字录入方式完成。</w:t>
            </w:r>
          </w:p>
          <w:p w14:paraId="1AF764BE">
            <w:pPr>
              <w:pStyle w:val="6"/>
              <w:jc w:val="left"/>
            </w:pPr>
            <w:r>
              <w:t xml:space="preserve"> b.在电子投标文件中，涉及“加盖单位公章”的内容应使用投标人的CA证书完成，否则投标无效。</w:t>
            </w:r>
          </w:p>
          <w:p w14:paraId="191BD17E">
            <w:pPr>
              <w:pStyle w:val="6"/>
              <w:jc w:val="left"/>
            </w:pPr>
            <w:r>
              <w:t xml:space="preserve"> c.在电子投标文件中，若投标人按照本增列内容第④点第b项规定加盖其单位公章，则出现无全称、或投标人代表未签字等情形，不视为投标无效。</w:t>
            </w:r>
          </w:p>
          <w:p w14:paraId="1F34D8BB">
            <w:pPr>
              <w:pStyle w:val="6"/>
              <w:jc w:val="left"/>
            </w:pPr>
            <w:r>
              <w:t xml:space="preserve"> ⑤关于投标人的CA证书：</w:t>
            </w:r>
          </w:p>
          <w:p w14:paraId="6D1F4278">
            <w:pPr>
              <w:pStyle w:val="6"/>
              <w:jc w:val="left"/>
            </w:pPr>
            <w:r>
              <w:t xml:space="preserve"> a.投标人的CA证书应在系统规定时间内使用CA证书进行电子投标文件的解密操作，逾期未解密的视为放弃投标。</w:t>
            </w:r>
          </w:p>
          <w:p w14:paraId="4C311C3C">
            <w:pPr>
              <w:pStyle w:val="6"/>
              <w:jc w:val="left"/>
            </w:pPr>
            <w:r>
              <w:t xml:space="preserve"> b.投标人的CA证书可采用信封（包括但不限于：信封、档案袋、文件袋等）作为外包装进行单独包装。外包装密封、不密封皆可。</w:t>
            </w:r>
          </w:p>
          <w:p w14:paraId="37748815">
            <w:pPr>
              <w:pStyle w:val="6"/>
              <w:jc w:val="left"/>
            </w:pPr>
            <w:r>
              <w:t xml:space="preserve"> c.投标人的CA证书或外包装应标记“项目名称、项目编号、投标人的全称”等内容，以方便识别、使用。</w:t>
            </w:r>
          </w:p>
          <w:p w14:paraId="641917ED">
            <w:pPr>
              <w:pStyle w:val="6"/>
              <w:jc w:val="left"/>
            </w:pPr>
            <w:r>
              <w:t xml:space="preserve"> d.投标人的CA证书应能正常、有效使用，否则产生不利后果由投标人承担责任。</w:t>
            </w:r>
          </w:p>
          <w:p w14:paraId="33BF1634">
            <w:pPr>
              <w:pStyle w:val="6"/>
              <w:jc w:val="left"/>
            </w:pPr>
            <w:r>
              <w:t xml:space="preserve"> ⑥关于投标截止时间过后</w:t>
            </w:r>
          </w:p>
          <w:p w14:paraId="0967EC5D">
            <w:pPr>
              <w:pStyle w:val="6"/>
              <w:jc w:val="left"/>
            </w:pPr>
            <w:r>
              <w:t xml:space="preserve"> a.未按招标文件规定提交投标保证金的，其投标将按无效投标处理。</w:t>
            </w:r>
          </w:p>
          <w:p w14:paraId="7111CBA5">
            <w:pPr>
              <w:pStyle w:val="6"/>
              <w:jc w:val="left"/>
            </w:pPr>
            <w:r>
              <w:t xml:space="preserve"> b.有下列情形之一的，其投标无效,其保证金不予退还或通过投标保函进行索赔：</w:t>
            </w:r>
          </w:p>
          <w:p w14:paraId="03C05384">
            <w:pPr>
              <w:pStyle w:val="6"/>
              <w:jc w:val="left"/>
            </w:pPr>
            <w:r>
              <w:t xml:space="preserve"> b1不同投标人的电子投标文件具有相同内部识别码；</w:t>
            </w:r>
          </w:p>
          <w:p w14:paraId="44EB00AD">
            <w:pPr>
              <w:pStyle w:val="6"/>
              <w:jc w:val="left"/>
            </w:pPr>
            <w:r>
              <w:t xml:space="preserve"> b2不同投标人的投标保证金从同一单位或个人的账户转出；</w:t>
            </w:r>
          </w:p>
          <w:p w14:paraId="2845956A">
            <w:pPr>
              <w:pStyle w:val="6"/>
              <w:jc w:val="left"/>
            </w:pPr>
            <w:r>
              <w:t xml:space="preserve"> b3投标人的投标保证金同一采购包下有其他投标人提交的投标保证金；</w:t>
            </w:r>
          </w:p>
          <w:p w14:paraId="69159ED9">
            <w:pPr>
              <w:pStyle w:val="6"/>
              <w:jc w:val="left"/>
            </w:pPr>
            <w:r>
              <w:t xml:space="preserve"> b4不同投标人存在串通投标的其他情形。</w:t>
            </w:r>
          </w:p>
          <w:p w14:paraId="0A12C359">
            <w:pPr>
              <w:pStyle w:val="6"/>
              <w:jc w:val="left"/>
            </w:pPr>
            <w:r>
              <w:t xml:space="preserve"> ⑦接受联合体投标且投标人为联合体的，投标人应由“联合体牵头方”完成福建省政府采购网上公开信息系统设定的具体操作流程（包括但不限于：招标文件获取、提交投标保证金、编制电子投标文件等）。</w:t>
            </w:r>
          </w:p>
          <w:p w14:paraId="3D7DBF02">
            <w:pPr>
              <w:pStyle w:val="6"/>
              <w:jc w:val="left"/>
            </w:pPr>
            <w:r>
              <w:t xml:space="preserve"> ⑧其他：</w:t>
            </w:r>
          </w:p>
          <w:p w14:paraId="3E19526F">
            <w:pPr>
              <w:pStyle w:val="6"/>
              <w:jc w:val="left"/>
            </w:pPr>
            <w:r>
              <w:t>无</w:t>
            </w:r>
          </w:p>
        </w:tc>
      </w:tr>
    </w:tbl>
    <w:p w14:paraId="5BD44744">
      <w:pPr>
        <w:pStyle w:val="6"/>
      </w:pPr>
      <w:r>
        <w:t xml:space="preserve"> </w:t>
      </w:r>
      <w:r>
        <w:br w:type="textWrapping"/>
      </w:r>
      <w:r>
        <w:br w:type="page"/>
      </w:r>
    </w:p>
    <w:p w14:paraId="7E840EF8">
      <w:pPr>
        <w:pStyle w:val="6"/>
        <w:jc w:val="center"/>
        <w:outlineLvl w:val="1"/>
      </w:pPr>
      <w:r>
        <w:rPr>
          <w:b/>
          <w:sz w:val="36"/>
        </w:rPr>
        <w:t>第三章 投标人须知</w:t>
      </w:r>
    </w:p>
    <w:p w14:paraId="0CADEA06">
      <w:pPr>
        <w:pStyle w:val="6"/>
        <w:ind w:firstLine="480"/>
        <w:jc w:val="both"/>
        <w:outlineLvl w:val="2"/>
      </w:pPr>
      <w:r>
        <w:rPr>
          <w:b/>
          <w:sz w:val="28"/>
        </w:rPr>
        <w:t>一、总则</w:t>
      </w:r>
    </w:p>
    <w:p w14:paraId="742D0D63">
      <w:pPr>
        <w:pStyle w:val="6"/>
        <w:ind w:firstLine="480"/>
        <w:jc w:val="both"/>
      </w:pPr>
      <w:r>
        <w:t>1、适用范围</w:t>
      </w:r>
    </w:p>
    <w:p w14:paraId="40718B24">
      <w:pPr>
        <w:pStyle w:val="6"/>
        <w:ind w:firstLine="480"/>
        <w:jc w:val="both"/>
      </w:pPr>
      <w:r>
        <w:t>1.1适用于招标文件载明项目的政府采购活动（以下简称：“本次采购活动”）。</w:t>
      </w:r>
    </w:p>
    <w:p w14:paraId="2D50C499">
      <w:pPr>
        <w:pStyle w:val="6"/>
        <w:ind w:firstLine="480"/>
        <w:jc w:val="both"/>
      </w:pPr>
      <w:r>
        <w:t>2、定义</w:t>
      </w:r>
    </w:p>
    <w:p w14:paraId="674B6B71">
      <w:pPr>
        <w:pStyle w:val="6"/>
        <w:ind w:firstLine="480"/>
        <w:jc w:val="both"/>
      </w:pPr>
      <w:r>
        <w:t>2.1“采购标的”指招标文件载明的需要采购的货物或服务。</w:t>
      </w:r>
    </w:p>
    <w:p w14:paraId="671B0CB8">
      <w:pPr>
        <w:pStyle w:val="6"/>
        <w:ind w:firstLine="480"/>
        <w:jc w:val="both"/>
      </w:pPr>
      <w:r>
        <w:t>2.2“潜在投标人”指按照招标文件第一章第7条规定获取招标文件且有意向参加本项目投标的供应商。</w:t>
      </w:r>
    </w:p>
    <w:p w14:paraId="4BBC738D">
      <w:pPr>
        <w:pStyle w:val="6"/>
        <w:ind w:firstLine="480"/>
        <w:jc w:val="both"/>
      </w:pPr>
      <w:r>
        <w:t>2.3“投标人”指按照招标文件第一章第7条规定获取招标文件并参加本项目投标的供应商。</w:t>
      </w:r>
    </w:p>
    <w:p w14:paraId="1EBE8DC9">
      <w:pPr>
        <w:pStyle w:val="6"/>
        <w:ind w:firstLine="480"/>
        <w:jc w:val="both"/>
      </w:pPr>
      <w:r>
        <w:t>2.4“单位负责人”指单位法定代表人或法律、法规规定代表单位行使职权的主要负责人。</w:t>
      </w:r>
    </w:p>
    <w:p w14:paraId="1DF35164">
      <w:pPr>
        <w:pStyle w:val="6"/>
        <w:ind w:firstLine="480"/>
        <w:jc w:val="both"/>
      </w:pPr>
      <w:r>
        <w:t>2.5“投标人代表”指投标人的单位负责人或“单位负责人授权书”中载明的接受授权方。</w:t>
      </w:r>
    </w:p>
    <w:p w14:paraId="3997D526">
      <w:pPr>
        <w:pStyle w:val="6"/>
        <w:ind w:firstLine="480"/>
        <w:jc w:val="both"/>
        <w:outlineLvl w:val="2"/>
      </w:pPr>
      <w:r>
        <w:rPr>
          <w:b/>
          <w:sz w:val="28"/>
        </w:rPr>
        <w:t>二、投标人</w:t>
      </w:r>
    </w:p>
    <w:p w14:paraId="01F321C7">
      <w:pPr>
        <w:pStyle w:val="6"/>
        <w:ind w:firstLine="480"/>
        <w:jc w:val="both"/>
      </w:pPr>
      <w:r>
        <w:t>3、合格投标人</w:t>
      </w:r>
    </w:p>
    <w:p w14:paraId="155D0677">
      <w:pPr>
        <w:pStyle w:val="6"/>
        <w:ind w:firstLine="480"/>
        <w:jc w:val="both"/>
      </w:pPr>
      <w:r>
        <w:t>3.1一般规定</w:t>
      </w:r>
    </w:p>
    <w:p w14:paraId="16B5AD03">
      <w:pPr>
        <w:pStyle w:val="6"/>
        <w:ind w:firstLine="480"/>
        <w:jc w:val="both"/>
      </w:pPr>
      <w: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 》中关于“劳动和社会保障权益”的有关要求以及其他有关法律、法规和规章的强制性规定。</w:t>
      </w:r>
    </w:p>
    <w:p w14:paraId="6B4D2946">
      <w:pPr>
        <w:pStyle w:val="6"/>
        <w:ind w:firstLine="480"/>
        <w:jc w:val="both"/>
      </w:pPr>
      <w:r>
        <w:t>（2）投标人的资格要求：详见招标文件第一章。</w:t>
      </w:r>
    </w:p>
    <w:p w14:paraId="7B279CD3">
      <w:pPr>
        <w:pStyle w:val="6"/>
        <w:ind w:firstLine="480"/>
        <w:jc w:val="both"/>
      </w:pPr>
      <w:r>
        <w:t>3.2若本项目接受联合体投标且投标人为联合体，则联合体各方应遵守本章第3.1条规定，同时还应遵守下列规定：</w:t>
      </w:r>
    </w:p>
    <w:p w14:paraId="70D73719">
      <w:pPr>
        <w:pStyle w:val="6"/>
        <w:ind w:firstLine="480"/>
        <w:jc w:val="both"/>
      </w:pPr>
      <w:r>
        <w:t>（1）联合体各方应提交联合体协议，联合体协议应符合招标文件规定。</w:t>
      </w:r>
    </w:p>
    <w:p w14:paraId="64EC90BC">
      <w:pPr>
        <w:pStyle w:val="6"/>
        <w:ind w:firstLine="480"/>
        <w:jc w:val="both"/>
      </w:pPr>
      <w:r>
        <w:t>（2）联合体各方不得再单独参加或与其他供应商另外组成联合体参加同一合同项下的投标。</w:t>
      </w:r>
    </w:p>
    <w:p w14:paraId="0152D9B3">
      <w:pPr>
        <w:pStyle w:val="6"/>
        <w:ind w:firstLine="480"/>
        <w:jc w:val="both"/>
      </w:pPr>
      <w:r>
        <w:t>（3）联合体各方应共同与采购人签订政府采购合同，就政府采购合同约定的事项对采购人承担连带责任。</w:t>
      </w:r>
    </w:p>
    <w:p w14:paraId="561FA3D0">
      <w:pPr>
        <w:pStyle w:val="6"/>
        <w:ind w:firstLine="480"/>
        <w:jc w:val="both"/>
      </w:pPr>
      <w: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4D0EE4EA">
      <w:pPr>
        <w:pStyle w:val="6"/>
        <w:ind w:firstLine="480"/>
        <w:jc w:val="both"/>
      </w:pPr>
      <w:r>
        <w:t>（5）联合体一方放弃中标的，视为联合体整体放弃中标，联合体各方承担连带责任。</w:t>
      </w:r>
    </w:p>
    <w:p w14:paraId="3A457555">
      <w:pPr>
        <w:pStyle w:val="6"/>
        <w:ind w:firstLine="480"/>
        <w:jc w:val="both"/>
      </w:pPr>
      <w:r>
        <w:t>（6）如本项目不接受联合体投标而投标人为联合体的，或者本项目接受联合体投标但投标人组成的联合体不符合本章第3.2条规定的，投标无效。</w:t>
      </w:r>
    </w:p>
    <w:p w14:paraId="065BC094">
      <w:pPr>
        <w:pStyle w:val="6"/>
        <w:ind w:firstLine="480"/>
        <w:jc w:val="both"/>
      </w:pPr>
      <w:r>
        <w:t>4、投标费用</w:t>
      </w:r>
    </w:p>
    <w:p w14:paraId="58419B34">
      <w:pPr>
        <w:pStyle w:val="6"/>
        <w:ind w:firstLine="480"/>
        <w:jc w:val="both"/>
      </w:pPr>
      <w:r>
        <w:t>4.1除招标文件另有规定外，投标人应自行承担其参加本项目投标所涉及的一切费用。</w:t>
      </w:r>
    </w:p>
    <w:p w14:paraId="1EB89110">
      <w:pPr>
        <w:pStyle w:val="6"/>
        <w:ind w:firstLine="480"/>
        <w:jc w:val="both"/>
        <w:outlineLvl w:val="2"/>
      </w:pPr>
      <w:r>
        <w:rPr>
          <w:b/>
          <w:sz w:val="28"/>
        </w:rPr>
        <w:t>三、招标</w:t>
      </w:r>
    </w:p>
    <w:p w14:paraId="19DCB91E">
      <w:pPr>
        <w:pStyle w:val="6"/>
        <w:ind w:firstLine="480"/>
        <w:jc w:val="both"/>
      </w:pPr>
      <w:r>
        <w:t>5、招标文件</w:t>
      </w:r>
    </w:p>
    <w:p w14:paraId="56D195E3">
      <w:pPr>
        <w:pStyle w:val="6"/>
        <w:ind w:firstLine="480"/>
        <w:jc w:val="both"/>
      </w:pPr>
      <w:r>
        <w:t>5.1招标文件由下述部分组成：</w:t>
      </w:r>
    </w:p>
    <w:p w14:paraId="3237FB94">
      <w:pPr>
        <w:pStyle w:val="6"/>
        <w:ind w:firstLine="480"/>
        <w:jc w:val="both"/>
      </w:pPr>
      <w:r>
        <w:t>（1）投标邀请</w:t>
      </w:r>
    </w:p>
    <w:p w14:paraId="50B01015">
      <w:pPr>
        <w:pStyle w:val="6"/>
        <w:ind w:firstLine="480"/>
        <w:jc w:val="both"/>
      </w:pPr>
      <w:r>
        <w:t>（2）投标人须知前附表（表1、2）</w:t>
      </w:r>
    </w:p>
    <w:p w14:paraId="439EC47B">
      <w:pPr>
        <w:pStyle w:val="6"/>
        <w:ind w:firstLine="480"/>
        <w:jc w:val="both"/>
      </w:pPr>
      <w:r>
        <w:t>（3）投标人须知</w:t>
      </w:r>
    </w:p>
    <w:p w14:paraId="19A17B3E">
      <w:pPr>
        <w:pStyle w:val="6"/>
        <w:ind w:firstLine="480"/>
        <w:jc w:val="both"/>
      </w:pPr>
      <w:r>
        <w:t>（4）资格审查与评标</w:t>
      </w:r>
    </w:p>
    <w:p w14:paraId="29C47BB1">
      <w:pPr>
        <w:pStyle w:val="6"/>
        <w:ind w:firstLine="480"/>
        <w:jc w:val="both"/>
      </w:pPr>
      <w:r>
        <w:t>（5）招标内容及要求</w:t>
      </w:r>
    </w:p>
    <w:p w14:paraId="4F561BCF">
      <w:pPr>
        <w:pStyle w:val="6"/>
        <w:ind w:firstLine="480"/>
        <w:jc w:val="both"/>
      </w:pPr>
      <w:r>
        <w:t>（6）政府采购合同（参考文本）</w:t>
      </w:r>
    </w:p>
    <w:p w14:paraId="30FB5AC1">
      <w:pPr>
        <w:pStyle w:val="6"/>
        <w:ind w:firstLine="480"/>
        <w:jc w:val="both"/>
      </w:pPr>
      <w:r>
        <w:t>（7）电子投标文件格式</w:t>
      </w:r>
    </w:p>
    <w:p w14:paraId="3F14CCB1">
      <w:pPr>
        <w:pStyle w:val="6"/>
        <w:ind w:firstLine="480"/>
        <w:jc w:val="both"/>
      </w:pPr>
      <w:r>
        <w:t>（8）按照招标文件规定作为招标文件组成部分的其他内容（若有）</w:t>
      </w:r>
    </w:p>
    <w:p w14:paraId="3737B04D">
      <w:pPr>
        <w:pStyle w:val="6"/>
        <w:ind w:firstLine="480"/>
        <w:jc w:val="both"/>
      </w:pPr>
      <w:r>
        <w:t>5.2招标文件的澄清或修改</w:t>
      </w:r>
    </w:p>
    <w:p w14:paraId="1813CBA8">
      <w:pPr>
        <w:pStyle w:val="6"/>
        <w:ind w:firstLine="480"/>
        <w:jc w:val="both"/>
      </w:pPr>
      <w:r>
        <w:t>（1） 福建省天海招标有限公司 可对已发出的招标文件进行必要的澄清或修改，但不得对招标文件载明的采购标的和投标人的资格要求进行改变。</w:t>
      </w:r>
    </w:p>
    <w:p w14:paraId="64969AA2">
      <w:pPr>
        <w:pStyle w:val="6"/>
        <w:ind w:firstLine="480"/>
        <w:jc w:val="both"/>
      </w:pPr>
      <w:r>
        <w:t>（2）除本章第5.2条第（3）款规定情形外，澄清或修改的内容可能影响电子投标文件编制的， 福建省天海招标有限公司 将在投标截止时间至少15个日历日前，在招标文件载明的指定媒体以更正公告的形式发布澄清或修改的内容。不足15个日历日的， 福建省天海招标有限公司 将顺延投标截止时间及开标时间， 福建省天海招标有限公司 和投标人受原投标截止时间及开标时间制约的所有权利和义务均延长至新的投标截止时间及开标时间。</w:t>
      </w:r>
    </w:p>
    <w:p w14:paraId="250A05E4">
      <w:pPr>
        <w:pStyle w:val="6"/>
        <w:ind w:firstLine="480"/>
        <w:jc w:val="both"/>
      </w:pPr>
      <w:r>
        <w:t>（3）澄清或修改的内容可能改变招标文件载明的采购标的和投标人的资格要求的，本次采购活动结束， 福建省天海招标有限公司 将依法组织后续采购活动（包括但不限于：重新招标、采用其他方式采购等）。</w:t>
      </w:r>
    </w:p>
    <w:p w14:paraId="3527FA2B">
      <w:pPr>
        <w:pStyle w:val="6"/>
        <w:ind w:firstLine="480"/>
        <w:jc w:val="both"/>
      </w:pPr>
      <w:r>
        <w:t>6、现场考察或开标前答疑会</w:t>
      </w:r>
    </w:p>
    <w:p w14:paraId="3571C8A3">
      <w:pPr>
        <w:pStyle w:val="6"/>
        <w:ind w:firstLine="480"/>
        <w:jc w:val="both"/>
      </w:pPr>
      <w:r>
        <w:t>6.1是否组织现场考察或召开开标前答疑会：详见招标文件第二章。</w:t>
      </w:r>
    </w:p>
    <w:p w14:paraId="0D6007A1">
      <w:pPr>
        <w:pStyle w:val="6"/>
        <w:ind w:firstLine="480"/>
        <w:jc w:val="both"/>
      </w:pPr>
      <w:r>
        <w:t>7、更正公告</w:t>
      </w:r>
    </w:p>
    <w:p w14:paraId="2CA2D483">
      <w:pPr>
        <w:pStyle w:val="6"/>
        <w:ind w:firstLine="480"/>
        <w:jc w:val="both"/>
      </w:pPr>
      <w:r>
        <w:t>7.1若 福建省天海招标有限公司 发布更正公告，则更正公告及其所发布的内容或信息（包括但不限于：招标文件的澄清或修改、现场考察或答疑会的有关事宜等）作为招标文件组成部分，对投标人具有约束力。</w:t>
      </w:r>
    </w:p>
    <w:p w14:paraId="07A6F603">
      <w:pPr>
        <w:pStyle w:val="6"/>
        <w:ind w:firstLine="480"/>
        <w:jc w:val="both"/>
      </w:pPr>
      <w:r>
        <w:t>7.2更正公告作为 福建省天海招标有限公司 通知所有潜在投标人的书面形式。</w:t>
      </w:r>
    </w:p>
    <w:p w14:paraId="3D51047F">
      <w:pPr>
        <w:pStyle w:val="6"/>
        <w:ind w:firstLine="480"/>
        <w:jc w:val="both"/>
      </w:pPr>
      <w:r>
        <w:t>8、终止公告</w:t>
      </w:r>
    </w:p>
    <w:p w14:paraId="34663B3D">
      <w:pPr>
        <w:pStyle w:val="6"/>
        <w:ind w:firstLine="480"/>
        <w:jc w:val="both"/>
      </w:pPr>
      <w:r>
        <w:t>8.1若出现因重大变故导致采购任务取消情形， 福建省天海招标有限公司 可终止招标并发布终止公告。</w:t>
      </w:r>
    </w:p>
    <w:p w14:paraId="3147E0AC">
      <w:pPr>
        <w:pStyle w:val="6"/>
        <w:ind w:firstLine="480"/>
        <w:jc w:val="both"/>
      </w:pPr>
      <w:r>
        <w:t>8.2终止公告作为 福建省天海招标有限公司 通知所有潜在投标人的书面形式。</w:t>
      </w:r>
    </w:p>
    <w:p w14:paraId="4C0C52BB">
      <w:pPr>
        <w:pStyle w:val="6"/>
        <w:ind w:firstLine="480"/>
        <w:jc w:val="both"/>
        <w:outlineLvl w:val="2"/>
      </w:pPr>
      <w:r>
        <w:rPr>
          <w:b/>
          <w:sz w:val="28"/>
        </w:rPr>
        <w:t>四、投标</w:t>
      </w:r>
    </w:p>
    <w:p w14:paraId="089149D6">
      <w:pPr>
        <w:pStyle w:val="6"/>
        <w:ind w:firstLine="480"/>
        <w:jc w:val="both"/>
      </w:pPr>
      <w:r>
        <w:t>9、投标</w:t>
      </w:r>
    </w:p>
    <w:p w14:paraId="419A3DE2">
      <w:pPr>
        <w:pStyle w:val="6"/>
        <w:ind w:firstLine="480"/>
        <w:jc w:val="both"/>
      </w:pPr>
      <w:r>
        <w:t>9.1投标人可对招标文件载明的全部或部分采购包进行投标。</w:t>
      </w:r>
    </w:p>
    <w:p w14:paraId="45722E8F">
      <w:pPr>
        <w:pStyle w:val="6"/>
        <w:ind w:firstLine="480"/>
        <w:jc w:val="both"/>
      </w:pPr>
      <w:r>
        <w:t>9.2投标人应对同一个采购包内的所有内容进行完整投标，否则投标无效。</w:t>
      </w:r>
    </w:p>
    <w:p w14:paraId="1FACB027">
      <w:pPr>
        <w:pStyle w:val="6"/>
        <w:ind w:firstLine="480"/>
        <w:jc w:val="both"/>
      </w:pPr>
      <w:r>
        <w:t>9.3投标人代表只能接受一个投标人的授权参加投标，否则投标无效。</w:t>
      </w:r>
    </w:p>
    <w:p w14:paraId="4EDD7D98">
      <w:pPr>
        <w:pStyle w:val="6"/>
        <w:ind w:firstLine="480"/>
        <w:jc w:val="both"/>
      </w:pPr>
      <w:r>
        <w:t>9.4单位负责人为同一人或存在直接控股、管理关系的不同供应商，不得同时参加同一合同项下的投标，否则投标无效。</w:t>
      </w:r>
    </w:p>
    <w:p w14:paraId="4DECE96C">
      <w:pPr>
        <w:pStyle w:val="6"/>
        <w:ind w:firstLine="480"/>
        <w:jc w:val="both"/>
      </w:pPr>
      <w:r>
        <w:t>9.5为本项目提供整体设计、规范编制或项目管理、监理、检测等服务的供应商，不得参加本项目除整体设计、规范编制和项目管理、监理、检测等服务外的采购活动，否则投标无效。</w:t>
      </w:r>
    </w:p>
    <w:p w14:paraId="5AB0EA04">
      <w:pPr>
        <w:pStyle w:val="6"/>
        <w:ind w:firstLine="480"/>
        <w:jc w:val="both"/>
      </w:pPr>
      <w:r>
        <w:t>9.6列入失信被执行人、重大税收违法案件当事人名单、政府采购严重违法失信行为记录名单及其他不符合政府采购法第二十二条规定条件的供应商，不得参加投标，否则投标无效。</w:t>
      </w:r>
    </w:p>
    <w:p w14:paraId="5056B9AB">
      <w:pPr>
        <w:pStyle w:val="6"/>
        <w:ind w:firstLine="480"/>
        <w:jc w:val="both"/>
      </w:pPr>
      <w:r>
        <w:t>9.7有下列情形之一的，视为投标人串通投标，其投标无效：</w:t>
      </w:r>
    </w:p>
    <w:p w14:paraId="34C5D25C">
      <w:pPr>
        <w:pStyle w:val="6"/>
        <w:ind w:firstLine="480"/>
        <w:jc w:val="both"/>
      </w:pPr>
      <w:r>
        <w:t>（1）不同投标人的电子投标文件由同一单位或个人编制；</w:t>
      </w:r>
    </w:p>
    <w:p w14:paraId="267334D3">
      <w:pPr>
        <w:pStyle w:val="6"/>
        <w:ind w:firstLine="480"/>
        <w:jc w:val="both"/>
      </w:pPr>
      <w:r>
        <w:t>（2）不同投标人委托同一单位或个人办理投标事宜；</w:t>
      </w:r>
    </w:p>
    <w:p w14:paraId="526373AC">
      <w:pPr>
        <w:pStyle w:val="6"/>
        <w:ind w:firstLine="480"/>
        <w:jc w:val="both"/>
      </w:pPr>
      <w:r>
        <w:t>（3）不同投标人的电子投标文件载明的项目管理成员或联系人员为同一人；</w:t>
      </w:r>
    </w:p>
    <w:p w14:paraId="0432CABD">
      <w:pPr>
        <w:pStyle w:val="6"/>
        <w:ind w:firstLine="480"/>
        <w:jc w:val="both"/>
      </w:pPr>
      <w:r>
        <w:t>（4）不同投标人的电子投标文件异常一致或投标报价呈规律性差异；</w:t>
      </w:r>
    </w:p>
    <w:p w14:paraId="4B4AF5B9">
      <w:pPr>
        <w:pStyle w:val="6"/>
        <w:ind w:firstLine="480"/>
        <w:jc w:val="both"/>
      </w:pPr>
      <w:r>
        <w:t>（5）不同投标人的电子投标文件相互混装；</w:t>
      </w:r>
    </w:p>
    <w:p w14:paraId="3A3B8D3A">
      <w:pPr>
        <w:pStyle w:val="6"/>
        <w:ind w:firstLine="480"/>
        <w:jc w:val="both"/>
      </w:pPr>
      <w:r>
        <w:t>（6）不同投标人的投标保证金从同一单位或个人的账户转出；</w:t>
      </w:r>
    </w:p>
    <w:p w14:paraId="0468E4DB">
      <w:pPr>
        <w:pStyle w:val="6"/>
        <w:ind w:firstLine="480"/>
        <w:jc w:val="both"/>
      </w:pPr>
      <w:r>
        <w:t>（7）有关法律、法规和规章及招标文件规定的其他串通投标情形。</w:t>
      </w:r>
    </w:p>
    <w:p w14:paraId="7DB95961">
      <w:pPr>
        <w:pStyle w:val="6"/>
        <w:ind w:firstLine="480"/>
        <w:jc w:val="both"/>
      </w:pPr>
      <w:r>
        <w:t>10、电子投标文件</w:t>
      </w:r>
    </w:p>
    <w:p w14:paraId="752B242B">
      <w:pPr>
        <w:pStyle w:val="6"/>
        <w:ind w:firstLine="480"/>
        <w:jc w:val="both"/>
      </w:pPr>
      <w:r>
        <w:t>10.1电子投标文件的编制</w:t>
      </w:r>
    </w:p>
    <w:p w14:paraId="53AEB6E1">
      <w:pPr>
        <w:pStyle w:val="6"/>
        <w:ind w:firstLine="480"/>
        <w:jc w:val="both"/>
      </w:pPr>
      <w:r>
        <w:t>（1）投标人应先仔细阅读招标文件的全部内容后，再进行电子投标文件的编制。</w:t>
      </w:r>
    </w:p>
    <w:p w14:paraId="365DE267">
      <w:pPr>
        <w:pStyle w:val="6"/>
        <w:ind w:firstLine="480"/>
        <w:jc w:val="both"/>
      </w:pPr>
      <w:r>
        <w:t>（2）电子投标文件应按照本章第10.2条规定编制其组成部分。</w:t>
      </w:r>
    </w:p>
    <w:p w14:paraId="5F58D855">
      <w:pPr>
        <w:pStyle w:val="6"/>
        <w:ind w:firstLine="480"/>
        <w:jc w:val="both"/>
      </w:pPr>
      <w:r>
        <w:t>（3）电子投标文件应满足招标文件提出的实质性要求和条件，并保证其所提交的全部资料是不可割离且真实、有效、准确、完整和不具有任何误导性的，否则造成不利后果由投标人承担责任。</w:t>
      </w:r>
    </w:p>
    <w:p w14:paraId="5936147C">
      <w:pPr>
        <w:pStyle w:val="6"/>
        <w:ind w:firstLine="480"/>
        <w:jc w:val="both"/>
      </w:pPr>
      <w:r>
        <w:t>10.2电子投标文件由下述部分组成：</w:t>
      </w:r>
    </w:p>
    <w:p w14:paraId="3E76E77F">
      <w:pPr>
        <w:pStyle w:val="6"/>
        <w:ind w:firstLine="480"/>
        <w:jc w:val="both"/>
      </w:pPr>
      <w:r>
        <w:t>（1）资格及资信证明部分</w:t>
      </w:r>
    </w:p>
    <w:p w14:paraId="340482F0">
      <w:pPr>
        <w:pStyle w:val="6"/>
        <w:ind w:firstLine="480"/>
        <w:jc w:val="both"/>
      </w:pPr>
      <w:r>
        <w:t>①投标函</w:t>
      </w:r>
    </w:p>
    <w:p w14:paraId="5BD2406F">
      <w:pPr>
        <w:pStyle w:val="6"/>
        <w:ind w:firstLine="480"/>
        <w:jc w:val="both"/>
      </w:pPr>
      <w:r>
        <w:t>②投标人的资格及资信证明文件</w:t>
      </w:r>
    </w:p>
    <w:p w14:paraId="7320D2B5">
      <w:pPr>
        <w:pStyle w:val="6"/>
        <w:ind w:firstLine="480"/>
        <w:jc w:val="both"/>
      </w:pPr>
      <w:r>
        <w:t>③投标保证金</w:t>
      </w:r>
    </w:p>
    <w:p w14:paraId="55F55378">
      <w:pPr>
        <w:pStyle w:val="6"/>
        <w:ind w:firstLine="480"/>
        <w:jc w:val="both"/>
      </w:pPr>
      <w:r>
        <w:t>（2）报价部分</w:t>
      </w:r>
    </w:p>
    <w:p w14:paraId="004371CE">
      <w:pPr>
        <w:pStyle w:val="6"/>
        <w:ind w:firstLine="480"/>
        <w:jc w:val="both"/>
      </w:pPr>
      <w:r>
        <w:t>①开标（报价）一览表</w:t>
      </w:r>
    </w:p>
    <w:p w14:paraId="712C888D">
      <w:pPr>
        <w:pStyle w:val="6"/>
        <w:ind w:firstLine="480"/>
        <w:jc w:val="both"/>
      </w:pPr>
      <w:r>
        <w:t>②投标（响应）报价明细表</w:t>
      </w:r>
    </w:p>
    <w:p w14:paraId="216B5DE8">
      <w:pPr>
        <w:pStyle w:val="6"/>
        <w:ind w:firstLine="480"/>
        <w:jc w:val="both"/>
      </w:pPr>
      <w:r>
        <w:t>③招标文件规定的价格扣除证明材料（若有）</w:t>
      </w:r>
    </w:p>
    <w:p w14:paraId="160765C9">
      <w:pPr>
        <w:pStyle w:val="6"/>
        <w:ind w:firstLine="480"/>
        <w:jc w:val="both"/>
      </w:pPr>
      <w:r>
        <w:t>④招标文件规定的加分证明材料（若有）</w:t>
      </w:r>
    </w:p>
    <w:p w14:paraId="55646EC5">
      <w:pPr>
        <w:pStyle w:val="6"/>
        <w:ind w:firstLine="480"/>
        <w:jc w:val="both"/>
      </w:pPr>
      <w:r>
        <w:t>（3）技术商务部分</w:t>
      </w:r>
    </w:p>
    <w:p w14:paraId="0E40B1C5">
      <w:pPr>
        <w:pStyle w:val="6"/>
        <w:ind w:firstLine="480"/>
        <w:jc w:val="both"/>
      </w:pPr>
      <w:r>
        <w:t>①标的说明一览表</w:t>
      </w:r>
    </w:p>
    <w:p w14:paraId="5AFD1EC0">
      <w:pPr>
        <w:pStyle w:val="6"/>
        <w:ind w:firstLine="480"/>
        <w:jc w:val="both"/>
      </w:pPr>
      <w:r>
        <w:t>②技术和服务要求响应表</w:t>
      </w:r>
    </w:p>
    <w:p w14:paraId="764F595D">
      <w:pPr>
        <w:pStyle w:val="6"/>
        <w:ind w:firstLine="480"/>
        <w:jc w:val="both"/>
      </w:pPr>
      <w:r>
        <w:t>③商务条件响应表</w:t>
      </w:r>
    </w:p>
    <w:p w14:paraId="2587E79F">
      <w:pPr>
        <w:pStyle w:val="6"/>
        <w:ind w:firstLine="480"/>
        <w:jc w:val="both"/>
      </w:pPr>
      <w:r>
        <w:t>④投标人提交的其他资料（若有）</w:t>
      </w:r>
    </w:p>
    <w:p w14:paraId="09C4EC2B">
      <w:pPr>
        <w:pStyle w:val="6"/>
        <w:ind w:firstLine="480"/>
        <w:jc w:val="both"/>
      </w:pPr>
      <w:r>
        <w:t>⑤招标文件规定作为电子投标文件组成部分的其他内容（若有）</w:t>
      </w:r>
    </w:p>
    <w:p w14:paraId="587A5ECA">
      <w:pPr>
        <w:pStyle w:val="6"/>
        <w:ind w:firstLine="480"/>
        <w:jc w:val="both"/>
      </w:pPr>
      <w:r>
        <w:t>10.3电子投标文件的语言</w:t>
      </w:r>
    </w:p>
    <w:p w14:paraId="076A7DCA">
      <w:pPr>
        <w:pStyle w:val="6"/>
        <w:ind w:firstLine="480"/>
        <w:jc w:val="both"/>
      </w:pPr>
      <w:r>
        <w:t>（1）除招标文件另有规定外，电子投标文件应使用中文文本，若有不同文本，以中文文本为准。</w:t>
      </w:r>
    </w:p>
    <w:p w14:paraId="3EA183F3">
      <w:pPr>
        <w:pStyle w:val="6"/>
        <w:ind w:firstLine="480"/>
        <w:jc w:val="both"/>
      </w:pPr>
      <w: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69B4A8EF">
      <w:pPr>
        <w:pStyle w:val="6"/>
        <w:ind w:firstLine="480"/>
        <w:jc w:val="both"/>
      </w:pPr>
      <w:r>
        <w:t>10.4投标文件的份数：详见招标文件第二章。</w:t>
      </w:r>
    </w:p>
    <w:p w14:paraId="41001BB2">
      <w:pPr>
        <w:pStyle w:val="6"/>
        <w:ind w:firstLine="480"/>
        <w:jc w:val="both"/>
      </w:pPr>
      <w:r>
        <w:t>10.5电子投标文件的格式</w:t>
      </w:r>
    </w:p>
    <w:p w14:paraId="2236D4ED">
      <w:pPr>
        <w:pStyle w:val="6"/>
        <w:ind w:firstLine="480"/>
        <w:jc w:val="both"/>
      </w:pPr>
      <w:r>
        <w:t>（1）除招标文件另有规定外，电子投标文件应使用招标文件第七章规定的格式。</w:t>
      </w:r>
    </w:p>
    <w:p w14:paraId="5E71A5FE">
      <w:pPr>
        <w:pStyle w:val="6"/>
        <w:ind w:firstLine="480"/>
        <w:jc w:val="both"/>
      </w:pPr>
      <w:r>
        <w:t>（2）除招标文件另有规定外，电子投标文件应使用不能擦去的墨料或墨水打印、书写或复印。</w:t>
      </w:r>
    </w:p>
    <w:p w14:paraId="57B4A005">
      <w:pPr>
        <w:pStyle w:val="6"/>
        <w:ind w:firstLine="480"/>
        <w:jc w:val="both"/>
      </w:pPr>
      <w:r>
        <w:t>（3）除招标文件另有规定外，电子投标文件应使用人民币作为计量货币。</w:t>
      </w:r>
    </w:p>
    <w:p w14:paraId="2E13E66C">
      <w:pPr>
        <w:pStyle w:val="6"/>
        <w:ind w:firstLine="480"/>
        <w:jc w:val="both"/>
      </w:pPr>
      <w:r>
        <w:t>（4）除招标文件另有规定外，签署、盖章应遵守下列规定：</w:t>
      </w:r>
    </w:p>
    <w:p w14:paraId="6483031E">
      <w:pPr>
        <w:pStyle w:val="6"/>
        <w:ind w:firstLine="480"/>
        <w:jc w:val="both"/>
      </w:pPr>
      <w:r>
        <w:t>①电子投标文件应加盖投标人的单位公章。若投标人代表为单位授权的委托代理人，应提供“单位授权书”。</w:t>
      </w:r>
    </w:p>
    <w:p w14:paraId="61887DA4">
      <w:pPr>
        <w:pStyle w:val="6"/>
        <w:ind w:firstLine="480"/>
        <w:jc w:val="both"/>
      </w:pPr>
      <w:r>
        <w:t>②电子投标文件应没有涂改或行间插字，除非这些改动是根据 福建省天海招标有限公司 的指示进行的，或是为改正投标人造成的应修改的错误而进行的。若有前述改动，应按照下列规定之一对改动处进行处理：</w:t>
      </w:r>
    </w:p>
    <w:p w14:paraId="1095ED1E">
      <w:pPr>
        <w:pStyle w:val="6"/>
        <w:ind w:firstLine="480"/>
        <w:jc w:val="both"/>
      </w:pPr>
      <w:r>
        <w:t>a.投标人代表签字确认；</w:t>
      </w:r>
    </w:p>
    <w:p w14:paraId="24E71594">
      <w:pPr>
        <w:pStyle w:val="6"/>
        <w:ind w:firstLine="480"/>
        <w:jc w:val="both"/>
      </w:pPr>
      <w:r>
        <w:t>b.加盖投标人的单位公章或校正章。</w:t>
      </w:r>
    </w:p>
    <w:p w14:paraId="7F954544">
      <w:pPr>
        <w:pStyle w:val="6"/>
        <w:ind w:firstLine="480"/>
        <w:jc w:val="both"/>
      </w:pPr>
      <w:r>
        <w:t>10.6投标报价</w:t>
      </w:r>
    </w:p>
    <w:p w14:paraId="084274B2">
      <w:pPr>
        <w:pStyle w:val="6"/>
        <w:ind w:firstLine="480"/>
        <w:jc w:val="both"/>
      </w:pPr>
      <w:r>
        <w:t>（1）投标报价超出最高限价将导致投标无效。</w:t>
      </w:r>
    </w:p>
    <w:p w14:paraId="5C6B13C0">
      <w:pPr>
        <w:pStyle w:val="6"/>
        <w:ind w:firstLine="480"/>
        <w:jc w:val="both"/>
      </w:pPr>
      <w:r>
        <w:t>（2）最高限价由采购人根据价格测算情况，在预算金额的额度内合理设定。最高限价不得超出预算金额。</w:t>
      </w:r>
    </w:p>
    <w:p w14:paraId="1C2B753A">
      <w:pPr>
        <w:pStyle w:val="6"/>
        <w:ind w:firstLine="480"/>
        <w:jc w:val="both"/>
      </w:pPr>
      <w:r>
        <w:t>（3）除招标文件另有规定外，电子投标文件不能出现任何选择性的投标报价，即每一个采购包和品目号的采购标的都只能有一个投标报价。任何选择性的投标报价将导致投标无效。</w:t>
      </w:r>
    </w:p>
    <w:p w14:paraId="360DAC9D">
      <w:pPr>
        <w:pStyle w:val="6"/>
        <w:ind w:firstLine="480"/>
        <w:jc w:val="both"/>
      </w:pPr>
      <w:r>
        <w:t>10.7分包</w:t>
      </w:r>
    </w:p>
    <w:p w14:paraId="35F4A55C">
      <w:pPr>
        <w:pStyle w:val="6"/>
        <w:ind w:firstLine="480"/>
        <w:jc w:val="both"/>
      </w:pPr>
      <w:r>
        <w:t>（1）是否允许中标人将本项目的非主体、非关键性工作进行分包：详见招标文件第二章。</w:t>
      </w:r>
    </w:p>
    <w:p w14:paraId="2E839D8C">
      <w:pPr>
        <w:pStyle w:val="6"/>
        <w:ind w:firstLine="480"/>
        <w:jc w:val="both"/>
      </w:pPr>
      <w: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14:paraId="3C1DF94C">
      <w:pPr>
        <w:pStyle w:val="6"/>
        <w:ind w:firstLine="480"/>
        <w:jc w:val="both"/>
      </w:pPr>
      <w:r>
        <w:t>（3）招标文件允许中标人将非主体、非关键性工作进行分包的项目，有下列情形之一的，中标人不得分包：</w:t>
      </w:r>
    </w:p>
    <w:p w14:paraId="570A8FF3">
      <w:pPr>
        <w:pStyle w:val="6"/>
        <w:ind w:firstLine="480"/>
        <w:jc w:val="both"/>
      </w:pPr>
      <w:r>
        <w:t>①电子投标文件中未载明分包承担主体；</w:t>
      </w:r>
    </w:p>
    <w:p w14:paraId="07FEFD85">
      <w:pPr>
        <w:pStyle w:val="6"/>
        <w:ind w:firstLine="480"/>
        <w:jc w:val="both"/>
      </w:pPr>
      <w:r>
        <w:t>②电子投标文件载明的分包承担主体不具备相应资质条件；</w:t>
      </w:r>
    </w:p>
    <w:p w14:paraId="461D7817">
      <w:pPr>
        <w:pStyle w:val="6"/>
        <w:ind w:firstLine="480"/>
        <w:jc w:val="both"/>
      </w:pPr>
      <w:r>
        <w:t>③电子投标文件载明的分包承担主体拟再次分包；</w:t>
      </w:r>
    </w:p>
    <w:p w14:paraId="75D528B8">
      <w:pPr>
        <w:pStyle w:val="6"/>
        <w:ind w:firstLine="480"/>
        <w:jc w:val="both"/>
      </w:pPr>
      <w:r>
        <w:t>④享受中小企业扶持政策获得政府采购合同的，小微企业不得将合同分包给大中型企业，中型企业不得将合同分包给大型企业。</w:t>
      </w:r>
    </w:p>
    <w:p w14:paraId="39EB2975">
      <w:pPr>
        <w:pStyle w:val="6"/>
        <w:ind w:firstLine="480"/>
        <w:jc w:val="both"/>
      </w:pPr>
      <w:r>
        <w:t>10.8投标有效期</w:t>
      </w:r>
    </w:p>
    <w:p w14:paraId="7A150239">
      <w:pPr>
        <w:pStyle w:val="6"/>
        <w:ind w:firstLine="480"/>
        <w:jc w:val="both"/>
      </w:pPr>
      <w:r>
        <w:t>（1）招标文件载明的投标有效期：详见招标文件第二章。</w:t>
      </w:r>
    </w:p>
    <w:p w14:paraId="742A334E">
      <w:pPr>
        <w:pStyle w:val="6"/>
        <w:ind w:firstLine="480"/>
        <w:jc w:val="both"/>
      </w:pPr>
      <w:r>
        <w:t>（2）电子投标文件承诺的投标有效期不得少于招标文件载明的投标有效期，否则投标无效。</w:t>
      </w:r>
    </w:p>
    <w:p w14:paraId="52CC29BE">
      <w:pPr>
        <w:pStyle w:val="6"/>
        <w:ind w:firstLine="480"/>
        <w:jc w:val="both"/>
      </w:pPr>
      <w:r>
        <w:t>（3）根据本次采购活动的需要， 福建省天海招标有限公司 可于投标有效期届满之前书面要求投标人延长投标有效期，投标人应在 福建省天海招标有限公司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14:paraId="31E558DB">
      <w:pPr>
        <w:pStyle w:val="6"/>
        <w:ind w:firstLine="480"/>
        <w:jc w:val="both"/>
      </w:pPr>
      <w:r>
        <w:t>10.9投标保证金</w:t>
      </w:r>
    </w:p>
    <w:p w14:paraId="691E2A02">
      <w:pPr>
        <w:pStyle w:val="6"/>
        <w:ind w:firstLine="480"/>
        <w:jc w:val="both"/>
      </w:pPr>
      <w:r>
        <w:t>（1）投标保证金作为投标人按照招标文件规定履行相应投标责任、义务的约束及担保。</w:t>
      </w:r>
    </w:p>
    <w:p w14:paraId="63C85F3E">
      <w:pPr>
        <w:pStyle w:val="6"/>
        <w:ind w:firstLine="480"/>
        <w:jc w:val="both"/>
      </w:pPr>
      <w:r>
        <w:t>（2）投标人以电子保函形式提交投标保证金的，保函的有效期应等于或长于电子投标文件承诺的投标有效期，否则投标无效。</w:t>
      </w:r>
    </w:p>
    <w:p w14:paraId="1CE6A356">
      <w:pPr>
        <w:pStyle w:val="6"/>
        <w:ind w:firstLine="480"/>
        <w:jc w:val="both"/>
      </w:pPr>
      <w:r>
        <w:t>（3）提交</w:t>
      </w:r>
    </w:p>
    <w:p w14:paraId="27398E8A">
      <w:pPr>
        <w:pStyle w:val="6"/>
        <w:ind w:firstLine="480"/>
        <w:jc w:val="both"/>
      </w:pPr>
      <w:r>
        <w:t>①投标人以汇款形式缴纳投标保证金的，应从其银行账户（基本存款账户）按照下列方式：公对公转账方式向招标文件载明的投标保证金账户提交投标保证金，具体金额详见招标文件第一章。</w:t>
      </w:r>
    </w:p>
    <w:p w14:paraId="0EEAE039">
      <w:pPr>
        <w:pStyle w:val="6"/>
        <w:ind w:firstLine="480"/>
        <w:jc w:val="both"/>
      </w:pPr>
      <w: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14:paraId="18C1CE59">
      <w:pPr>
        <w:pStyle w:val="6"/>
        <w:ind w:firstLine="480"/>
        <w:jc w:val="left"/>
      </w:pPr>
      <w:r>
        <w:t>③其他形式：</w:t>
      </w:r>
    </w:p>
    <w:p w14:paraId="666E0AF7">
      <w:pPr>
        <w:pStyle w:val="6"/>
        <w:jc w:val="left"/>
      </w:pPr>
      <w:r>
        <w:t>无</w:t>
      </w:r>
    </w:p>
    <w:p w14:paraId="3E316B9D">
      <w:pPr>
        <w:pStyle w:val="6"/>
        <w:ind w:firstLine="480"/>
        <w:jc w:val="both"/>
      </w:pPr>
      <w:r>
        <w:t>④若本项目接受联合体投标且投标人为联合体，则联合体中的牵头方应按照本章第10.9条第（3）款第①、②、③点规定提交投标保证金。</w:t>
      </w:r>
    </w:p>
    <w:p w14:paraId="3E531786">
      <w:pPr>
        <w:pStyle w:val="6"/>
        <w:ind w:firstLine="480"/>
        <w:jc w:val="both"/>
      </w:pPr>
      <w:r>
        <w:t>※除招标文件另有规定外，未按照上述规定提交投标保证金将导致资格审查不合格。</w:t>
      </w:r>
    </w:p>
    <w:p w14:paraId="33CD00BA">
      <w:pPr>
        <w:pStyle w:val="6"/>
        <w:ind w:firstLine="480"/>
        <w:jc w:val="both"/>
      </w:pPr>
      <w:r>
        <w:t>（4）退还</w:t>
      </w:r>
    </w:p>
    <w:p w14:paraId="132ABD13">
      <w:pPr>
        <w:pStyle w:val="6"/>
        <w:ind w:firstLine="480"/>
        <w:jc w:val="both"/>
      </w:pPr>
      <w:r>
        <w:t>①在投标截止时间前撤回已提交的电子投标文件的投标人，其投标保证金将在 福建省天海招标有限公司 收到投标人书面撤回通知之日起5个工作日内退回原账户。</w:t>
      </w:r>
    </w:p>
    <w:p w14:paraId="4B283C90">
      <w:pPr>
        <w:pStyle w:val="6"/>
        <w:ind w:firstLine="480"/>
        <w:jc w:val="both"/>
      </w:pPr>
      <w:r>
        <w:t>②未中标人的投标保证金将在中标通知书发出之日起5个工作日内退回原账户。</w:t>
      </w:r>
    </w:p>
    <w:p w14:paraId="6D30A503">
      <w:pPr>
        <w:pStyle w:val="6"/>
        <w:ind w:firstLine="480"/>
        <w:jc w:val="both"/>
      </w:pPr>
      <w:r>
        <w:t>③中标人的投标保证金将在政府采购合同签订之日起5个工作日内退回原账户；合同签订之日以福建省政府采购网上公开信息系统记载的为准。</w:t>
      </w:r>
    </w:p>
    <w:p w14:paraId="5D79A898">
      <w:pPr>
        <w:pStyle w:val="6"/>
        <w:ind w:firstLine="480"/>
        <w:jc w:val="both"/>
      </w:pPr>
      <w:r>
        <w:t>④终止招标的， 福建省天海招标有限公司 将在终止公告发布之日起5个工作日内退回已收取的投标保证金及其在银行产生的孳息。</w:t>
      </w:r>
    </w:p>
    <w:p w14:paraId="11EEA4BE">
      <w:pPr>
        <w:pStyle w:val="6"/>
        <w:ind w:firstLine="480"/>
        <w:jc w:val="both"/>
      </w:pPr>
      <w:r>
        <w:t>⑤除招标文件另有规定外，质疑或投诉涉及的投标人，若投标保证金尚未退还，则待质疑或投诉处理完毕后不计利息原额退还。</w:t>
      </w:r>
    </w:p>
    <w:p w14:paraId="6257AC8A">
      <w:pPr>
        <w:pStyle w:val="6"/>
        <w:ind w:firstLine="480"/>
        <w:jc w:val="both"/>
      </w:pPr>
      <w:r>
        <w:t>※本章第10.9条第（4）款第①、②、③点规定的投标保证金退还时限不包括因投标人自身原因导致无法及时退还而增加的时间。</w:t>
      </w:r>
    </w:p>
    <w:p w14:paraId="0E79186B">
      <w:pPr>
        <w:pStyle w:val="6"/>
        <w:ind w:firstLine="480"/>
        <w:jc w:val="both"/>
      </w:pPr>
      <w: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14:paraId="370E00F2">
      <w:pPr>
        <w:pStyle w:val="6"/>
        <w:ind w:firstLine="480"/>
        <w:jc w:val="both"/>
      </w:pPr>
      <w:r>
        <w:t>（6）有下列情形之一的，投标保证金将不予退还或通过投标保函进行索赔：</w:t>
      </w:r>
    </w:p>
    <w:p w14:paraId="38DDB2DB">
      <w:pPr>
        <w:pStyle w:val="6"/>
        <w:ind w:firstLine="480"/>
        <w:jc w:val="both"/>
      </w:pPr>
      <w:r>
        <w:t>①投标人串通投标；</w:t>
      </w:r>
    </w:p>
    <w:p w14:paraId="3BEBBD45">
      <w:pPr>
        <w:pStyle w:val="6"/>
        <w:ind w:firstLine="480"/>
        <w:jc w:val="both"/>
      </w:pPr>
      <w:r>
        <w:t>②投标人提供虚假材料；</w:t>
      </w:r>
    </w:p>
    <w:p w14:paraId="271C78C0">
      <w:pPr>
        <w:pStyle w:val="6"/>
        <w:ind w:firstLine="480"/>
        <w:jc w:val="both"/>
      </w:pPr>
      <w:r>
        <w:t>③投标人采取不正当手段诋毁、排挤其他投标人；</w:t>
      </w:r>
    </w:p>
    <w:p w14:paraId="27AA372E">
      <w:pPr>
        <w:pStyle w:val="6"/>
        <w:ind w:firstLine="480"/>
        <w:jc w:val="both"/>
      </w:pPr>
      <w:r>
        <w:t>④投标截止时间后，投标人在投标有效期内撤销电子投标文件；</w:t>
      </w:r>
    </w:p>
    <w:p w14:paraId="5C8234F6">
      <w:pPr>
        <w:pStyle w:val="6"/>
        <w:ind w:firstLine="480"/>
        <w:jc w:val="both"/>
      </w:pPr>
      <w:r>
        <w:t>⑤招标文件规定的其他不予退还情形；</w:t>
      </w:r>
    </w:p>
    <w:p w14:paraId="3D1557AA">
      <w:pPr>
        <w:pStyle w:val="6"/>
        <w:ind w:firstLine="480"/>
        <w:jc w:val="both"/>
      </w:pPr>
      <w:r>
        <w:t>⑥中标人有下列情形之一的：</w:t>
      </w:r>
    </w:p>
    <w:p w14:paraId="3CBE64B0">
      <w:pPr>
        <w:pStyle w:val="6"/>
        <w:ind w:firstLine="480"/>
        <w:jc w:val="both"/>
      </w:pPr>
      <w:r>
        <w:t>a.除不可抗力外，因中标人自身原因未在中标通知书要求的期限内与采购人签订政府采购合同；</w:t>
      </w:r>
    </w:p>
    <w:p w14:paraId="411D6844">
      <w:pPr>
        <w:pStyle w:val="6"/>
        <w:ind w:firstLine="480"/>
        <w:jc w:val="both"/>
      </w:pPr>
      <w:r>
        <w:t>b.未按照招标文件、投标文件的约定签订政府采购合同或提交履约保证金。</w:t>
      </w:r>
    </w:p>
    <w:p w14:paraId="78B794A3">
      <w:pPr>
        <w:pStyle w:val="6"/>
        <w:ind w:firstLine="480"/>
        <w:jc w:val="both"/>
      </w:pPr>
      <w:r>
        <w:t>※若上述投标保证金不予退还情形给采购人（采购代理机构）造成损失，则投标人还要承担相应的赔偿责任。</w:t>
      </w:r>
    </w:p>
    <w:p w14:paraId="3EA02C15">
      <w:pPr>
        <w:pStyle w:val="6"/>
        <w:ind w:firstLine="480"/>
        <w:jc w:val="both"/>
      </w:pPr>
      <w:r>
        <w:t>10.10电子投标文件的提交</w:t>
      </w:r>
    </w:p>
    <w:p w14:paraId="7C09F2AF">
      <w:pPr>
        <w:pStyle w:val="6"/>
        <w:ind w:firstLine="480"/>
        <w:jc w:val="both"/>
      </w:pPr>
      <w:r>
        <w:t>（1）一个投标人只能提交一个电子投标文件，并按照招标文件第一章规定在系统上完成上传、解密操作。</w:t>
      </w:r>
    </w:p>
    <w:p w14:paraId="0EEEDC00">
      <w:pPr>
        <w:pStyle w:val="6"/>
        <w:ind w:firstLine="480"/>
        <w:jc w:val="both"/>
      </w:pPr>
      <w:r>
        <w:t>10.11电子投标文件的补充、修改或撤回</w:t>
      </w:r>
    </w:p>
    <w:p w14:paraId="23318FCE">
      <w:pPr>
        <w:pStyle w:val="6"/>
        <w:ind w:firstLine="480"/>
        <w:jc w:val="both"/>
      </w:pPr>
      <w:r>
        <w:t>（1）投标截止时间前，投标人可对所提交的电子投标文件进行补充、修改或撤回，并书面通知 福建省天海招标有限公司 。</w:t>
      </w:r>
    </w:p>
    <w:p w14:paraId="122C9702">
      <w:pPr>
        <w:pStyle w:val="6"/>
        <w:ind w:firstLine="480"/>
        <w:jc w:val="both"/>
      </w:pPr>
      <w:r>
        <w:t>（2）补充、修改的内容应按照本章第10.5条第（4）款规定进行签署、盖章，并按照本章第10.10条规定提交，否则将被拒收。</w:t>
      </w:r>
    </w:p>
    <w:p w14:paraId="003E346B">
      <w:pPr>
        <w:pStyle w:val="6"/>
        <w:ind w:firstLine="480"/>
        <w:jc w:val="both"/>
      </w:pPr>
      <w:r>
        <w:t>※按照上述规定提交的补充、修改内容作为电子投标文件组成部分。</w:t>
      </w:r>
    </w:p>
    <w:p w14:paraId="75AE575E">
      <w:pPr>
        <w:pStyle w:val="6"/>
        <w:ind w:firstLine="480"/>
        <w:jc w:val="both"/>
      </w:pPr>
      <w:r>
        <w:t>10.12除招标文件另有规定外，有下列情形之一的，投标无效：</w:t>
      </w:r>
    </w:p>
    <w:p w14:paraId="1B3FD06E">
      <w:pPr>
        <w:pStyle w:val="6"/>
        <w:ind w:firstLine="480"/>
        <w:jc w:val="both"/>
      </w:pPr>
      <w:r>
        <w:t>（1）电子投标文件未按照招标文件要求签署、盖章；</w:t>
      </w:r>
    </w:p>
    <w:p w14:paraId="21274AA5">
      <w:pPr>
        <w:pStyle w:val="6"/>
        <w:ind w:firstLine="480"/>
        <w:jc w:val="both"/>
      </w:pPr>
      <w:r>
        <w:t>（2）不符合招标文件中规定的资格要求；</w:t>
      </w:r>
    </w:p>
    <w:p w14:paraId="54C3C20B">
      <w:pPr>
        <w:pStyle w:val="6"/>
        <w:ind w:firstLine="480"/>
        <w:jc w:val="both"/>
      </w:pPr>
      <w:r>
        <w:t>（3）投标报价超过招标文件中规定的预算金额或最高限价；</w:t>
      </w:r>
    </w:p>
    <w:p w14:paraId="30C369AB">
      <w:pPr>
        <w:pStyle w:val="6"/>
        <w:ind w:firstLine="480"/>
        <w:jc w:val="both"/>
      </w:pPr>
      <w:r>
        <w:t>（4）电子投标文件含有采购人不能接受的附加条件；</w:t>
      </w:r>
    </w:p>
    <w:p w14:paraId="37A983D5">
      <w:pPr>
        <w:pStyle w:val="6"/>
        <w:ind w:firstLine="480"/>
        <w:jc w:val="both"/>
      </w:pPr>
      <w:r>
        <w:t>（5）有关法律、法规和规章及招标文件规定的其他无效情形。</w:t>
      </w:r>
    </w:p>
    <w:p w14:paraId="0558BC4C">
      <w:pPr>
        <w:pStyle w:val="6"/>
        <w:jc w:val="both"/>
        <w:outlineLvl w:val="2"/>
      </w:pPr>
      <w:r>
        <w:rPr>
          <w:b/>
          <w:sz w:val="28"/>
        </w:rPr>
        <w:t>五、开标</w:t>
      </w:r>
    </w:p>
    <w:p w14:paraId="240C0CE9">
      <w:pPr>
        <w:pStyle w:val="6"/>
        <w:ind w:firstLine="480"/>
        <w:jc w:val="both"/>
      </w:pPr>
      <w:r>
        <w:t>11、开标</w:t>
      </w:r>
    </w:p>
    <w:p w14:paraId="00ED7749">
      <w:pPr>
        <w:pStyle w:val="6"/>
        <w:ind w:firstLine="480"/>
        <w:jc w:val="both"/>
      </w:pPr>
      <w:r>
        <w:t>11.1 福建省天海招标有限公司 将在招标文件载明的开标时间及地点主持召开开标会，并邀请投标人参加。</w:t>
      </w:r>
    </w:p>
    <w:p w14:paraId="641757D3">
      <w:pPr>
        <w:pStyle w:val="6"/>
        <w:ind w:firstLine="480"/>
        <w:jc w:val="both"/>
      </w:pPr>
      <w:r>
        <w:t>11.2开标会的主持人、唱标人、记录人及其他工作人员（若有）均由 福建省天海招标有限公司 派出，现场监督人员（若有）可由有关方面派出。</w:t>
      </w:r>
    </w:p>
    <w:p w14:paraId="2ED6630A">
      <w:pPr>
        <w:pStyle w:val="6"/>
        <w:ind w:firstLine="480"/>
        <w:jc w:val="both"/>
      </w:pPr>
      <w: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14:paraId="73074982">
      <w:pPr>
        <w:pStyle w:val="6"/>
        <w:ind w:firstLine="480"/>
        <w:jc w:val="both"/>
      </w:pPr>
      <w:r>
        <w:t>11.4开标会应遵守下列规定：</w:t>
      </w:r>
    </w:p>
    <w:p w14:paraId="0B31CA1A">
      <w:pPr>
        <w:pStyle w:val="6"/>
        <w:ind w:firstLine="480"/>
        <w:jc w:val="both"/>
      </w:pPr>
      <w: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14:paraId="5BDA6E96">
      <w:pPr>
        <w:pStyle w:val="6"/>
        <w:ind w:firstLine="480"/>
        <w:jc w:val="both"/>
      </w:pPr>
      <w:r>
        <w:t>（2）唱标时，唱标人将依次宣布“投标人名称”、“各投标人关于电子投标文件补充、修改或撤回的书面通知（若有）”、“各投标人的投标报价”和招标文件规定的需要宣布的其他内容（包括但不限于：开标（报价）一览表中的内容、唱标人认为需要宣布的内容等）。</w:t>
      </w:r>
    </w:p>
    <w:p w14:paraId="3E30CEB3">
      <w:pPr>
        <w:pStyle w:val="6"/>
        <w:ind w:firstLine="480"/>
        <w:jc w:val="both"/>
      </w:pPr>
      <w:r>
        <w:t>（3）唱标结束后，参加现场开标会的投标人代表应对开标记录进行签字确认，通过远程参与开标流程的投标人须在系统远程签章开启后，在系统规定时间内对开标结果进行签章确认。</w:t>
      </w:r>
    </w:p>
    <w:p w14:paraId="03EF8FDB">
      <w:pPr>
        <w:pStyle w:val="6"/>
        <w:ind w:firstLine="480"/>
        <w:jc w:val="both"/>
      </w:pPr>
      <w: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14:paraId="669BC6B5">
      <w:pPr>
        <w:pStyle w:val="6"/>
        <w:ind w:firstLine="480"/>
        <w:jc w:val="both"/>
      </w:pPr>
      <w:r>
        <w:t>（5）若投标人未到开标现场参加开标会，也未通过远程参加开标会的，视同认可开标结果。</w:t>
      </w:r>
    </w:p>
    <w:p w14:paraId="3D42A7FE">
      <w:pPr>
        <w:pStyle w:val="6"/>
        <w:ind w:firstLine="480"/>
        <w:jc w:val="both"/>
      </w:pPr>
      <w:r>
        <w:t>※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 福建省天海招标有限公司 提出任何疑义或要求（包括质疑）。</w:t>
      </w:r>
    </w:p>
    <w:p w14:paraId="7FBE6964">
      <w:pPr>
        <w:pStyle w:val="6"/>
        <w:ind w:firstLine="480"/>
        <w:jc w:val="both"/>
      </w:pPr>
      <w:r>
        <w:t>11.5投标截止时间后，参加投标的投标人不足三家的，不进行开标。同时，本次采购活动结束， 福建省天海招标有限公司 将依法组织后续采购活动（包括但不限于：重新招标、采用其他方式采购等）。</w:t>
      </w:r>
    </w:p>
    <w:p w14:paraId="7A2BF7AC">
      <w:pPr>
        <w:pStyle w:val="6"/>
        <w:ind w:firstLine="480"/>
        <w:jc w:val="both"/>
      </w:pPr>
      <w:r>
        <w:t>11.6投标截止时间后撤销投标的处理</w:t>
      </w:r>
    </w:p>
    <w:p w14:paraId="569B8B35">
      <w:pPr>
        <w:pStyle w:val="6"/>
        <w:ind w:firstLine="480"/>
        <w:jc w:val="both"/>
      </w:pPr>
      <w:r>
        <w:t>投标截止时间后，投标人在投标有效期内撤销投标的，其撤销投标的行为无效。</w:t>
      </w:r>
    </w:p>
    <w:p w14:paraId="3C841DAC">
      <w:pPr>
        <w:pStyle w:val="6"/>
        <w:jc w:val="both"/>
        <w:outlineLvl w:val="2"/>
      </w:pPr>
      <w:r>
        <w:rPr>
          <w:b/>
          <w:sz w:val="28"/>
        </w:rPr>
        <w:t>六、中标与政府采购合同</w:t>
      </w:r>
    </w:p>
    <w:p w14:paraId="36B68515">
      <w:pPr>
        <w:pStyle w:val="6"/>
        <w:ind w:firstLine="480"/>
        <w:jc w:val="both"/>
      </w:pPr>
      <w:r>
        <w:t>12、中标</w:t>
      </w:r>
    </w:p>
    <w:p w14:paraId="6A7E519A">
      <w:pPr>
        <w:pStyle w:val="6"/>
        <w:ind w:firstLine="480"/>
        <w:jc w:val="both"/>
      </w:pPr>
      <w:r>
        <w:t>12.1本项目推荐的中标候选人家数：详见招标文件第二章。</w:t>
      </w:r>
    </w:p>
    <w:p w14:paraId="64A2CD82">
      <w:pPr>
        <w:pStyle w:val="6"/>
        <w:ind w:firstLine="480"/>
        <w:jc w:val="both"/>
      </w:pPr>
      <w:r>
        <w:t>12.2本项目中标人的确定：详见招标文件第二章。</w:t>
      </w:r>
    </w:p>
    <w:p w14:paraId="6733B26F">
      <w:pPr>
        <w:pStyle w:val="6"/>
        <w:ind w:firstLine="480"/>
        <w:jc w:val="both"/>
      </w:pPr>
      <w:r>
        <w:t>12.3中标公告</w:t>
      </w:r>
    </w:p>
    <w:p w14:paraId="2152257B">
      <w:pPr>
        <w:pStyle w:val="6"/>
        <w:ind w:firstLine="480"/>
        <w:jc w:val="both"/>
      </w:pPr>
      <w:r>
        <w:t>（1）中标人确定之日起2个工作日内， 福建省天海招标有限公司 将在招标文件载明的指定媒体以中标公告的形式发布中标结果。</w:t>
      </w:r>
    </w:p>
    <w:p w14:paraId="450EA57C">
      <w:pPr>
        <w:pStyle w:val="6"/>
        <w:ind w:firstLine="480"/>
        <w:jc w:val="both"/>
      </w:pPr>
      <w:r>
        <w:t>（2）中标公告的公告期限为1个工作日。</w:t>
      </w:r>
    </w:p>
    <w:p w14:paraId="580519D9">
      <w:pPr>
        <w:pStyle w:val="6"/>
        <w:ind w:firstLine="480"/>
        <w:jc w:val="both"/>
      </w:pPr>
      <w:r>
        <w:t>12.4中标通知书</w:t>
      </w:r>
    </w:p>
    <w:p w14:paraId="28EC8D97">
      <w:pPr>
        <w:pStyle w:val="6"/>
        <w:ind w:firstLine="480"/>
        <w:jc w:val="both"/>
      </w:pPr>
      <w:r>
        <w:t>（1）中标公告发布的同时， 福建省天海招标有限公司 将向中标人发出中标通知书。</w:t>
      </w:r>
    </w:p>
    <w:p w14:paraId="25799AAF">
      <w:pPr>
        <w:pStyle w:val="6"/>
        <w:ind w:firstLine="480"/>
        <w:jc w:val="both"/>
      </w:pPr>
      <w:r>
        <w:t>（2）中标通知书发出后，采购人不得违法改变中标结果，中标人无正当理由不得放弃中标。</w:t>
      </w:r>
    </w:p>
    <w:p w14:paraId="62E2E3EE">
      <w:pPr>
        <w:pStyle w:val="6"/>
        <w:ind w:firstLine="480"/>
        <w:jc w:val="both"/>
      </w:pPr>
      <w:r>
        <w:t>13、政府采购合同</w:t>
      </w:r>
    </w:p>
    <w:p w14:paraId="533C61FB">
      <w:pPr>
        <w:pStyle w:val="6"/>
        <w:ind w:firstLine="480"/>
        <w:jc w:val="both"/>
      </w:pPr>
      <w:r>
        <w:t>13.1签订政府采购合同应遵守政府采购法及实施条例的规定，不得对招标文件确定的事项和中标人的电子投标文件作实质性修改。采购人不得向中标人提出任何不合理的要求作为政府采购合同的签订条件。</w:t>
      </w:r>
    </w:p>
    <w:p w14:paraId="47B6943F">
      <w:pPr>
        <w:pStyle w:val="6"/>
        <w:ind w:firstLine="480"/>
        <w:jc w:val="both"/>
      </w:pPr>
      <w:r>
        <w:t>13.2签订时限：详见须知前附表1的13.2。</w:t>
      </w:r>
    </w:p>
    <w:p w14:paraId="22619130">
      <w:pPr>
        <w:pStyle w:val="6"/>
        <w:ind w:firstLine="480"/>
        <w:jc w:val="both"/>
      </w:pPr>
      <w:r>
        <w:t>13.3政府采购合同的履行、违约责任和解决争议的方法等适用民法典。</w:t>
      </w:r>
    </w:p>
    <w:p w14:paraId="7C6C9565">
      <w:pPr>
        <w:pStyle w:val="6"/>
        <w:ind w:firstLine="480"/>
        <w:jc w:val="both"/>
      </w:pPr>
      <w:r>
        <w:t>13.4采购人与中标人应根据政府采购合同的约定依法履行合同义务。</w:t>
      </w:r>
    </w:p>
    <w:p w14:paraId="5948AE06">
      <w:pPr>
        <w:pStyle w:val="6"/>
        <w:ind w:firstLine="480"/>
        <w:jc w:val="both"/>
      </w:pPr>
      <w:r>
        <w:t>13.5政府采购合同履行过程中，采购人若需追加与合同标的相同的货物或服务，则追加采购金额不得超过原合同采购金额的10%。</w:t>
      </w:r>
    </w:p>
    <w:p w14:paraId="5001AEA0">
      <w:pPr>
        <w:pStyle w:val="6"/>
        <w:ind w:firstLine="480"/>
        <w:jc w:val="both"/>
      </w:pPr>
      <w:r>
        <w:t>13.6中标人在政府采购合同履行过程中应遵守有关法律、法规和规章的强制性规定（即使前述强制性规定有可能在招标文件中未予列明）。</w:t>
      </w:r>
    </w:p>
    <w:p w14:paraId="177E522F">
      <w:pPr>
        <w:pStyle w:val="6"/>
        <w:jc w:val="both"/>
        <w:outlineLvl w:val="2"/>
      </w:pPr>
      <w:r>
        <w:rPr>
          <w:b/>
          <w:sz w:val="28"/>
        </w:rPr>
        <w:t>七、询问、质疑与投诉</w:t>
      </w:r>
    </w:p>
    <w:p w14:paraId="6D517EE8">
      <w:pPr>
        <w:pStyle w:val="6"/>
        <w:ind w:firstLine="480"/>
        <w:jc w:val="both"/>
      </w:pPr>
      <w:r>
        <w:t>14、询问</w:t>
      </w:r>
    </w:p>
    <w:p w14:paraId="5DC1F11A">
      <w:pPr>
        <w:pStyle w:val="6"/>
        <w:ind w:firstLine="480"/>
        <w:jc w:val="both"/>
      </w:pPr>
      <w:r>
        <w:t>14.1潜在投标人或投标人对本次采购活动的有关事项若有疑问，可向 福建省天海招标有限公司 提出询问， 福建省天海招标有限公司 将按照政府采购法及实施条例的有关规定进行答复。</w:t>
      </w:r>
    </w:p>
    <w:p w14:paraId="304F0510">
      <w:pPr>
        <w:pStyle w:val="6"/>
        <w:ind w:firstLine="480"/>
        <w:jc w:val="both"/>
      </w:pPr>
      <w:r>
        <w:t>15、质疑</w:t>
      </w:r>
    </w:p>
    <w:p w14:paraId="04421BD6">
      <w:pPr>
        <w:pStyle w:val="6"/>
        <w:ind w:firstLine="480"/>
        <w:jc w:val="both"/>
      </w:pPr>
      <w:r>
        <w:t>15.1针对同一采购程序环节的质疑应在政府采购法及实施条例的时限内一次性提出，对一个项目的不同采购包提出质疑的，应当将各采购包质疑事项集中在一份质疑函中提出，并同时符合下列条件：</w:t>
      </w:r>
    </w:p>
    <w:p w14:paraId="77438313">
      <w:pPr>
        <w:pStyle w:val="6"/>
        <w:ind w:firstLine="480"/>
        <w:jc w:val="both"/>
      </w:pPr>
      <w:r>
        <w:t>（1）对招标文件提出质疑的，质疑人应为潜在投标人，且两者的身份、名称等均应保持一致。对采购过程、结果提出质疑的，质疑人应为投标人，且两者的身份、名称等均应保持一致。</w:t>
      </w:r>
    </w:p>
    <w:p w14:paraId="20CCE203">
      <w:pPr>
        <w:pStyle w:val="6"/>
        <w:ind w:firstLine="480"/>
        <w:jc w:val="both"/>
      </w:pPr>
      <w:r>
        <w:t>（2）质疑人应按照招标文件第二章规定方式提交质疑函。</w:t>
      </w:r>
    </w:p>
    <w:p w14:paraId="300C7A54">
      <w:pPr>
        <w:pStyle w:val="6"/>
        <w:ind w:firstLine="480"/>
        <w:jc w:val="both"/>
      </w:pPr>
      <w:r>
        <w:t>（3）质疑函应包括下列主要内容：</w:t>
      </w:r>
    </w:p>
    <w:p w14:paraId="7444FD13">
      <w:pPr>
        <w:pStyle w:val="6"/>
        <w:ind w:firstLine="480"/>
        <w:jc w:val="both"/>
      </w:pPr>
      <w:r>
        <w:t>①质疑人的基本信息，至少包括：全称、地址、邮政编码等；</w:t>
      </w:r>
    </w:p>
    <w:p w14:paraId="6912096A">
      <w:pPr>
        <w:pStyle w:val="6"/>
        <w:ind w:firstLine="480"/>
        <w:jc w:val="both"/>
      </w:pPr>
      <w:r>
        <w:t>②所质疑项目的基本信息，至少包括：项目编号、项目名称等；</w:t>
      </w:r>
    </w:p>
    <w:p w14:paraId="5E496243">
      <w:pPr>
        <w:pStyle w:val="6"/>
        <w:ind w:firstLine="480"/>
        <w:jc w:val="both"/>
      </w:pPr>
      <w:r>
        <w:t>③所质疑的具体事项（以下简称：“质疑事项”）；</w:t>
      </w:r>
    </w:p>
    <w:p w14:paraId="0053E229">
      <w:pPr>
        <w:pStyle w:val="6"/>
        <w:ind w:firstLine="480"/>
        <w:jc w:val="both"/>
      </w:pPr>
      <w:r>
        <w:t>④针对质疑事项提出的明确请求，前述明确请求指质疑人提出质疑的目的以及希望 福建省天海招标有限公司 对其质疑作出的处理结果，如：暂停招标投标活动、修改招标文件、停止或纠正违法违规行为、中标结果无效、废标、重新招标等；</w:t>
      </w:r>
    </w:p>
    <w:p w14:paraId="6F818BA5">
      <w:pPr>
        <w:pStyle w:val="6"/>
        <w:ind w:firstLine="480"/>
        <w:jc w:val="both"/>
      </w:pPr>
      <w:r>
        <w:t>⑤针对质疑事项导致质疑人自身权益受到损害的必要证明材料，至少包括：</w:t>
      </w:r>
    </w:p>
    <w:p w14:paraId="17D124AE">
      <w:pPr>
        <w:pStyle w:val="6"/>
        <w:ind w:firstLine="480"/>
        <w:jc w:val="both"/>
      </w:pPr>
      <w:r>
        <w:t>a.质疑人代表的身份证明材料：</w:t>
      </w:r>
    </w:p>
    <w:p w14:paraId="76E08B9F">
      <w:pPr>
        <w:pStyle w:val="6"/>
        <w:ind w:firstLine="480"/>
        <w:jc w:val="both"/>
      </w:pPr>
      <w: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14:paraId="7418DE5C">
      <w:pPr>
        <w:pStyle w:val="6"/>
        <w:ind w:firstLine="480"/>
        <w:jc w:val="both"/>
      </w:pPr>
      <w:r>
        <w:t>a2若本项目接受自然人投标且质疑人为自然人的，提供本人的身份证复印件。</w:t>
      </w:r>
    </w:p>
    <w:p w14:paraId="43F46A8F">
      <w:pPr>
        <w:pStyle w:val="6"/>
        <w:ind w:firstLine="480"/>
        <w:jc w:val="both"/>
      </w:pPr>
      <w:r>
        <w:t>b.其他证明材料（即事实依据和必要的法律依据）包括但不限于下列材料：</w:t>
      </w:r>
    </w:p>
    <w:p w14:paraId="4D80FBF1">
      <w:pPr>
        <w:pStyle w:val="6"/>
        <w:ind w:firstLine="480"/>
        <w:jc w:val="both"/>
      </w:pPr>
      <w:r>
        <w:t>b1所质疑的具体事项是与自己有利害关系的证明材料；</w:t>
      </w:r>
    </w:p>
    <w:p w14:paraId="70587F10">
      <w:pPr>
        <w:pStyle w:val="6"/>
        <w:ind w:firstLine="480"/>
        <w:jc w:val="both"/>
      </w:pPr>
      <w:r>
        <w:t>b2质疑函所述事实存在的证明材料，如：采购文件、采购过程或中标结果违法违规或不符合采购文件要求等证明材料；</w:t>
      </w:r>
    </w:p>
    <w:p w14:paraId="23ECB26C">
      <w:pPr>
        <w:pStyle w:val="6"/>
        <w:ind w:firstLine="480"/>
        <w:jc w:val="both"/>
      </w:pPr>
      <w:r>
        <w:t>b3依法应终止采购程序的证明材料；</w:t>
      </w:r>
    </w:p>
    <w:p w14:paraId="00066BF5">
      <w:pPr>
        <w:pStyle w:val="6"/>
        <w:ind w:firstLine="480"/>
        <w:jc w:val="both"/>
      </w:pPr>
      <w:r>
        <w:t>b4应重新采购的证明材料；</w:t>
      </w:r>
    </w:p>
    <w:p w14:paraId="71D0A3E9">
      <w:pPr>
        <w:pStyle w:val="6"/>
        <w:ind w:firstLine="480"/>
        <w:jc w:val="both"/>
      </w:pPr>
      <w:r>
        <w:t>b5采购文件、采购过程或中标、成交结果损害自己合法权益的证明材料等；</w:t>
      </w:r>
    </w:p>
    <w:p w14:paraId="5C6E240D">
      <w:pPr>
        <w:pStyle w:val="6"/>
        <w:ind w:firstLine="480"/>
        <w:jc w:val="both"/>
      </w:pPr>
      <w: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14:paraId="293C5187">
      <w:pPr>
        <w:pStyle w:val="6"/>
        <w:ind w:firstLine="480"/>
        <w:jc w:val="both"/>
      </w:pPr>
      <w:r>
        <w:t>⑥质疑人代表及其联系方法的信息，至少包括：姓名、手机、电子信箱、邮寄地址等。</w:t>
      </w:r>
    </w:p>
    <w:p w14:paraId="7370948C">
      <w:pPr>
        <w:pStyle w:val="6"/>
        <w:ind w:firstLine="480"/>
        <w:jc w:val="both"/>
      </w:pPr>
      <w:r>
        <w:t>⑦提出质疑的日期。</w:t>
      </w:r>
    </w:p>
    <w:p w14:paraId="000737B8">
      <w:pPr>
        <w:pStyle w:val="6"/>
        <w:ind w:firstLine="480"/>
        <w:jc w:val="both"/>
      </w:pPr>
      <w:r>
        <w:t>※质疑人为法人或其他组织的，质疑函应由单位负责人或委托代理人签字或盖章，并加盖投标人的单位公章。质疑人为自然人的，质疑函应由本人签字。</w:t>
      </w:r>
    </w:p>
    <w:p w14:paraId="6AF9BE60">
      <w:pPr>
        <w:pStyle w:val="6"/>
        <w:ind w:firstLine="480"/>
        <w:jc w:val="both"/>
      </w:pPr>
      <w:r>
        <w:t>15.2对不符合本章第15.1条规定的质疑，将按照下列规定进行处理：</w:t>
      </w:r>
    </w:p>
    <w:p w14:paraId="1CC7F8A9">
      <w:pPr>
        <w:pStyle w:val="6"/>
        <w:ind w:firstLine="480"/>
        <w:jc w:val="both"/>
      </w:pPr>
      <w:r>
        <w:t>（1）不符合其中第（1）、（2）条规定的，书面告知质疑人不予受理及其理由。</w:t>
      </w:r>
    </w:p>
    <w:p w14:paraId="19BB1483">
      <w:pPr>
        <w:pStyle w:val="6"/>
        <w:ind w:firstLine="480"/>
        <w:jc w:val="both"/>
      </w:pPr>
      <w:r>
        <w:t>（2）不符合其中第（3）条规定的，书面告知质疑人修改、补充后在规定时限内重新提交质疑函。</w:t>
      </w:r>
    </w:p>
    <w:p w14:paraId="593EE469">
      <w:pPr>
        <w:pStyle w:val="6"/>
        <w:ind w:firstLine="480"/>
        <w:jc w:val="both"/>
      </w:pPr>
      <w:r>
        <w:t>15.3对符合本章第15.1条规定的质疑，将按照政府采购法及实施条例、政府采购质疑和投诉办法的有关规定进行答复。</w:t>
      </w:r>
    </w:p>
    <w:p w14:paraId="5CF33132">
      <w:pPr>
        <w:pStyle w:val="6"/>
        <w:ind w:firstLine="480"/>
        <w:jc w:val="both"/>
      </w:pPr>
      <w:r>
        <w:t>15.4招标文件的质疑：详见招标文件第二章。</w:t>
      </w:r>
    </w:p>
    <w:p w14:paraId="27B23FA3">
      <w:pPr>
        <w:pStyle w:val="6"/>
        <w:ind w:firstLine="480"/>
        <w:jc w:val="both"/>
      </w:pPr>
      <w:r>
        <w:t>16、投诉</w:t>
      </w:r>
    </w:p>
    <w:p w14:paraId="76E098AD">
      <w:pPr>
        <w:pStyle w:val="6"/>
        <w:ind w:firstLine="480"/>
        <w:jc w:val="both"/>
      </w:pPr>
      <w:r>
        <w:t>16.1若对质疑答复不满意或质疑答复未在答复期限内作出，质疑人可在答复期限届满之日起15个工作日内按照政府采购质疑和投诉办法的有关规定向招标文件第二章载明的本项目监督管理部门提起投诉。</w:t>
      </w:r>
    </w:p>
    <w:p w14:paraId="0AF9C95A">
      <w:pPr>
        <w:pStyle w:val="6"/>
        <w:ind w:firstLine="480"/>
        <w:jc w:val="both"/>
      </w:pPr>
      <w:r>
        <w:t>16.2投诉应有明确的请求和必要的证明材料，投诉的事项不得超出已质疑事项的范围。</w:t>
      </w:r>
    </w:p>
    <w:p w14:paraId="1AFE5E2C">
      <w:pPr>
        <w:pStyle w:val="6"/>
        <w:jc w:val="both"/>
        <w:outlineLvl w:val="2"/>
      </w:pPr>
      <w:r>
        <w:rPr>
          <w:b/>
          <w:sz w:val="28"/>
        </w:rPr>
        <w:t>八、政府采购政策</w:t>
      </w:r>
    </w:p>
    <w:p w14:paraId="2906700E">
      <w:pPr>
        <w:pStyle w:val="6"/>
        <w:ind w:firstLine="480"/>
        <w:jc w:val="both"/>
      </w:pPr>
      <w:r>
        <w:t>17、政府采购政策由财政部根据国家的经济和社会发展政策并会同国家有关部委制定，包括但不限于下列具体政策要求：</w:t>
      </w:r>
    </w:p>
    <w:p w14:paraId="399C75AA">
      <w:pPr>
        <w:pStyle w:val="6"/>
        <w:ind w:firstLine="480"/>
        <w:jc w:val="both"/>
      </w:pPr>
      <w:r>
        <w:t>17.1进口产品指通过中国海关报关验放进入中国境内且产自关境外的产品，其中：</w:t>
      </w:r>
    </w:p>
    <w:p w14:paraId="7D0DD86E">
      <w:pPr>
        <w:pStyle w:val="6"/>
        <w:ind w:firstLine="480"/>
        <w:jc w:val="both"/>
      </w:pPr>
      <w: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0169D1CF">
      <w:pPr>
        <w:pStyle w:val="6"/>
        <w:ind w:firstLine="480"/>
        <w:jc w:val="both"/>
      </w:pPr>
      <w:r>
        <w:t>（2）凡在海关特殊监管区域内企业生产或加工（包括从境外进口料件）销往境内其他地区的产品，不作为政府采购项下进口产品。</w:t>
      </w:r>
    </w:p>
    <w:p w14:paraId="13B09FD0">
      <w:pPr>
        <w:pStyle w:val="6"/>
        <w:ind w:firstLine="480"/>
        <w:jc w:val="both"/>
      </w:pPr>
      <w:r>
        <w:t>（3）对从境外进入海关特殊监管区域，再经办理报关手续后从海关特殊监管区进入境内其他地区的产品，认定为进口产品。</w:t>
      </w:r>
    </w:p>
    <w:p w14:paraId="393CCE19">
      <w:pPr>
        <w:pStyle w:val="6"/>
        <w:ind w:firstLine="480"/>
        <w:jc w:val="both"/>
      </w:pPr>
      <w:r>
        <w:t>（4）招标文件列明不允许或未列明允许进口产品参加投标的，均视为拒绝进口产品参加投标。</w:t>
      </w:r>
    </w:p>
    <w:p w14:paraId="1E33C205">
      <w:pPr>
        <w:pStyle w:val="6"/>
        <w:ind w:firstLine="480"/>
        <w:jc w:val="both"/>
      </w:pPr>
      <w: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13239080">
      <w:pPr>
        <w:pStyle w:val="6"/>
        <w:ind w:firstLine="480"/>
        <w:jc w:val="both"/>
      </w:pPr>
      <w: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085C10A9">
      <w:pPr>
        <w:pStyle w:val="6"/>
        <w:ind w:firstLine="480"/>
        <w:jc w:val="both"/>
      </w:pPr>
      <w:r>
        <w:t>（1）中小企业指符合下列条件的中型、小型、微型企业：</w:t>
      </w:r>
    </w:p>
    <w:p w14:paraId="391B0DF3">
      <w:pPr>
        <w:pStyle w:val="6"/>
        <w:ind w:firstLine="480"/>
        <w:jc w:val="both"/>
      </w:pPr>
      <w: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0F384C50">
      <w:pPr>
        <w:pStyle w:val="6"/>
        <w:ind w:firstLine="480"/>
        <w:jc w:val="both"/>
      </w:pPr>
      <w:r>
        <w:t>②符合中小企业划分标准的个体工商户，在政府采购活动中视同中小企业。</w:t>
      </w:r>
    </w:p>
    <w:p w14:paraId="4F7C4A34">
      <w:pPr>
        <w:pStyle w:val="6"/>
        <w:ind w:firstLine="480"/>
        <w:jc w:val="both"/>
      </w:pPr>
      <w:r>
        <w:t>（2）在政府采购活动中，供应商提供的货物、工程或者服务符合下列情形的，享受本办法规定的中小企业扶持政策：</w:t>
      </w:r>
    </w:p>
    <w:p w14:paraId="3DF26DCF">
      <w:pPr>
        <w:pStyle w:val="6"/>
        <w:ind w:firstLine="480"/>
        <w:jc w:val="both"/>
      </w:pPr>
      <w:r>
        <w:t>①在货物采购项目中，货物由中小企业制造，即货物由中小企业生产且使用该中小企业商号或者注册商标；</w:t>
      </w:r>
    </w:p>
    <w:p w14:paraId="1AD530A5">
      <w:pPr>
        <w:pStyle w:val="6"/>
        <w:ind w:firstLine="480"/>
        <w:jc w:val="both"/>
      </w:pPr>
      <w:r>
        <w:t>②在工程采购项目中，工程由中小企业承建，即工程施工单位为中小企业；</w:t>
      </w:r>
    </w:p>
    <w:p w14:paraId="35099B46">
      <w:pPr>
        <w:pStyle w:val="6"/>
        <w:ind w:firstLine="480"/>
        <w:jc w:val="both"/>
      </w:pPr>
      <w:r>
        <w:t>③在服务采购项目中，服务由中小企业承接，即提供服务的人员为中小企业依照《中华人民共和国劳动合同法》订立劳动合同的从业人员。</w:t>
      </w:r>
    </w:p>
    <w:p w14:paraId="3CB7707E">
      <w:pPr>
        <w:pStyle w:val="6"/>
        <w:ind w:firstLine="480"/>
        <w:jc w:val="both"/>
      </w:pPr>
      <w:r>
        <w:t>在货物采购项目中，供应商提供的货物既有中小企业制造货物，也有大型企业制造货物的，不享受本办法规定的中小企业扶持政策。</w:t>
      </w:r>
    </w:p>
    <w:p w14:paraId="6759CDAF">
      <w:pPr>
        <w:pStyle w:val="6"/>
        <w:ind w:firstLine="480"/>
        <w:jc w:val="both"/>
      </w:pPr>
      <w:r>
        <w:t>以联合体形式参加政府采购活动，联合体各方均为中小企业的，联合体视同中小企业。其中，联合体各方均为小微企业的，联合体视同小微企业。</w:t>
      </w:r>
    </w:p>
    <w:p w14:paraId="7814FE45">
      <w:pPr>
        <w:pStyle w:val="6"/>
        <w:ind w:firstLine="480"/>
        <w:jc w:val="both"/>
      </w:pPr>
      <w:r>
        <w:t>（3）投标人应当按照招标文件明确的采购标的对应行业的划分标准出具中小企业声明函。</w:t>
      </w:r>
    </w:p>
    <w:p w14:paraId="4C5616F8">
      <w:pPr>
        <w:pStyle w:val="6"/>
        <w:ind w:firstLine="480"/>
        <w:jc w:val="both"/>
      </w:pPr>
      <w: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1FED6972">
      <w:pPr>
        <w:pStyle w:val="6"/>
        <w:ind w:firstLine="480"/>
        <w:jc w:val="both"/>
      </w:pPr>
      <w: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3B7592CA">
      <w:pPr>
        <w:pStyle w:val="6"/>
        <w:ind w:firstLine="480"/>
        <w:jc w:val="both"/>
      </w:pPr>
      <w:r>
        <w:t>①监狱企业参加采购活动时，应提供由省级以上监狱管理局、戒毒管理局（含新疆生产建设兵团）出具的属于监狱企业的证明文件。</w:t>
      </w:r>
    </w:p>
    <w:p w14:paraId="2033B850">
      <w:pPr>
        <w:pStyle w:val="6"/>
        <w:ind w:firstLine="480"/>
        <w:jc w:val="both"/>
      </w:pPr>
      <w:r>
        <w:t>②监狱企业视同小型、微型企业。</w:t>
      </w:r>
    </w:p>
    <w:p w14:paraId="215ADEA6">
      <w:pPr>
        <w:pStyle w:val="6"/>
        <w:ind w:firstLine="480"/>
        <w:jc w:val="both"/>
      </w:pPr>
      <w:r>
        <w:t>（5）残疾人福利性单位指同时符合下列条件的单位：</w:t>
      </w:r>
    </w:p>
    <w:p w14:paraId="142BA4B5">
      <w:pPr>
        <w:pStyle w:val="6"/>
        <w:ind w:firstLine="480"/>
        <w:jc w:val="both"/>
      </w:pPr>
      <w:r>
        <w:t>①安置的残疾人占本单位在职职工人数的比例不低于25%（含25%），并且安置的残疾人人数不少于10人（含10人）；</w:t>
      </w:r>
    </w:p>
    <w:p w14:paraId="6B102EF6">
      <w:pPr>
        <w:pStyle w:val="6"/>
        <w:ind w:firstLine="480"/>
        <w:jc w:val="both"/>
      </w:pPr>
      <w:r>
        <w:t>②依法与安置的每位残疾人签订了一年以上（含一年）的劳动合同或服务协议；</w:t>
      </w:r>
    </w:p>
    <w:p w14:paraId="1577716C">
      <w:pPr>
        <w:pStyle w:val="6"/>
        <w:ind w:firstLine="480"/>
        <w:jc w:val="both"/>
      </w:pPr>
      <w:r>
        <w:t>③为安置的每位残疾人按月足额缴纳了基本养老保险、基本医疗保险、失业保险、工伤保险和生育保险等社会保险费；</w:t>
      </w:r>
    </w:p>
    <w:p w14:paraId="3EAFCB6D">
      <w:pPr>
        <w:pStyle w:val="6"/>
        <w:ind w:firstLine="480"/>
        <w:jc w:val="both"/>
      </w:pPr>
      <w:r>
        <w:t>④通过银行等金融机构向安置的每位残疾人，按月支付了不低于单位所在区县适用的经省级人民政府批准的月最低工资标准的工资；</w:t>
      </w:r>
    </w:p>
    <w:p w14:paraId="5C2A61CC">
      <w:pPr>
        <w:pStyle w:val="6"/>
        <w:ind w:firstLine="480"/>
        <w:jc w:val="both"/>
      </w:pPr>
      <w:r>
        <w:t>⑤提供本单位制造的货物、承担的工程或服务，或提供其他残疾人福利性单位制造的货物（不包括使用非残疾人福利性单位注册商标的货物）。</w:t>
      </w:r>
    </w:p>
    <w:p w14:paraId="79951DF9">
      <w:pPr>
        <w:pStyle w:val="6"/>
        <w:ind w:firstLine="480"/>
        <w:jc w:val="both"/>
      </w:pPr>
      <w: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60C2C438">
      <w:pPr>
        <w:pStyle w:val="6"/>
        <w:ind w:firstLine="480"/>
        <w:jc w:val="both"/>
      </w:pPr>
      <w: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058B632C">
      <w:pPr>
        <w:pStyle w:val="6"/>
        <w:ind w:firstLine="480"/>
        <w:jc w:val="both"/>
      </w:pPr>
      <w:r>
        <w:t>17.4信用记录指由财政部确定的有关网站提供的相关主体信用信息。信用记录的查询及使用应符合财政部文件（财库[2016]125号）规定。</w:t>
      </w:r>
    </w:p>
    <w:p w14:paraId="070994F0">
      <w:pPr>
        <w:pStyle w:val="6"/>
        <w:ind w:firstLine="480"/>
        <w:jc w:val="both"/>
      </w:pPr>
      <w:r>
        <w:t>17.5为落实政府采购政策需满足的要求：详见招标文件第一章。</w:t>
      </w:r>
    </w:p>
    <w:p w14:paraId="0D10EADA">
      <w:pPr>
        <w:pStyle w:val="6"/>
        <w:jc w:val="both"/>
        <w:outlineLvl w:val="2"/>
      </w:pPr>
      <w:r>
        <w:rPr>
          <w:b/>
          <w:sz w:val="28"/>
        </w:rPr>
        <w:t>九、本项目的有关信息</w:t>
      </w:r>
    </w:p>
    <w:p w14:paraId="50180296">
      <w:pPr>
        <w:pStyle w:val="6"/>
        <w:ind w:firstLine="480"/>
        <w:jc w:val="both"/>
      </w:pPr>
      <w:r>
        <w:t>18、本项目的有关信息，包括但不限于：招标公告、更正公告（若有）、招标文件、招标文件的澄清或修改（若有）、中标公告、终止公告（若有）、废标公告（若有）等都将在招标文件载明的指定媒体发布。</w:t>
      </w:r>
    </w:p>
    <w:p w14:paraId="2971623C">
      <w:pPr>
        <w:pStyle w:val="6"/>
        <w:ind w:firstLine="480"/>
        <w:jc w:val="both"/>
      </w:pPr>
      <w:r>
        <w:t>18.1指定媒体：详见招标文件第二章。</w:t>
      </w:r>
    </w:p>
    <w:p w14:paraId="0C10280C">
      <w:pPr>
        <w:pStyle w:val="6"/>
        <w:ind w:firstLine="480"/>
        <w:jc w:val="both"/>
      </w:pPr>
      <w:r>
        <w:t>18.2本项目的潜在投标人或投标人应随时关注指定媒体，否则产生不利后果由其自行承担。</w:t>
      </w:r>
    </w:p>
    <w:p w14:paraId="7B63B73B">
      <w:pPr>
        <w:pStyle w:val="6"/>
        <w:jc w:val="both"/>
        <w:outlineLvl w:val="2"/>
      </w:pPr>
      <w:r>
        <w:rPr>
          <w:b/>
          <w:sz w:val="28"/>
        </w:rPr>
        <w:t>十、其他事项</w:t>
      </w:r>
    </w:p>
    <w:p w14:paraId="0AAE4801">
      <w:pPr>
        <w:pStyle w:val="6"/>
        <w:ind w:firstLine="480"/>
        <w:jc w:val="both"/>
      </w:pPr>
      <w:r>
        <w:t>19、其他事项：</w:t>
      </w:r>
    </w:p>
    <w:p w14:paraId="1270B14B">
      <w:pPr>
        <w:pStyle w:val="6"/>
        <w:ind w:firstLine="480"/>
        <w:jc w:val="both"/>
      </w:pPr>
      <w: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14:paraId="1A167EB1">
      <w:pPr>
        <w:pStyle w:val="6"/>
        <w:ind w:firstLine="480"/>
        <w:jc w:val="both"/>
      </w:pPr>
      <w:r>
        <w:t>19.2其他：详见招标文件第二章。</w:t>
      </w:r>
    </w:p>
    <w:p w14:paraId="499B145D">
      <w:pPr>
        <w:pStyle w:val="6"/>
      </w:pPr>
      <w:r>
        <w:t xml:space="preserve"> </w:t>
      </w:r>
      <w:r>
        <w:br w:type="textWrapping"/>
      </w:r>
      <w:r>
        <w:br w:type="page"/>
      </w:r>
    </w:p>
    <w:p w14:paraId="0F694CAE">
      <w:pPr>
        <w:pStyle w:val="6"/>
        <w:jc w:val="center"/>
        <w:outlineLvl w:val="1"/>
      </w:pPr>
      <w:r>
        <w:rPr>
          <w:b/>
          <w:sz w:val="36"/>
        </w:rPr>
        <w:t>第四章 资格审查与评标</w:t>
      </w:r>
    </w:p>
    <w:p w14:paraId="0F94CF9A">
      <w:pPr>
        <w:pStyle w:val="6"/>
        <w:jc w:val="both"/>
        <w:outlineLvl w:val="2"/>
      </w:pPr>
      <w:r>
        <w:rPr>
          <w:b/>
          <w:sz w:val="28"/>
        </w:rPr>
        <w:t>一、资格审查</w:t>
      </w:r>
    </w:p>
    <w:p w14:paraId="742AE478">
      <w:pPr>
        <w:pStyle w:val="6"/>
        <w:ind w:firstLine="480"/>
        <w:jc w:val="both"/>
      </w:pPr>
      <w:r>
        <w:t>1、开标结束后，由 福建省天海招标有限公司 负责资格审查小组的组建及资格审查工作的组织。</w:t>
      </w:r>
    </w:p>
    <w:p w14:paraId="5F48FDC0">
      <w:pPr>
        <w:pStyle w:val="6"/>
        <w:ind w:firstLine="480"/>
        <w:jc w:val="both"/>
      </w:pPr>
      <w:r>
        <w:t>1.1资格审查小组</w:t>
      </w:r>
    </w:p>
    <w:p w14:paraId="3477AA85">
      <w:pPr>
        <w:pStyle w:val="6"/>
        <w:ind w:firstLine="480"/>
        <w:jc w:val="both"/>
      </w:pPr>
      <w:r>
        <w:t>资格审查小组由3人组成，并负责具体审查事务，其中由采购人派出的采购人代表至少1人，由福建省天海招标有限公司派出的工作人员至少1人，其余1人可为采购人代表或福建省天海招标有限公司的工作人员。</w:t>
      </w:r>
    </w:p>
    <w:p w14:paraId="30C16EB3">
      <w:pPr>
        <w:pStyle w:val="6"/>
        <w:ind w:firstLine="480"/>
        <w:jc w:val="both"/>
      </w:pPr>
      <w:r>
        <w:t>1.2资格审查的依据是招标文件和电子投标文件。</w:t>
      </w:r>
    </w:p>
    <w:p w14:paraId="43CBAF18">
      <w:pPr>
        <w:pStyle w:val="6"/>
        <w:ind w:firstLine="480"/>
        <w:jc w:val="both"/>
      </w:pPr>
      <w:r>
        <w:t>1.3资格审查的范围及内容：电子投标文件（资格及资信证明部分），具体如下：</w:t>
      </w:r>
    </w:p>
    <w:p w14:paraId="54A38114">
      <w:pPr>
        <w:pStyle w:val="6"/>
        <w:ind w:firstLine="480"/>
        <w:jc w:val="both"/>
      </w:pPr>
      <w:r>
        <w:t>（1）“投标函”；</w:t>
      </w:r>
    </w:p>
    <w:p w14:paraId="6C828581">
      <w:pPr>
        <w:pStyle w:val="6"/>
        <w:ind w:firstLine="480"/>
        <w:jc w:val="both"/>
      </w:pPr>
      <w:r>
        <w:t>（2）“投标人的资格及资信证明文件”</w:t>
      </w:r>
    </w:p>
    <w:p w14:paraId="63B6EE3A">
      <w:pPr>
        <w:pStyle w:val="6"/>
        <w:ind w:firstLine="480"/>
        <w:jc w:val="both"/>
      </w:pPr>
      <w:r>
        <w:t>①一般资格证明文件：</w:t>
      </w:r>
    </w:p>
    <w:p w14:paraId="7798BE91">
      <w:pPr>
        <w:pStyle w:val="6"/>
        <w:ind w:firstLine="480"/>
        <w:jc w:val="both"/>
      </w:pPr>
      <w:r>
        <w:t>采购包1：</w:t>
      </w:r>
    </w:p>
    <w:tbl>
      <w:tblPr>
        <w:tblStyle w:val="4"/>
        <w:tblW w:w="8847"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112"/>
        <w:gridCol w:w="5904"/>
      </w:tblGrid>
      <w:tr w14:paraId="29D34C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6086C09">
            <w:pPr>
              <w:pStyle w:val="6"/>
              <w:jc w:val="both"/>
            </w:pPr>
            <w:r>
              <w:t xml:space="preserve"> 序号</w:t>
            </w:r>
          </w:p>
        </w:tc>
        <w:tc>
          <w:tcPr>
            <w:tcW w:w="2112" w:type="dxa"/>
          </w:tcPr>
          <w:p w14:paraId="79814E07">
            <w:pPr>
              <w:pStyle w:val="6"/>
              <w:jc w:val="both"/>
            </w:pPr>
            <w:r>
              <w:t xml:space="preserve"> 资格审查要求概况</w:t>
            </w:r>
          </w:p>
        </w:tc>
        <w:tc>
          <w:tcPr>
            <w:tcW w:w="5904" w:type="dxa"/>
          </w:tcPr>
          <w:p w14:paraId="6094E45A">
            <w:pPr>
              <w:pStyle w:val="6"/>
              <w:jc w:val="both"/>
            </w:pPr>
            <w:r>
              <w:t xml:space="preserve"> 评审点具体描述</w:t>
            </w:r>
          </w:p>
        </w:tc>
      </w:tr>
      <w:tr w14:paraId="63C90E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B03AEF1">
            <w:pPr>
              <w:pStyle w:val="6"/>
              <w:jc w:val="both"/>
            </w:pPr>
            <w:r>
              <w:t>1</w:t>
            </w:r>
          </w:p>
        </w:tc>
        <w:tc>
          <w:tcPr>
            <w:tcW w:w="2112" w:type="dxa"/>
          </w:tcPr>
          <w:p w14:paraId="65EB41C8">
            <w:pPr>
              <w:pStyle w:val="6"/>
              <w:jc w:val="both"/>
            </w:pPr>
            <w:r>
              <w:t>单位授权书</w:t>
            </w:r>
          </w:p>
        </w:tc>
        <w:tc>
          <w:tcPr>
            <w:tcW w:w="5904" w:type="dxa"/>
          </w:tcPr>
          <w:p w14:paraId="19BBE9A0">
            <w:pPr>
              <w:pStyle w:val="6"/>
              <w:jc w:val="both"/>
            </w:pPr>
            <w: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760DAE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7317E53">
            <w:pPr>
              <w:pStyle w:val="6"/>
              <w:jc w:val="both"/>
            </w:pPr>
            <w:r>
              <w:t>2</w:t>
            </w:r>
          </w:p>
        </w:tc>
        <w:tc>
          <w:tcPr>
            <w:tcW w:w="2112" w:type="dxa"/>
          </w:tcPr>
          <w:p w14:paraId="1A26358B">
            <w:pPr>
              <w:pStyle w:val="6"/>
              <w:jc w:val="both"/>
            </w:pPr>
            <w:r>
              <w:t>营业执照等证明文件</w:t>
            </w:r>
          </w:p>
        </w:tc>
        <w:tc>
          <w:tcPr>
            <w:tcW w:w="5904" w:type="dxa"/>
          </w:tcPr>
          <w:p w14:paraId="41BE4748">
            <w:pPr>
              <w:pStyle w:val="6"/>
              <w:jc w:val="both"/>
            </w:pPr>
            <w: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05A723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D557392">
            <w:pPr>
              <w:pStyle w:val="6"/>
              <w:jc w:val="both"/>
            </w:pPr>
            <w:r>
              <w:t>3</w:t>
            </w:r>
          </w:p>
        </w:tc>
        <w:tc>
          <w:tcPr>
            <w:tcW w:w="2112" w:type="dxa"/>
          </w:tcPr>
          <w:p w14:paraId="49660D6F">
            <w:pPr>
              <w:pStyle w:val="6"/>
              <w:jc w:val="both"/>
            </w:pPr>
            <w:r>
              <w:t>提供财务状况报告(财务报告、或资信证明）</w:t>
            </w:r>
          </w:p>
        </w:tc>
        <w:tc>
          <w:tcPr>
            <w:tcW w:w="5904" w:type="dxa"/>
          </w:tcPr>
          <w:p w14:paraId="1335A02C">
            <w:pPr>
              <w:pStyle w:val="6"/>
              <w:jc w:val="both"/>
            </w:pPr>
            <w: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56719B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B470559">
            <w:pPr>
              <w:pStyle w:val="6"/>
              <w:jc w:val="both"/>
            </w:pPr>
            <w:r>
              <w:t>4</w:t>
            </w:r>
          </w:p>
        </w:tc>
        <w:tc>
          <w:tcPr>
            <w:tcW w:w="2112" w:type="dxa"/>
          </w:tcPr>
          <w:p w14:paraId="169C9FDE">
            <w:pPr>
              <w:pStyle w:val="6"/>
              <w:jc w:val="both"/>
            </w:pPr>
            <w:r>
              <w:t>依法缴纳税收证明材料</w:t>
            </w:r>
          </w:p>
        </w:tc>
        <w:tc>
          <w:tcPr>
            <w:tcW w:w="5904" w:type="dxa"/>
          </w:tcPr>
          <w:p w14:paraId="3C5C275A">
            <w:pPr>
              <w:pStyle w:val="6"/>
              <w:jc w:val="both"/>
            </w:pPr>
            <w: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54A6E8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B2B8F19">
            <w:pPr>
              <w:pStyle w:val="6"/>
              <w:jc w:val="both"/>
            </w:pPr>
            <w:r>
              <w:t>5</w:t>
            </w:r>
          </w:p>
        </w:tc>
        <w:tc>
          <w:tcPr>
            <w:tcW w:w="2112" w:type="dxa"/>
          </w:tcPr>
          <w:p w14:paraId="335B3664">
            <w:pPr>
              <w:pStyle w:val="6"/>
              <w:jc w:val="both"/>
            </w:pPr>
            <w:r>
              <w:t>依法缴纳社会保障资金证明材料</w:t>
            </w:r>
          </w:p>
        </w:tc>
        <w:tc>
          <w:tcPr>
            <w:tcW w:w="5904" w:type="dxa"/>
          </w:tcPr>
          <w:p w14:paraId="2E485C2F">
            <w:pPr>
              <w:pStyle w:val="6"/>
              <w:jc w:val="both"/>
            </w:pPr>
            <w: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2CA145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5A9C2B3">
            <w:pPr>
              <w:pStyle w:val="6"/>
              <w:jc w:val="both"/>
            </w:pPr>
            <w:r>
              <w:t>6</w:t>
            </w:r>
          </w:p>
        </w:tc>
        <w:tc>
          <w:tcPr>
            <w:tcW w:w="2112" w:type="dxa"/>
          </w:tcPr>
          <w:p w14:paraId="1D308E44">
            <w:pPr>
              <w:pStyle w:val="6"/>
              <w:jc w:val="both"/>
            </w:pPr>
            <w:r>
              <w:t>具备履行合同所必需设备和专业技术能力的声明函(若有)</w:t>
            </w:r>
          </w:p>
        </w:tc>
        <w:tc>
          <w:tcPr>
            <w:tcW w:w="5904" w:type="dxa"/>
          </w:tcPr>
          <w:p w14:paraId="79F16918">
            <w:pPr>
              <w:pStyle w:val="6"/>
              <w:jc w:val="both"/>
            </w:pPr>
            <w: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6DA235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6DDE2C8">
            <w:pPr>
              <w:pStyle w:val="6"/>
              <w:jc w:val="both"/>
            </w:pPr>
            <w:r>
              <w:t>7</w:t>
            </w:r>
          </w:p>
        </w:tc>
        <w:tc>
          <w:tcPr>
            <w:tcW w:w="2112" w:type="dxa"/>
          </w:tcPr>
          <w:p w14:paraId="0C5F86B6">
            <w:pPr>
              <w:pStyle w:val="6"/>
              <w:jc w:val="both"/>
            </w:pPr>
            <w:r>
              <w:t>参加采购活动前三年内在经营活动中没有重大违法记录的声明</w:t>
            </w:r>
          </w:p>
        </w:tc>
        <w:tc>
          <w:tcPr>
            <w:tcW w:w="5904" w:type="dxa"/>
          </w:tcPr>
          <w:p w14:paraId="6F3627C0">
            <w:pPr>
              <w:pStyle w:val="6"/>
              <w:jc w:val="both"/>
            </w:pPr>
            <w: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6E77E0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962C379">
            <w:pPr>
              <w:pStyle w:val="6"/>
              <w:jc w:val="both"/>
            </w:pPr>
            <w:r>
              <w:t>8</w:t>
            </w:r>
          </w:p>
        </w:tc>
        <w:tc>
          <w:tcPr>
            <w:tcW w:w="2112" w:type="dxa"/>
          </w:tcPr>
          <w:p w14:paraId="0AAA01B3">
            <w:pPr>
              <w:pStyle w:val="6"/>
              <w:jc w:val="both"/>
            </w:pPr>
            <w:r>
              <w:t>信用记录查询结果</w:t>
            </w:r>
          </w:p>
        </w:tc>
        <w:tc>
          <w:tcPr>
            <w:tcW w:w="5904" w:type="dxa"/>
          </w:tcPr>
          <w:p w14:paraId="2937C080">
            <w:pPr>
              <w:pStyle w:val="6"/>
              <w:jc w:val="both"/>
            </w:pPr>
            <w: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773025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AC06724">
            <w:pPr>
              <w:pStyle w:val="6"/>
              <w:jc w:val="both"/>
            </w:pPr>
            <w:r>
              <w:t>9</w:t>
            </w:r>
          </w:p>
        </w:tc>
        <w:tc>
          <w:tcPr>
            <w:tcW w:w="2112" w:type="dxa"/>
          </w:tcPr>
          <w:p w14:paraId="761F505A">
            <w:pPr>
              <w:pStyle w:val="6"/>
              <w:jc w:val="both"/>
            </w:pPr>
            <w:r>
              <w:t>中小企业声明函（以资格条件落实中小企业扶持政策时适用 ）</w:t>
            </w:r>
          </w:p>
        </w:tc>
        <w:tc>
          <w:tcPr>
            <w:tcW w:w="5904" w:type="dxa"/>
          </w:tcPr>
          <w:p w14:paraId="2CCE4B45">
            <w:pPr>
              <w:pStyle w:val="6"/>
              <w:jc w:val="both"/>
            </w:pPr>
            <w: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2055C6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C59A4D1">
            <w:pPr>
              <w:pStyle w:val="6"/>
              <w:jc w:val="both"/>
            </w:pPr>
            <w:r>
              <w:t>10</w:t>
            </w:r>
          </w:p>
        </w:tc>
        <w:tc>
          <w:tcPr>
            <w:tcW w:w="2112" w:type="dxa"/>
          </w:tcPr>
          <w:p w14:paraId="1C0E901D">
            <w:pPr>
              <w:pStyle w:val="6"/>
              <w:jc w:val="both"/>
            </w:pPr>
            <w:r>
              <w:t>联合体协议（若有）</w:t>
            </w:r>
          </w:p>
        </w:tc>
        <w:tc>
          <w:tcPr>
            <w:tcW w:w="5904" w:type="dxa"/>
          </w:tcPr>
          <w:p w14:paraId="40C4992A">
            <w:pPr>
              <w:pStyle w:val="6"/>
              <w:jc w:val="both"/>
            </w:pPr>
            <w:r>
              <w:t>①招标文件接受联合体投标且投标人为联合体的，投标人应提供本协议；否则无须提供。 ②本协议由委托代理人签字或盖章的，应按照招标文件第七章载明的格式提供“单位授权书”。</w:t>
            </w:r>
          </w:p>
        </w:tc>
      </w:tr>
    </w:tbl>
    <w:p w14:paraId="40FA97FA">
      <w:pPr>
        <w:pStyle w:val="6"/>
        <w:jc w:val="both"/>
      </w:pPr>
      <w:r>
        <w:t>采购包2：</w:t>
      </w:r>
    </w:p>
    <w:tbl>
      <w:tblPr>
        <w:tblStyle w:val="4"/>
        <w:tblW w:w="8857"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101"/>
        <w:gridCol w:w="5925"/>
      </w:tblGrid>
      <w:tr w14:paraId="359CB4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55BCA27">
            <w:pPr>
              <w:pStyle w:val="6"/>
              <w:jc w:val="both"/>
            </w:pPr>
            <w:r>
              <w:t xml:space="preserve"> 序号</w:t>
            </w:r>
          </w:p>
        </w:tc>
        <w:tc>
          <w:tcPr>
            <w:tcW w:w="2101" w:type="dxa"/>
          </w:tcPr>
          <w:p w14:paraId="0EDB3185">
            <w:pPr>
              <w:pStyle w:val="6"/>
              <w:jc w:val="both"/>
            </w:pPr>
            <w:r>
              <w:t xml:space="preserve"> 资格审查要求概况</w:t>
            </w:r>
          </w:p>
        </w:tc>
        <w:tc>
          <w:tcPr>
            <w:tcW w:w="5925" w:type="dxa"/>
          </w:tcPr>
          <w:p w14:paraId="458DDA91">
            <w:pPr>
              <w:pStyle w:val="6"/>
              <w:jc w:val="both"/>
            </w:pPr>
            <w:r>
              <w:t xml:space="preserve"> 评审点具体描述</w:t>
            </w:r>
          </w:p>
        </w:tc>
      </w:tr>
      <w:tr w14:paraId="649AB7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79CB920">
            <w:pPr>
              <w:pStyle w:val="6"/>
              <w:jc w:val="both"/>
            </w:pPr>
            <w:r>
              <w:t>1</w:t>
            </w:r>
          </w:p>
        </w:tc>
        <w:tc>
          <w:tcPr>
            <w:tcW w:w="2101" w:type="dxa"/>
          </w:tcPr>
          <w:p w14:paraId="624173D6">
            <w:pPr>
              <w:pStyle w:val="6"/>
              <w:jc w:val="both"/>
            </w:pPr>
            <w:r>
              <w:t>单位授权书</w:t>
            </w:r>
          </w:p>
        </w:tc>
        <w:tc>
          <w:tcPr>
            <w:tcW w:w="5925" w:type="dxa"/>
          </w:tcPr>
          <w:p w14:paraId="396BCD7E">
            <w:pPr>
              <w:pStyle w:val="6"/>
              <w:jc w:val="both"/>
            </w:pPr>
            <w: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2AD907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6C7053E">
            <w:pPr>
              <w:pStyle w:val="6"/>
              <w:jc w:val="both"/>
            </w:pPr>
            <w:r>
              <w:t>2</w:t>
            </w:r>
          </w:p>
        </w:tc>
        <w:tc>
          <w:tcPr>
            <w:tcW w:w="2101" w:type="dxa"/>
          </w:tcPr>
          <w:p w14:paraId="338F72B3">
            <w:pPr>
              <w:pStyle w:val="6"/>
              <w:jc w:val="both"/>
            </w:pPr>
            <w:r>
              <w:t>营业执照等证明文件</w:t>
            </w:r>
          </w:p>
        </w:tc>
        <w:tc>
          <w:tcPr>
            <w:tcW w:w="5925" w:type="dxa"/>
          </w:tcPr>
          <w:p w14:paraId="0FE239E2">
            <w:pPr>
              <w:pStyle w:val="6"/>
              <w:jc w:val="both"/>
            </w:pPr>
            <w: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5D61A8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101CDC8">
            <w:pPr>
              <w:pStyle w:val="6"/>
              <w:jc w:val="both"/>
            </w:pPr>
            <w:r>
              <w:t>3</w:t>
            </w:r>
          </w:p>
        </w:tc>
        <w:tc>
          <w:tcPr>
            <w:tcW w:w="2101" w:type="dxa"/>
          </w:tcPr>
          <w:p w14:paraId="08719464">
            <w:pPr>
              <w:pStyle w:val="6"/>
              <w:jc w:val="both"/>
            </w:pPr>
            <w:r>
              <w:t>提供财务状况报告(财务报告、或资信证明）</w:t>
            </w:r>
          </w:p>
        </w:tc>
        <w:tc>
          <w:tcPr>
            <w:tcW w:w="5925" w:type="dxa"/>
          </w:tcPr>
          <w:p w14:paraId="7D81C4EC">
            <w:pPr>
              <w:pStyle w:val="6"/>
              <w:jc w:val="both"/>
            </w:pPr>
            <w: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63E5B6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4395F40">
            <w:pPr>
              <w:pStyle w:val="6"/>
              <w:jc w:val="both"/>
            </w:pPr>
            <w:r>
              <w:t>4</w:t>
            </w:r>
          </w:p>
        </w:tc>
        <w:tc>
          <w:tcPr>
            <w:tcW w:w="2101" w:type="dxa"/>
          </w:tcPr>
          <w:p w14:paraId="756A345B">
            <w:pPr>
              <w:pStyle w:val="6"/>
              <w:jc w:val="both"/>
            </w:pPr>
            <w:r>
              <w:t>依法缴纳税收证明材料</w:t>
            </w:r>
          </w:p>
        </w:tc>
        <w:tc>
          <w:tcPr>
            <w:tcW w:w="5925" w:type="dxa"/>
          </w:tcPr>
          <w:p w14:paraId="2B6561AE">
            <w:pPr>
              <w:pStyle w:val="6"/>
              <w:jc w:val="both"/>
            </w:pPr>
            <w: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49273D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811F9E4">
            <w:pPr>
              <w:pStyle w:val="6"/>
              <w:jc w:val="both"/>
            </w:pPr>
            <w:r>
              <w:t>5</w:t>
            </w:r>
          </w:p>
        </w:tc>
        <w:tc>
          <w:tcPr>
            <w:tcW w:w="2101" w:type="dxa"/>
          </w:tcPr>
          <w:p w14:paraId="55360197">
            <w:pPr>
              <w:pStyle w:val="6"/>
              <w:jc w:val="both"/>
            </w:pPr>
            <w:r>
              <w:t>依法缴纳社会保障资金证明材料</w:t>
            </w:r>
          </w:p>
        </w:tc>
        <w:tc>
          <w:tcPr>
            <w:tcW w:w="5925" w:type="dxa"/>
          </w:tcPr>
          <w:p w14:paraId="4745CEE0">
            <w:pPr>
              <w:pStyle w:val="6"/>
              <w:jc w:val="both"/>
            </w:pPr>
            <w: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290EF6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310FEB1">
            <w:pPr>
              <w:pStyle w:val="6"/>
              <w:jc w:val="both"/>
            </w:pPr>
            <w:r>
              <w:t>6</w:t>
            </w:r>
          </w:p>
        </w:tc>
        <w:tc>
          <w:tcPr>
            <w:tcW w:w="2101" w:type="dxa"/>
          </w:tcPr>
          <w:p w14:paraId="24A04DE9">
            <w:pPr>
              <w:pStyle w:val="6"/>
              <w:jc w:val="both"/>
            </w:pPr>
            <w:r>
              <w:t>具备履行合同所必需设备和专业技术能力的声明函(若有)</w:t>
            </w:r>
          </w:p>
        </w:tc>
        <w:tc>
          <w:tcPr>
            <w:tcW w:w="5925" w:type="dxa"/>
          </w:tcPr>
          <w:p w14:paraId="0E43E93E">
            <w:pPr>
              <w:pStyle w:val="6"/>
              <w:jc w:val="both"/>
            </w:pPr>
            <w: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4B35A7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B4854FC">
            <w:pPr>
              <w:pStyle w:val="6"/>
              <w:jc w:val="both"/>
            </w:pPr>
            <w:r>
              <w:t>7</w:t>
            </w:r>
          </w:p>
        </w:tc>
        <w:tc>
          <w:tcPr>
            <w:tcW w:w="2101" w:type="dxa"/>
          </w:tcPr>
          <w:p w14:paraId="5DD58F6C">
            <w:pPr>
              <w:pStyle w:val="6"/>
              <w:jc w:val="both"/>
            </w:pPr>
            <w:r>
              <w:t>参加采购活动前三年内在经营活动中没有重大违法记录的声明</w:t>
            </w:r>
          </w:p>
        </w:tc>
        <w:tc>
          <w:tcPr>
            <w:tcW w:w="5925" w:type="dxa"/>
          </w:tcPr>
          <w:p w14:paraId="7E3FECB0">
            <w:pPr>
              <w:pStyle w:val="6"/>
              <w:jc w:val="both"/>
            </w:pPr>
            <w: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7AE591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4563112">
            <w:pPr>
              <w:pStyle w:val="6"/>
              <w:jc w:val="both"/>
            </w:pPr>
            <w:r>
              <w:t>8</w:t>
            </w:r>
          </w:p>
        </w:tc>
        <w:tc>
          <w:tcPr>
            <w:tcW w:w="2101" w:type="dxa"/>
          </w:tcPr>
          <w:p w14:paraId="0DBA83CD">
            <w:pPr>
              <w:pStyle w:val="6"/>
              <w:jc w:val="both"/>
            </w:pPr>
            <w:r>
              <w:t>信用记录查询结果</w:t>
            </w:r>
          </w:p>
        </w:tc>
        <w:tc>
          <w:tcPr>
            <w:tcW w:w="5925" w:type="dxa"/>
          </w:tcPr>
          <w:p w14:paraId="0ADD6593">
            <w:pPr>
              <w:pStyle w:val="6"/>
              <w:jc w:val="both"/>
            </w:pPr>
            <w: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502094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19345CC">
            <w:pPr>
              <w:pStyle w:val="6"/>
              <w:jc w:val="both"/>
            </w:pPr>
            <w:r>
              <w:t>9</w:t>
            </w:r>
          </w:p>
        </w:tc>
        <w:tc>
          <w:tcPr>
            <w:tcW w:w="2101" w:type="dxa"/>
          </w:tcPr>
          <w:p w14:paraId="1C44AEA9">
            <w:pPr>
              <w:pStyle w:val="6"/>
              <w:jc w:val="both"/>
            </w:pPr>
            <w:r>
              <w:t>中小企业声明函（以资格条件落实中小企业扶持政策时适用 ）</w:t>
            </w:r>
          </w:p>
        </w:tc>
        <w:tc>
          <w:tcPr>
            <w:tcW w:w="5925" w:type="dxa"/>
          </w:tcPr>
          <w:p w14:paraId="7921103E">
            <w:pPr>
              <w:pStyle w:val="6"/>
              <w:jc w:val="both"/>
            </w:pPr>
            <w: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480C90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7F7D97F">
            <w:pPr>
              <w:pStyle w:val="6"/>
              <w:jc w:val="both"/>
            </w:pPr>
            <w:r>
              <w:t>10</w:t>
            </w:r>
          </w:p>
        </w:tc>
        <w:tc>
          <w:tcPr>
            <w:tcW w:w="2101" w:type="dxa"/>
          </w:tcPr>
          <w:p w14:paraId="3C6C2CA0">
            <w:pPr>
              <w:pStyle w:val="6"/>
              <w:jc w:val="both"/>
            </w:pPr>
            <w:r>
              <w:t>联合体协议（若有）</w:t>
            </w:r>
          </w:p>
        </w:tc>
        <w:tc>
          <w:tcPr>
            <w:tcW w:w="5925" w:type="dxa"/>
          </w:tcPr>
          <w:p w14:paraId="3C44E16A">
            <w:pPr>
              <w:pStyle w:val="6"/>
              <w:jc w:val="both"/>
            </w:pPr>
            <w:r>
              <w:t>①招标文件接受联合体投标且投标人为联合体的，投标人应提供本协议；否则无须提供。 ②本协议由委托代理人签字或盖章的，应按照招标文件第七章载明的格式提供“单位授权书”。</w:t>
            </w:r>
          </w:p>
        </w:tc>
      </w:tr>
    </w:tbl>
    <w:p w14:paraId="4852B8CA">
      <w:pPr>
        <w:pStyle w:val="6"/>
        <w:jc w:val="both"/>
      </w:pPr>
      <w:r>
        <w:t>采购包3：</w:t>
      </w:r>
    </w:p>
    <w:tbl>
      <w:tblPr>
        <w:tblStyle w:val="4"/>
        <w:tblW w:w="8857"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112"/>
        <w:gridCol w:w="5914"/>
      </w:tblGrid>
      <w:tr w14:paraId="5D8BB2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D60F690">
            <w:pPr>
              <w:pStyle w:val="6"/>
              <w:jc w:val="both"/>
            </w:pPr>
            <w:r>
              <w:t xml:space="preserve"> 序号</w:t>
            </w:r>
          </w:p>
        </w:tc>
        <w:tc>
          <w:tcPr>
            <w:tcW w:w="2112" w:type="dxa"/>
          </w:tcPr>
          <w:p w14:paraId="2068230A">
            <w:pPr>
              <w:pStyle w:val="6"/>
              <w:jc w:val="both"/>
            </w:pPr>
            <w:r>
              <w:t xml:space="preserve"> 资格审查要求概况</w:t>
            </w:r>
          </w:p>
        </w:tc>
        <w:tc>
          <w:tcPr>
            <w:tcW w:w="5914" w:type="dxa"/>
          </w:tcPr>
          <w:p w14:paraId="6F6B8CBC">
            <w:pPr>
              <w:pStyle w:val="6"/>
              <w:jc w:val="both"/>
            </w:pPr>
            <w:r>
              <w:t xml:space="preserve"> 评审点具体描述</w:t>
            </w:r>
          </w:p>
        </w:tc>
      </w:tr>
      <w:tr w14:paraId="6CEFE2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031BB28">
            <w:pPr>
              <w:pStyle w:val="6"/>
              <w:jc w:val="both"/>
            </w:pPr>
            <w:r>
              <w:t>1</w:t>
            </w:r>
          </w:p>
        </w:tc>
        <w:tc>
          <w:tcPr>
            <w:tcW w:w="2112" w:type="dxa"/>
          </w:tcPr>
          <w:p w14:paraId="29FADC29">
            <w:pPr>
              <w:pStyle w:val="6"/>
              <w:jc w:val="both"/>
            </w:pPr>
            <w:r>
              <w:t>单位授权书</w:t>
            </w:r>
          </w:p>
        </w:tc>
        <w:tc>
          <w:tcPr>
            <w:tcW w:w="5914" w:type="dxa"/>
          </w:tcPr>
          <w:p w14:paraId="0683182A">
            <w:pPr>
              <w:pStyle w:val="6"/>
              <w:jc w:val="both"/>
            </w:pPr>
            <w: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47D52F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85D688E">
            <w:pPr>
              <w:pStyle w:val="6"/>
              <w:jc w:val="both"/>
            </w:pPr>
            <w:r>
              <w:t>2</w:t>
            </w:r>
          </w:p>
        </w:tc>
        <w:tc>
          <w:tcPr>
            <w:tcW w:w="2112" w:type="dxa"/>
          </w:tcPr>
          <w:p w14:paraId="7FDD5E41">
            <w:pPr>
              <w:pStyle w:val="6"/>
              <w:jc w:val="both"/>
            </w:pPr>
            <w:r>
              <w:t>营业执照等证明文件</w:t>
            </w:r>
          </w:p>
        </w:tc>
        <w:tc>
          <w:tcPr>
            <w:tcW w:w="5914" w:type="dxa"/>
          </w:tcPr>
          <w:p w14:paraId="12E8D9C3">
            <w:pPr>
              <w:pStyle w:val="6"/>
              <w:jc w:val="both"/>
            </w:pPr>
            <w: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70C663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2A0A599">
            <w:pPr>
              <w:pStyle w:val="6"/>
              <w:jc w:val="both"/>
            </w:pPr>
            <w:r>
              <w:t>3</w:t>
            </w:r>
          </w:p>
        </w:tc>
        <w:tc>
          <w:tcPr>
            <w:tcW w:w="2112" w:type="dxa"/>
          </w:tcPr>
          <w:p w14:paraId="7157A35A">
            <w:pPr>
              <w:pStyle w:val="6"/>
              <w:jc w:val="both"/>
            </w:pPr>
            <w:r>
              <w:t>提供财务状况报告(财务报告、或资信证明）</w:t>
            </w:r>
          </w:p>
        </w:tc>
        <w:tc>
          <w:tcPr>
            <w:tcW w:w="5914" w:type="dxa"/>
          </w:tcPr>
          <w:p w14:paraId="3FF9A9C2">
            <w:pPr>
              <w:pStyle w:val="6"/>
              <w:jc w:val="both"/>
            </w:pPr>
            <w: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6B74B7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F0443E3">
            <w:pPr>
              <w:pStyle w:val="6"/>
              <w:jc w:val="both"/>
            </w:pPr>
            <w:r>
              <w:t>4</w:t>
            </w:r>
          </w:p>
        </w:tc>
        <w:tc>
          <w:tcPr>
            <w:tcW w:w="2112" w:type="dxa"/>
          </w:tcPr>
          <w:p w14:paraId="318A0E96">
            <w:pPr>
              <w:pStyle w:val="6"/>
              <w:jc w:val="both"/>
            </w:pPr>
            <w:r>
              <w:t>依法缴纳税收证明材料</w:t>
            </w:r>
          </w:p>
        </w:tc>
        <w:tc>
          <w:tcPr>
            <w:tcW w:w="5914" w:type="dxa"/>
          </w:tcPr>
          <w:p w14:paraId="2F3AB691">
            <w:pPr>
              <w:pStyle w:val="6"/>
              <w:jc w:val="both"/>
            </w:pPr>
            <w: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771B64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84B76F1">
            <w:pPr>
              <w:pStyle w:val="6"/>
              <w:jc w:val="both"/>
            </w:pPr>
            <w:r>
              <w:t>5</w:t>
            </w:r>
          </w:p>
        </w:tc>
        <w:tc>
          <w:tcPr>
            <w:tcW w:w="2112" w:type="dxa"/>
          </w:tcPr>
          <w:p w14:paraId="2A934A8E">
            <w:pPr>
              <w:pStyle w:val="6"/>
              <w:jc w:val="both"/>
            </w:pPr>
            <w:r>
              <w:t>依法缴纳社会保障资金证明材料</w:t>
            </w:r>
          </w:p>
        </w:tc>
        <w:tc>
          <w:tcPr>
            <w:tcW w:w="5914" w:type="dxa"/>
          </w:tcPr>
          <w:p w14:paraId="1AD3E944">
            <w:pPr>
              <w:pStyle w:val="6"/>
              <w:jc w:val="both"/>
            </w:pPr>
            <w: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32D136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A121E8A">
            <w:pPr>
              <w:pStyle w:val="6"/>
              <w:jc w:val="both"/>
            </w:pPr>
            <w:r>
              <w:t>6</w:t>
            </w:r>
          </w:p>
        </w:tc>
        <w:tc>
          <w:tcPr>
            <w:tcW w:w="2112" w:type="dxa"/>
          </w:tcPr>
          <w:p w14:paraId="146635AD">
            <w:pPr>
              <w:pStyle w:val="6"/>
              <w:jc w:val="both"/>
            </w:pPr>
            <w:r>
              <w:t>具备履行合同所必需设备和专业技术能力的声明函(若有)</w:t>
            </w:r>
          </w:p>
        </w:tc>
        <w:tc>
          <w:tcPr>
            <w:tcW w:w="5914" w:type="dxa"/>
          </w:tcPr>
          <w:p w14:paraId="6B39B5A6">
            <w:pPr>
              <w:pStyle w:val="6"/>
              <w:jc w:val="both"/>
            </w:pPr>
            <w: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741DA1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9735F6B">
            <w:pPr>
              <w:pStyle w:val="6"/>
              <w:jc w:val="both"/>
            </w:pPr>
            <w:r>
              <w:t>7</w:t>
            </w:r>
          </w:p>
        </w:tc>
        <w:tc>
          <w:tcPr>
            <w:tcW w:w="2112" w:type="dxa"/>
          </w:tcPr>
          <w:p w14:paraId="56661354">
            <w:pPr>
              <w:pStyle w:val="6"/>
              <w:jc w:val="both"/>
            </w:pPr>
            <w:r>
              <w:t>参加采购活动前三年内在经营活动中没有重大违法记录的声明</w:t>
            </w:r>
          </w:p>
        </w:tc>
        <w:tc>
          <w:tcPr>
            <w:tcW w:w="5914" w:type="dxa"/>
          </w:tcPr>
          <w:p w14:paraId="50BB5CC8">
            <w:pPr>
              <w:pStyle w:val="6"/>
              <w:jc w:val="both"/>
            </w:pPr>
            <w: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478089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EA60AAF">
            <w:pPr>
              <w:pStyle w:val="6"/>
              <w:jc w:val="both"/>
            </w:pPr>
            <w:r>
              <w:t>8</w:t>
            </w:r>
          </w:p>
        </w:tc>
        <w:tc>
          <w:tcPr>
            <w:tcW w:w="2112" w:type="dxa"/>
          </w:tcPr>
          <w:p w14:paraId="74D8B3EB">
            <w:pPr>
              <w:pStyle w:val="6"/>
              <w:jc w:val="both"/>
            </w:pPr>
            <w:r>
              <w:t>信用记录查询结果</w:t>
            </w:r>
          </w:p>
        </w:tc>
        <w:tc>
          <w:tcPr>
            <w:tcW w:w="5914" w:type="dxa"/>
          </w:tcPr>
          <w:p w14:paraId="6463E57C">
            <w:pPr>
              <w:pStyle w:val="6"/>
              <w:jc w:val="both"/>
            </w:pPr>
            <w: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6C569B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576ACAD">
            <w:pPr>
              <w:pStyle w:val="6"/>
              <w:jc w:val="both"/>
            </w:pPr>
            <w:r>
              <w:t>9</w:t>
            </w:r>
          </w:p>
        </w:tc>
        <w:tc>
          <w:tcPr>
            <w:tcW w:w="2112" w:type="dxa"/>
          </w:tcPr>
          <w:p w14:paraId="6E383D36">
            <w:pPr>
              <w:pStyle w:val="6"/>
              <w:jc w:val="both"/>
            </w:pPr>
            <w:r>
              <w:t>中小企业声明函（以资格条件落实中小企业扶持政策时适用 ）</w:t>
            </w:r>
          </w:p>
        </w:tc>
        <w:tc>
          <w:tcPr>
            <w:tcW w:w="5914" w:type="dxa"/>
          </w:tcPr>
          <w:p w14:paraId="7DD36C23">
            <w:pPr>
              <w:pStyle w:val="6"/>
              <w:jc w:val="both"/>
            </w:pPr>
            <w: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36259D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7E49852">
            <w:pPr>
              <w:pStyle w:val="6"/>
              <w:jc w:val="both"/>
            </w:pPr>
            <w:r>
              <w:t>10</w:t>
            </w:r>
          </w:p>
        </w:tc>
        <w:tc>
          <w:tcPr>
            <w:tcW w:w="2112" w:type="dxa"/>
          </w:tcPr>
          <w:p w14:paraId="071C20A9">
            <w:pPr>
              <w:pStyle w:val="6"/>
              <w:jc w:val="both"/>
            </w:pPr>
            <w:r>
              <w:t>联合体协议（若有）</w:t>
            </w:r>
          </w:p>
        </w:tc>
        <w:tc>
          <w:tcPr>
            <w:tcW w:w="5914" w:type="dxa"/>
          </w:tcPr>
          <w:p w14:paraId="74D9B783">
            <w:pPr>
              <w:pStyle w:val="6"/>
              <w:jc w:val="both"/>
            </w:pPr>
            <w:r>
              <w:t>①招标文件接受联合体投标且投标人为联合体的，投标人应提供本协议；否则无须提供。 ②本协议由委托代理人签字或盖章的，应按照招标文件第七章载明的格式提供“单位授权书”。</w:t>
            </w:r>
          </w:p>
        </w:tc>
      </w:tr>
    </w:tbl>
    <w:p w14:paraId="015F7408">
      <w:pPr>
        <w:pStyle w:val="6"/>
        <w:ind w:firstLine="480"/>
        <w:jc w:val="both"/>
      </w:pPr>
      <w:r>
        <w:t>※备注说明</w:t>
      </w:r>
    </w:p>
    <w:p w14:paraId="39C2BDE4">
      <w:pPr>
        <w:pStyle w:val="6"/>
        <w:ind w:firstLine="480"/>
        <w:jc w:val="both"/>
      </w:pPr>
      <w:r>
        <w:t>①投标人应根据自身实际情况提供上述资格要求的证明材料，格式可参考招标文件第七章提供。</w:t>
      </w:r>
    </w:p>
    <w:p w14:paraId="33B1FDD0">
      <w:pPr>
        <w:pStyle w:val="6"/>
        <w:ind w:firstLine="480"/>
        <w:jc w:val="both"/>
      </w:pPr>
      <w:r>
        <w:t>②投标人提供的相应证明材料复印件均应符合：内容完整、清晰、整洁，并由投标人加盖其单位公章。</w:t>
      </w:r>
    </w:p>
    <w:p w14:paraId="58799E57">
      <w:pPr>
        <w:pStyle w:val="6"/>
        <w:ind w:firstLine="480"/>
        <w:jc w:val="both"/>
      </w:pPr>
      <w:r>
        <w:t>②.其他资格证明文件：</w:t>
      </w:r>
    </w:p>
    <w:p w14:paraId="1E5E610A">
      <w:pPr>
        <w:pStyle w:val="6"/>
        <w:jc w:val="left"/>
      </w:pPr>
      <w: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14:paraId="1F743F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7E42A0F5">
            <w:pPr>
              <w:pStyle w:val="6"/>
              <w:jc w:val="left"/>
            </w:pPr>
            <w:r>
              <w:t xml:space="preserve"> 资格审查要求概况</w:t>
            </w:r>
          </w:p>
        </w:tc>
        <w:tc>
          <w:tcPr>
            <w:tcW w:w="4614" w:type="dxa"/>
          </w:tcPr>
          <w:p w14:paraId="313416FB">
            <w:pPr>
              <w:pStyle w:val="6"/>
              <w:jc w:val="left"/>
            </w:pPr>
            <w:r>
              <w:t xml:space="preserve"> 评审点具体描述</w:t>
            </w:r>
          </w:p>
        </w:tc>
      </w:tr>
      <w:tr w14:paraId="1C83BC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1B50AAF1">
            <w:pPr>
              <w:pStyle w:val="6"/>
              <w:jc w:val="left"/>
            </w:pPr>
            <w:r>
              <w:t xml:space="preserve"> 无</w:t>
            </w:r>
          </w:p>
        </w:tc>
      </w:tr>
    </w:tbl>
    <w:p w14:paraId="54FBB93D">
      <w:pPr>
        <w:pStyle w:val="6"/>
        <w:jc w:val="left"/>
      </w:pPr>
      <w:r>
        <w:t>采购包2：</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14:paraId="0C4B82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1FE182C6">
            <w:pPr>
              <w:pStyle w:val="6"/>
              <w:jc w:val="left"/>
            </w:pPr>
            <w:r>
              <w:t xml:space="preserve"> 资格审查要求概况</w:t>
            </w:r>
          </w:p>
        </w:tc>
        <w:tc>
          <w:tcPr>
            <w:tcW w:w="4614" w:type="dxa"/>
          </w:tcPr>
          <w:p w14:paraId="3A624EC8">
            <w:pPr>
              <w:pStyle w:val="6"/>
              <w:jc w:val="left"/>
            </w:pPr>
            <w:r>
              <w:t xml:space="preserve"> 评审点具体描述</w:t>
            </w:r>
          </w:p>
        </w:tc>
      </w:tr>
      <w:tr w14:paraId="41DC58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2F73CF4B">
            <w:pPr>
              <w:pStyle w:val="6"/>
              <w:jc w:val="left"/>
            </w:pPr>
            <w:r>
              <w:t xml:space="preserve"> 无</w:t>
            </w:r>
          </w:p>
        </w:tc>
      </w:tr>
    </w:tbl>
    <w:p w14:paraId="2205BAC0">
      <w:pPr>
        <w:pStyle w:val="6"/>
        <w:jc w:val="left"/>
      </w:pPr>
      <w:r>
        <w:t>采购包3：</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14:paraId="768376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709A2944">
            <w:pPr>
              <w:pStyle w:val="6"/>
              <w:jc w:val="left"/>
            </w:pPr>
            <w:r>
              <w:t xml:space="preserve"> 资格审查要求概况</w:t>
            </w:r>
          </w:p>
        </w:tc>
        <w:tc>
          <w:tcPr>
            <w:tcW w:w="4614" w:type="dxa"/>
          </w:tcPr>
          <w:p w14:paraId="760725B9">
            <w:pPr>
              <w:pStyle w:val="6"/>
              <w:jc w:val="left"/>
            </w:pPr>
            <w:r>
              <w:t xml:space="preserve"> 评审点具体描述</w:t>
            </w:r>
          </w:p>
        </w:tc>
      </w:tr>
      <w:tr w14:paraId="59B0F4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0928855B">
            <w:pPr>
              <w:pStyle w:val="6"/>
              <w:jc w:val="left"/>
            </w:pPr>
            <w:r>
              <w:t xml:space="preserve"> 无</w:t>
            </w:r>
          </w:p>
        </w:tc>
      </w:tr>
    </w:tbl>
    <w:p w14:paraId="77091880">
      <w:pPr>
        <w:pStyle w:val="6"/>
        <w:ind w:firstLine="480"/>
        <w:jc w:val="both"/>
      </w:pPr>
      <w:r>
        <w:t>（3）投标保证金。</w:t>
      </w:r>
    </w:p>
    <w:p w14:paraId="77A7682E">
      <w:pPr>
        <w:pStyle w:val="6"/>
        <w:ind w:firstLine="480"/>
        <w:jc w:val="both"/>
      </w:pPr>
      <w:r>
        <w:t>1.4有下列情形之一的，资格审查不合格：</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0A483D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50BE82A9">
            <w:pPr>
              <w:pStyle w:val="6"/>
              <w:jc w:val="left"/>
            </w:pPr>
            <w:r>
              <w:t xml:space="preserve"> 明细</w:t>
            </w:r>
          </w:p>
        </w:tc>
      </w:tr>
      <w:tr w14:paraId="47D2F1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2A111B69">
            <w:pPr>
              <w:pStyle w:val="6"/>
              <w:jc w:val="left"/>
            </w:pPr>
            <w:r>
              <w:t>未按照招标文件规定提交投标函</w:t>
            </w:r>
          </w:p>
        </w:tc>
      </w:tr>
      <w:tr w14:paraId="26CF2B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6FE1F5A1">
            <w:pPr>
              <w:pStyle w:val="6"/>
              <w:jc w:val="left"/>
            </w:pPr>
            <w:r>
              <w:t>未按照招标文件规定提交投标人的资格及资信文件</w:t>
            </w:r>
          </w:p>
        </w:tc>
      </w:tr>
      <w:tr w14:paraId="2DEB8A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2EDB9CB6">
            <w:pPr>
              <w:pStyle w:val="6"/>
              <w:jc w:val="left"/>
            </w:pPr>
            <w:r>
              <w:t>未按照招标文件规定提交投标保证金</w:t>
            </w:r>
          </w:p>
        </w:tc>
      </w:tr>
    </w:tbl>
    <w:p w14:paraId="6E326D9E">
      <w:pPr>
        <w:pStyle w:val="6"/>
        <w:ind w:firstLine="480"/>
        <w:jc w:val="left"/>
      </w:pPr>
      <w:r>
        <w:t>采购包1：</w:t>
      </w:r>
    </w:p>
    <w:p w14:paraId="3C531ACA">
      <w:pPr>
        <w:pStyle w:val="6"/>
        <w:jc w:val="left"/>
      </w:pPr>
      <w:r>
        <w:t>资格审查不合格项：</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18"/>
        <w:gridCol w:w="6788"/>
      </w:tblGrid>
      <w:tr w14:paraId="663E97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18" w:type="dxa"/>
          </w:tcPr>
          <w:p w14:paraId="37BE98A0">
            <w:pPr>
              <w:pStyle w:val="6"/>
              <w:jc w:val="left"/>
            </w:pPr>
            <w:r>
              <w:t xml:space="preserve"> 情形</w:t>
            </w:r>
          </w:p>
        </w:tc>
        <w:tc>
          <w:tcPr>
            <w:tcW w:w="6788" w:type="dxa"/>
          </w:tcPr>
          <w:p w14:paraId="7F7803C0">
            <w:pPr>
              <w:pStyle w:val="6"/>
              <w:jc w:val="left"/>
            </w:pPr>
            <w:r>
              <w:t xml:space="preserve"> 明细</w:t>
            </w:r>
          </w:p>
        </w:tc>
      </w:tr>
      <w:tr w14:paraId="428A37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18" w:type="dxa"/>
          </w:tcPr>
          <w:p w14:paraId="45953E19">
            <w:pPr>
              <w:pStyle w:val="6"/>
              <w:jc w:val="left"/>
            </w:pPr>
            <w:r>
              <w:t>其他情形</w:t>
            </w:r>
          </w:p>
        </w:tc>
        <w:tc>
          <w:tcPr>
            <w:tcW w:w="6788" w:type="dxa"/>
          </w:tcPr>
          <w:p w14:paraId="18132073">
            <w:pPr>
              <w:pStyle w:val="6"/>
              <w:jc w:val="left"/>
            </w:pPr>
            <w:r>
              <w:t>资格及资信证明部分中不得出现报价部分的全部或部分的投标报价信息（或组成资料），否则资格审查不合格。</w:t>
            </w:r>
          </w:p>
        </w:tc>
      </w:tr>
    </w:tbl>
    <w:p w14:paraId="4B161581">
      <w:pPr>
        <w:pStyle w:val="6"/>
        <w:jc w:val="left"/>
      </w:pPr>
      <w:r>
        <w:t>采购包2：</w:t>
      </w:r>
    </w:p>
    <w:p w14:paraId="03B0FEA5">
      <w:pPr>
        <w:pStyle w:val="6"/>
        <w:jc w:val="left"/>
      </w:pPr>
      <w:r>
        <w:t>资格审查不合格项：</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18"/>
        <w:gridCol w:w="6788"/>
      </w:tblGrid>
      <w:tr w14:paraId="24917B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18" w:type="dxa"/>
          </w:tcPr>
          <w:p w14:paraId="5FE91CF5">
            <w:pPr>
              <w:pStyle w:val="6"/>
              <w:jc w:val="left"/>
            </w:pPr>
            <w:r>
              <w:t xml:space="preserve"> 情形</w:t>
            </w:r>
          </w:p>
        </w:tc>
        <w:tc>
          <w:tcPr>
            <w:tcW w:w="6788" w:type="dxa"/>
          </w:tcPr>
          <w:p w14:paraId="1B8DF197">
            <w:pPr>
              <w:pStyle w:val="6"/>
              <w:jc w:val="left"/>
            </w:pPr>
            <w:r>
              <w:t xml:space="preserve"> 明细</w:t>
            </w:r>
          </w:p>
        </w:tc>
      </w:tr>
      <w:tr w14:paraId="04B39F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18" w:type="dxa"/>
          </w:tcPr>
          <w:p w14:paraId="6A2C46EE">
            <w:pPr>
              <w:pStyle w:val="6"/>
              <w:jc w:val="left"/>
            </w:pPr>
            <w:r>
              <w:t>其他情形</w:t>
            </w:r>
          </w:p>
        </w:tc>
        <w:tc>
          <w:tcPr>
            <w:tcW w:w="6788" w:type="dxa"/>
          </w:tcPr>
          <w:p w14:paraId="1237AE82">
            <w:pPr>
              <w:pStyle w:val="6"/>
              <w:jc w:val="left"/>
            </w:pPr>
            <w:r>
              <w:t>资格及资信证明部分中不得出现报价部分的全部或部分的投标报价信息（或组成资料），否则资格审查不合格。</w:t>
            </w:r>
          </w:p>
        </w:tc>
      </w:tr>
    </w:tbl>
    <w:p w14:paraId="235C7FDF">
      <w:pPr>
        <w:pStyle w:val="6"/>
        <w:jc w:val="left"/>
      </w:pPr>
      <w:r>
        <w:t>采购包3：</w:t>
      </w:r>
    </w:p>
    <w:p w14:paraId="400B7D09">
      <w:pPr>
        <w:pStyle w:val="6"/>
        <w:jc w:val="left"/>
      </w:pPr>
      <w:r>
        <w:t>资格审查不合格项：</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07"/>
        <w:gridCol w:w="6799"/>
      </w:tblGrid>
      <w:tr w14:paraId="0AF3B6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07" w:type="dxa"/>
          </w:tcPr>
          <w:p w14:paraId="2EE96B12">
            <w:pPr>
              <w:pStyle w:val="6"/>
              <w:jc w:val="left"/>
            </w:pPr>
            <w:r>
              <w:t xml:space="preserve"> 情形</w:t>
            </w:r>
          </w:p>
        </w:tc>
        <w:tc>
          <w:tcPr>
            <w:tcW w:w="6799" w:type="dxa"/>
          </w:tcPr>
          <w:p w14:paraId="10D63857">
            <w:pPr>
              <w:pStyle w:val="6"/>
              <w:jc w:val="left"/>
            </w:pPr>
            <w:r>
              <w:t xml:space="preserve"> 明细</w:t>
            </w:r>
          </w:p>
        </w:tc>
      </w:tr>
      <w:tr w14:paraId="6AD34C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07" w:type="dxa"/>
          </w:tcPr>
          <w:p w14:paraId="053DDDF2">
            <w:pPr>
              <w:pStyle w:val="6"/>
              <w:jc w:val="left"/>
            </w:pPr>
            <w:r>
              <w:t>其他情形</w:t>
            </w:r>
          </w:p>
        </w:tc>
        <w:tc>
          <w:tcPr>
            <w:tcW w:w="6799" w:type="dxa"/>
          </w:tcPr>
          <w:p w14:paraId="029D92CB">
            <w:pPr>
              <w:pStyle w:val="6"/>
              <w:jc w:val="left"/>
            </w:pPr>
            <w:r>
              <w:t>资格及资信证明部分中不得出现报价部分的全部或部分的投标报价信息（或组成资料），否则资格审查不合格。</w:t>
            </w:r>
          </w:p>
        </w:tc>
      </w:tr>
    </w:tbl>
    <w:p w14:paraId="1114A89F">
      <w:pPr>
        <w:pStyle w:val="6"/>
        <w:ind w:firstLine="480"/>
        <w:jc w:val="both"/>
      </w:pPr>
      <w:r>
        <w:t>1.5若本项目接受联合体投标且投标人为联合体，联合体中有同类资质的供应商按照联合体分工承担相同工作的，应先按照资质等级较低的供应商确定资质等级，再按照本章第1.2、1.3、1.4条规定进行资格审查。</w:t>
      </w:r>
    </w:p>
    <w:p w14:paraId="40019E73">
      <w:pPr>
        <w:pStyle w:val="6"/>
        <w:ind w:firstLine="480"/>
        <w:jc w:val="both"/>
      </w:pPr>
      <w:r>
        <w:t>2、资格审查情况不得私自外泄，有关信息由 福建省天海招标有限公司 统一对外发布。</w:t>
      </w:r>
    </w:p>
    <w:p w14:paraId="75C185D1">
      <w:pPr>
        <w:pStyle w:val="6"/>
        <w:ind w:firstLine="480"/>
        <w:jc w:val="both"/>
      </w:pPr>
      <w:r>
        <w:t>3、资格审查合格的投标人不足三家的，不进行评标。同时，本次采购活动结束， 福建省天海招标有限公司 将依法组织后续采购活动（包括但不限于：重新招标、采用其他方式采购等）。</w:t>
      </w:r>
    </w:p>
    <w:p w14:paraId="1856536D">
      <w:pPr>
        <w:pStyle w:val="6"/>
        <w:jc w:val="both"/>
        <w:outlineLvl w:val="2"/>
      </w:pPr>
      <w:r>
        <w:rPr>
          <w:b/>
          <w:sz w:val="28"/>
        </w:rPr>
        <w:t>二、评标</w:t>
      </w:r>
    </w:p>
    <w:p w14:paraId="2125CF8E">
      <w:pPr>
        <w:pStyle w:val="6"/>
        <w:ind w:firstLine="480"/>
        <w:jc w:val="both"/>
      </w:pPr>
      <w:r>
        <w:t>4、资格审查结束后，由 福建省天海招标有限公司 负责评标委员会的组建及评标工作的组织。</w:t>
      </w:r>
    </w:p>
    <w:p w14:paraId="5B3EE26A">
      <w:pPr>
        <w:pStyle w:val="6"/>
        <w:ind w:firstLine="480"/>
        <w:jc w:val="both"/>
      </w:pPr>
      <w:r>
        <w:t>5、评标委员会</w:t>
      </w:r>
    </w:p>
    <w:p w14:paraId="1E555B73">
      <w:pPr>
        <w:pStyle w:val="6"/>
        <w:ind w:firstLine="480"/>
        <w:jc w:val="both"/>
      </w:pPr>
      <w:r>
        <w:t>由采购人代表和评审专家两部分共5人组成，其中由福建省政府采购评审专家库产生的评审专家4人，由采购人派出的采购人代表1人。</w:t>
      </w:r>
    </w:p>
    <w:p w14:paraId="6A4335FD">
      <w:pPr>
        <w:pStyle w:val="6"/>
        <w:ind w:firstLine="480"/>
        <w:jc w:val="both"/>
      </w:pPr>
      <w:r>
        <w:t>5.2评标委员会负责具体评标事务，并按照下列原则依法独立履行有关职责：</w:t>
      </w:r>
    </w:p>
    <w:p w14:paraId="53CBA8A0">
      <w:pPr>
        <w:pStyle w:val="6"/>
        <w:ind w:firstLine="480"/>
        <w:jc w:val="both"/>
      </w:pPr>
      <w:r>
        <w:t>（1）评标应保护国家利益、社会公共利益和各方当事人合法权益，提高采购效益，保证项目质量。</w:t>
      </w:r>
    </w:p>
    <w:p w14:paraId="385E0386">
      <w:pPr>
        <w:pStyle w:val="6"/>
        <w:ind w:firstLine="480"/>
        <w:jc w:val="both"/>
      </w:pPr>
      <w:r>
        <w:t>（2）评标应遵循公平、公正、科学、严谨和择优原则。</w:t>
      </w:r>
    </w:p>
    <w:p w14:paraId="1215FA0C">
      <w:pPr>
        <w:pStyle w:val="6"/>
        <w:ind w:firstLine="480"/>
        <w:jc w:val="both"/>
      </w:pPr>
      <w:r>
        <w:t>（3）评标的依据是招标文件和电子投标文件。</w:t>
      </w:r>
    </w:p>
    <w:p w14:paraId="4058B614">
      <w:pPr>
        <w:pStyle w:val="6"/>
        <w:ind w:firstLine="480"/>
        <w:jc w:val="both"/>
      </w:pPr>
      <w:r>
        <w:t>（4）应按照招标文件规定推荐中标候选人或确定中标人。</w:t>
      </w:r>
    </w:p>
    <w:p w14:paraId="09D926A7">
      <w:pPr>
        <w:pStyle w:val="6"/>
        <w:ind w:firstLine="480"/>
        <w:jc w:val="both"/>
      </w:pPr>
      <w:r>
        <w:t>（5）评标应遵守下列评标纪律：</w:t>
      </w:r>
    </w:p>
    <w:p w14:paraId="2D5897D9">
      <w:pPr>
        <w:pStyle w:val="6"/>
        <w:ind w:firstLine="480"/>
        <w:jc w:val="both"/>
      </w:pPr>
      <w:r>
        <w:t>①评标情况不得私自外泄，有关信息由 福建省天海招标有限公司 统一对外发布。</w:t>
      </w:r>
    </w:p>
    <w:p w14:paraId="6E136209">
      <w:pPr>
        <w:pStyle w:val="6"/>
        <w:ind w:firstLine="480"/>
        <w:jc w:val="both"/>
      </w:pPr>
      <w:r>
        <w:t>②对 福建省天海招标有限公司 或投标人提供的要求保密的资料，不得摘记翻印和外传。</w:t>
      </w:r>
    </w:p>
    <w:p w14:paraId="6CF30F27">
      <w:pPr>
        <w:pStyle w:val="6"/>
        <w:ind w:firstLine="480"/>
        <w:jc w:val="both"/>
      </w:pPr>
      <w:r>
        <w:t>③不得收受投标人或有关人员的任何礼物，不得串联鼓动其他人袒护某投标人。若与投标人存在利害关系，则应主动声明并回避。</w:t>
      </w:r>
    </w:p>
    <w:p w14:paraId="7DE45E8C">
      <w:pPr>
        <w:pStyle w:val="6"/>
        <w:ind w:firstLine="480"/>
        <w:jc w:val="both"/>
      </w:pPr>
      <w:r>
        <w:t>④全体评委应按照招标文件规定进行评标，一切认定事项应查有实据且不得弄虚作假。</w:t>
      </w:r>
    </w:p>
    <w:p w14:paraId="5392EDAB">
      <w:pPr>
        <w:pStyle w:val="6"/>
        <w:ind w:firstLine="480"/>
        <w:jc w:val="both"/>
      </w:pPr>
      <w:r>
        <w:t>⑤评标中应充分发扬民主，推荐中标候选人或确定中标人后要服从评标报告。</w:t>
      </w:r>
    </w:p>
    <w:p w14:paraId="45B86455">
      <w:pPr>
        <w:pStyle w:val="6"/>
        <w:ind w:firstLine="480"/>
        <w:jc w:val="both"/>
      </w:pPr>
      <w:r>
        <w:t>※对违反评标纪律的评委，将取消其评委资格，对评标工作造成严重损失者将予以通报批评乃至追究法律责任。</w:t>
      </w:r>
    </w:p>
    <w:p w14:paraId="0C818D9A">
      <w:pPr>
        <w:pStyle w:val="6"/>
        <w:ind w:firstLine="480"/>
        <w:jc w:val="both"/>
      </w:pPr>
      <w:r>
        <w:t>6、评标程序</w:t>
      </w:r>
    </w:p>
    <w:p w14:paraId="198CC357">
      <w:pPr>
        <w:pStyle w:val="6"/>
        <w:ind w:firstLine="480"/>
        <w:jc w:val="both"/>
      </w:pPr>
      <w:r>
        <w:t>6.1评标前的准备工作</w:t>
      </w:r>
    </w:p>
    <w:p w14:paraId="11685F31">
      <w:pPr>
        <w:pStyle w:val="6"/>
        <w:ind w:firstLine="480"/>
        <w:jc w:val="both"/>
      </w:pPr>
      <w:r>
        <w:t>（1）全体评委应认真审阅招标文件，了解评委应履行或遵守的职责、义务和评标纪律。</w:t>
      </w:r>
    </w:p>
    <w:p w14:paraId="135DE182">
      <w:pPr>
        <w:pStyle w:val="6"/>
        <w:ind w:firstLine="480"/>
        <w:jc w:val="both"/>
      </w:pPr>
      <w:r>
        <w:t>（2）参加评标委员会的采购人代表可对本项目的背景和采购需求进行介绍，介绍材料应以书面形式提交（随采购文件一并存档），介绍内容不得含有歧视性、倾向性意见，不得超出招标文件所述范围。</w:t>
      </w:r>
    </w:p>
    <w:p w14:paraId="7F42C149">
      <w:pPr>
        <w:pStyle w:val="6"/>
        <w:ind w:firstLine="480"/>
        <w:jc w:val="both"/>
      </w:pPr>
      <w:r>
        <w:t>6.2符合性审查</w:t>
      </w:r>
    </w:p>
    <w:p w14:paraId="1D3492FD">
      <w:pPr>
        <w:pStyle w:val="6"/>
        <w:ind w:firstLine="480"/>
        <w:jc w:val="both"/>
      </w:pPr>
      <w:r>
        <w:t>（1）评标委员会依据招标文件的实质性要求，对通过资格审查的电子投标文件进行符合性审查，以确定其是否满足招标文件的实质性要求。</w:t>
      </w:r>
    </w:p>
    <w:p w14:paraId="4A6E4F3E">
      <w:pPr>
        <w:pStyle w:val="6"/>
        <w:ind w:firstLine="480"/>
        <w:jc w:val="both"/>
      </w:pPr>
      <w:r>
        <w:t>（2）满足招标文件的实质性要求指电子投标文件对招标文件实质性要求的响应不存在重大偏差或保留。</w:t>
      </w:r>
    </w:p>
    <w:p w14:paraId="248543B3">
      <w:pPr>
        <w:pStyle w:val="6"/>
        <w:ind w:firstLine="480"/>
        <w:jc w:val="both"/>
      </w:pPr>
      <w: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14:paraId="1988C40A">
      <w:pPr>
        <w:pStyle w:val="6"/>
        <w:ind w:firstLine="480"/>
        <w:jc w:val="both"/>
      </w:pPr>
      <w: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14:paraId="02AF8FA6">
      <w:pPr>
        <w:pStyle w:val="6"/>
        <w:ind w:firstLine="480"/>
        <w:jc w:val="both"/>
      </w:pPr>
      <w:r>
        <w:t>（5）评标委员会对所有投标人都执行相同的程序和标准。</w:t>
      </w:r>
    </w:p>
    <w:p w14:paraId="6E0C386B">
      <w:pPr>
        <w:pStyle w:val="6"/>
        <w:ind w:firstLine="480"/>
        <w:jc w:val="both"/>
      </w:pPr>
      <w:r>
        <w:t>（6）有下列情形之一的，符合性审查不合格：</w:t>
      </w:r>
    </w:p>
    <w:p w14:paraId="4575838F">
      <w:pPr>
        <w:pStyle w:val="6"/>
        <w:ind w:firstLine="480"/>
        <w:jc w:val="both"/>
      </w:pPr>
      <w:r>
        <w:t>①项目一般情形：</w:t>
      </w:r>
    </w:p>
    <w:p w14:paraId="2CAE211B">
      <w:pPr>
        <w:pStyle w:val="6"/>
        <w:jc w:val="left"/>
      </w:pPr>
      <w:r>
        <w:t>采购包1：</w:t>
      </w:r>
    </w:p>
    <w:tbl>
      <w:tblPr>
        <w:tblStyle w:val="4"/>
        <w:tblW w:w="8557"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1948"/>
        <w:gridCol w:w="5571"/>
      </w:tblGrid>
      <w:tr w14:paraId="76102E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16D45AB9">
            <w:pPr>
              <w:pStyle w:val="6"/>
              <w:jc w:val="left"/>
            </w:pPr>
            <w:r>
              <w:t xml:space="preserve"> 序号</w:t>
            </w:r>
          </w:p>
        </w:tc>
        <w:tc>
          <w:tcPr>
            <w:tcW w:w="1948" w:type="dxa"/>
          </w:tcPr>
          <w:p w14:paraId="24C9BC68">
            <w:pPr>
              <w:pStyle w:val="6"/>
              <w:jc w:val="left"/>
            </w:pPr>
            <w:r>
              <w:t xml:space="preserve"> 符合审查要求概况</w:t>
            </w:r>
          </w:p>
        </w:tc>
        <w:tc>
          <w:tcPr>
            <w:tcW w:w="5571" w:type="dxa"/>
          </w:tcPr>
          <w:p w14:paraId="26CF5A9C">
            <w:pPr>
              <w:pStyle w:val="6"/>
              <w:jc w:val="left"/>
            </w:pPr>
            <w:r>
              <w:t xml:space="preserve"> 评审点具体描述</w:t>
            </w:r>
          </w:p>
        </w:tc>
      </w:tr>
      <w:tr w14:paraId="11DD80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6AA33EDF">
            <w:pPr>
              <w:pStyle w:val="6"/>
              <w:jc w:val="left"/>
            </w:pPr>
            <w:r>
              <w:t>1</w:t>
            </w:r>
          </w:p>
        </w:tc>
        <w:tc>
          <w:tcPr>
            <w:tcW w:w="1948" w:type="dxa"/>
          </w:tcPr>
          <w:p w14:paraId="443546AA">
            <w:pPr>
              <w:pStyle w:val="6"/>
              <w:jc w:val="left"/>
            </w:pPr>
            <w:r>
              <w:t>情形1</w:t>
            </w:r>
          </w:p>
        </w:tc>
        <w:tc>
          <w:tcPr>
            <w:tcW w:w="5571" w:type="dxa"/>
          </w:tcPr>
          <w:p w14:paraId="565A6C69">
            <w:pPr>
              <w:pStyle w:val="6"/>
              <w:jc w:val="left"/>
            </w:pPr>
            <w:r>
              <w:t>违反招标文件中载明“投标无效”条款的规定；</w:t>
            </w:r>
          </w:p>
        </w:tc>
      </w:tr>
      <w:tr w14:paraId="259257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09DB0329">
            <w:pPr>
              <w:pStyle w:val="6"/>
              <w:jc w:val="left"/>
            </w:pPr>
            <w:r>
              <w:t>2</w:t>
            </w:r>
          </w:p>
        </w:tc>
        <w:tc>
          <w:tcPr>
            <w:tcW w:w="1948" w:type="dxa"/>
          </w:tcPr>
          <w:p w14:paraId="1025144E">
            <w:pPr>
              <w:pStyle w:val="6"/>
              <w:jc w:val="left"/>
            </w:pPr>
            <w:r>
              <w:t>情形2</w:t>
            </w:r>
          </w:p>
        </w:tc>
        <w:tc>
          <w:tcPr>
            <w:tcW w:w="5571" w:type="dxa"/>
          </w:tcPr>
          <w:p w14:paraId="2377C418">
            <w:pPr>
              <w:pStyle w:val="6"/>
              <w:jc w:val="left"/>
            </w:pPr>
            <w:r>
              <w:t>属于招标文件第三章第10.12条规定的投标无效情形；</w:t>
            </w:r>
          </w:p>
        </w:tc>
      </w:tr>
      <w:tr w14:paraId="1EBD08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79E6BFC3">
            <w:pPr>
              <w:pStyle w:val="6"/>
              <w:jc w:val="left"/>
            </w:pPr>
            <w:r>
              <w:t>3</w:t>
            </w:r>
          </w:p>
        </w:tc>
        <w:tc>
          <w:tcPr>
            <w:tcW w:w="1948" w:type="dxa"/>
          </w:tcPr>
          <w:p w14:paraId="0A397B7D">
            <w:pPr>
              <w:pStyle w:val="6"/>
              <w:jc w:val="left"/>
            </w:pPr>
            <w:r>
              <w:t>情形3</w:t>
            </w:r>
          </w:p>
        </w:tc>
        <w:tc>
          <w:tcPr>
            <w:tcW w:w="5571" w:type="dxa"/>
          </w:tcPr>
          <w:p w14:paraId="607FE61F">
            <w:pPr>
              <w:pStyle w:val="6"/>
              <w:jc w:val="left"/>
            </w:pPr>
            <w:r>
              <w:t>投标文件对招标文件实质性要求的响应存在重大偏离或保留。</w:t>
            </w:r>
          </w:p>
        </w:tc>
      </w:tr>
    </w:tbl>
    <w:p w14:paraId="007AA3EE">
      <w:pPr>
        <w:pStyle w:val="6"/>
        <w:jc w:val="left"/>
      </w:pPr>
      <w:r>
        <w:t>采购包2：</w:t>
      </w:r>
    </w:p>
    <w:tbl>
      <w:tblPr>
        <w:tblStyle w:val="4"/>
        <w:tblW w:w="8557"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1948"/>
        <w:gridCol w:w="5571"/>
      </w:tblGrid>
      <w:tr w14:paraId="0CF784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00E1A3D7">
            <w:pPr>
              <w:pStyle w:val="6"/>
              <w:jc w:val="left"/>
            </w:pPr>
            <w:r>
              <w:t xml:space="preserve"> 序号</w:t>
            </w:r>
          </w:p>
        </w:tc>
        <w:tc>
          <w:tcPr>
            <w:tcW w:w="1948" w:type="dxa"/>
          </w:tcPr>
          <w:p w14:paraId="33D8F8E2">
            <w:pPr>
              <w:pStyle w:val="6"/>
              <w:jc w:val="left"/>
            </w:pPr>
            <w:r>
              <w:t xml:space="preserve"> 符合审查要求概况</w:t>
            </w:r>
          </w:p>
        </w:tc>
        <w:tc>
          <w:tcPr>
            <w:tcW w:w="5571" w:type="dxa"/>
          </w:tcPr>
          <w:p w14:paraId="0C54A970">
            <w:pPr>
              <w:pStyle w:val="6"/>
              <w:jc w:val="left"/>
            </w:pPr>
            <w:r>
              <w:t xml:space="preserve"> 评审点具体描述</w:t>
            </w:r>
          </w:p>
        </w:tc>
      </w:tr>
      <w:tr w14:paraId="0C8B17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5144865B">
            <w:pPr>
              <w:pStyle w:val="6"/>
              <w:jc w:val="left"/>
            </w:pPr>
            <w:r>
              <w:t>1</w:t>
            </w:r>
          </w:p>
        </w:tc>
        <w:tc>
          <w:tcPr>
            <w:tcW w:w="1948" w:type="dxa"/>
          </w:tcPr>
          <w:p w14:paraId="7BE4BF8F">
            <w:pPr>
              <w:pStyle w:val="6"/>
              <w:jc w:val="left"/>
            </w:pPr>
            <w:r>
              <w:t>情形1</w:t>
            </w:r>
          </w:p>
        </w:tc>
        <w:tc>
          <w:tcPr>
            <w:tcW w:w="5571" w:type="dxa"/>
          </w:tcPr>
          <w:p w14:paraId="625094E2">
            <w:pPr>
              <w:pStyle w:val="6"/>
              <w:jc w:val="left"/>
            </w:pPr>
            <w:r>
              <w:t>违反招标文件中载明“投标无效”条款的规定；</w:t>
            </w:r>
          </w:p>
        </w:tc>
      </w:tr>
      <w:tr w14:paraId="3498DE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5A7128B0">
            <w:pPr>
              <w:pStyle w:val="6"/>
              <w:jc w:val="left"/>
            </w:pPr>
            <w:r>
              <w:t>2</w:t>
            </w:r>
          </w:p>
        </w:tc>
        <w:tc>
          <w:tcPr>
            <w:tcW w:w="1948" w:type="dxa"/>
          </w:tcPr>
          <w:p w14:paraId="03DBB3B6">
            <w:pPr>
              <w:pStyle w:val="6"/>
              <w:jc w:val="left"/>
            </w:pPr>
            <w:r>
              <w:t>情形2</w:t>
            </w:r>
          </w:p>
        </w:tc>
        <w:tc>
          <w:tcPr>
            <w:tcW w:w="5571" w:type="dxa"/>
          </w:tcPr>
          <w:p w14:paraId="3FAC772F">
            <w:pPr>
              <w:pStyle w:val="6"/>
              <w:jc w:val="left"/>
            </w:pPr>
            <w:r>
              <w:t>属于招标文件第三章第10.12条规定的投标无效情形；</w:t>
            </w:r>
          </w:p>
        </w:tc>
      </w:tr>
      <w:tr w14:paraId="741855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5A1B5095">
            <w:pPr>
              <w:pStyle w:val="6"/>
              <w:jc w:val="left"/>
            </w:pPr>
            <w:r>
              <w:t>3</w:t>
            </w:r>
          </w:p>
        </w:tc>
        <w:tc>
          <w:tcPr>
            <w:tcW w:w="1948" w:type="dxa"/>
          </w:tcPr>
          <w:p w14:paraId="222B0478">
            <w:pPr>
              <w:pStyle w:val="6"/>
              <w:jc w:val="left"/>
            </w:pPr>
            <w:r>
              <w:t>情形3</w:t>
            </w:r>
          </w:p>
        </w:tc>
        <w:tc>
          <w:tcPr>
            <w:tcW w:w="5571" w:type="dxa"/>
          </w:tcPr>
          <w:p w14:paraId="1E034CA9">
            <w:pPr>
              <w:pStyle w:val="6"/>
              <w:jc w:val="left"/>
            </w:pPr>
            <w:r>
              <w:t>投标文件对招标文件实质性要求的响应存在重大偏离或保留。</w:t>
            </w:r>
          </w:p>
        </w:tc>
      </w:tr>
    </w:tbl>
    <w:p w14:paraId="08D59F58">
      <w:pPr>
        <w:pStyle w:val="6"/>
        <w:jc w:val="left"/>
      </w:pPr>
      <w:r>
        <w:t>采购包3：</w:t>
      </w:r>
    </w:p>
    <w:tbl>
      <w:tblPr>
        <w:tblStyle w:val="4"/>
        <w:tblW w:w="857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1959"/>
        <w:gridCol w:w="5582"/>
      </w:tblGrid>
      <w:tr w14:paraId="4DDE1E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756B22BC">
            <w:pPr>
              <w:pStyle w:val="6"/>
              <w:jc w:val="left"/>
            </w:pPr>
            <w:r>
              <w:t xml:space="preserve"> 序号</w:t>
            </w:r>
          </w:p>
        </w:tc>
        <w:tc>
          <w:tcPr>
            <w:tcW w:w="1959" w:type="dxa"/>
          </w:tcPr>
          <w:p w14:paraId="717CC6FC">
            <w:pPr>
              <w:pStyle w:val="6"/>
              <w:jc w:val="left"/>
            </w:pPr>
            <w:r>
              <w:t xml:space="preserve"> 符合审查要求概况</w:t>
            </w:r>
          </w:p>
        </w:tc>
        <w:tc>
          <w:tcPr>
            <w:tcW w:w="5582" w:type="dxa"/>
          </w:tcPr>
          <w:p w14:paraId="46F7709B">
            <w:pPr>
              <w:pStyle w:val="6"/>
              <w:jc w:val="left"/>
            </w:pPr>
            <w:r>
              <w:t xml:space="preserve"> 评审点具体描述</w:t>
            </w:r>
          </w:p>
        </w:tc>
      </w:tr>
      <w:tr w14:paraId="459510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6BDCC4AE">
            <w:pPr>
              <w:pStyle w:val="6"/>
              <w:jc w:val="left"/>
            </w:pPr>
            <w:r>
              <w:t>1</w:t>
            </w:r>
          </w:p>
        </w:tc>
        <w:tc>
          <w:tcPr>
            <w:tcW w:w="1959" w:type="dxa"/>
          </w:tcPr>
          <w:p w14:paraId="3BC24C2B">
            <w:pPr>
              <w:pStyle w:val="6"/>
              <w:jc w:val="left"/>
            </w:pPr>
            <w:r>
              <w:t>情形1</w:t>
            </w:r>
          </w:p>
        </w:tc>
        <w:tc>
          <w:tcPr>
            <w:tcW w:w="5582" w:type="dxa"/>
          </w:tcPr>
          <w:p w14:paraId="41026F83">
            <w:pPr>
              <w:pStyle w:val="6"/>
              <w:jc w:val="left"/>
            </w:pPr>
            <w:r>
              <w:t>违反招标文件中载明“投标无效”条款的规定；</w:t>
            </w:r>
          </w:p>
        </w:tc>
      </w:tr>
      <w:tr w14:paraId="7ADF3F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4A78B1C5">
            <w:pPr>
              <w:pStyle w:val="6"/>
              <w:jc w:val="left"/>
            </w:pPr>
            <w:r>
              <w:t>2</w:t>
            </w:r>
          </w:p>
        </w:tc>
        <w:tc>
          <w:tcPr>
            <w:tcW w:w="1959" w:type="dxa"/>
          </w:tcPr>
          <w:p w14:paraId="59404EA7">
            <w:pPr>
              <w:pStyle w:val="6"/>
              <w:jc w:val="left"/>
            </w:pPr>
            <w:r>
              <w:t>情形2</w:t>
            </w:r>
          </w:p>
        </w:tc>
        <w:tc>
          <w:tcPr>
            <w:tcW w:w="5582" w:type="dxa"/>
          </w:tcPr>
          <w:p w14:paraId="1169D0ED">
            <w:pPr>
              <w:pStyle w:val="6"/>
              <w:jc w:val="left"/>
            </w:pPr>
            <w:r>
              <w:t>属于招标文件第三章第10.12条规定的投标无效情形；</w:t>
            </w:r>
          </w:p>
        </w:tc>
      </w:tr>
      <w:tr w14:paraId="4E6969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731C0967">
            <w:pPr>
              <w:pStyle w:val="6"/>
              <w:jc w:val="left"/>
            </w:pPr>
            <w:r>
              <w:t>3</w:t>
            </w:r>
          </w:p>
        </w:tc>
        <w:tc>
          <w:tcPr>
            <w:tcW w:w="1959" w:type="dxa"/>
          </w:tcPr>
          <w:p w14:paraId="6273786B">
            <w:pPr>
              <w:pStyle w:val="6"/>
              <w:jc w:val="left"/>
            </w:pPr>
            <w:r>
              <w:t>情形3</w:t>
            </w:r>
          </w:p>
        </w:tc>
        <w:tc>
          <w:tcPr>
            <w:tcW w:w="5582" w:type="dxa"/>
          </w:tcPr>
          <w:p w14:paraId="0D6BE009">
            <w:pPr>
              <w:pStyle w:val="6"/>
              <w:jc w:val="left"/>
            </w:pPr>
            <w:r>
              <w:t>投标文件对招标文件实质性要求的响应存在重大偏离或保留。</w:t>
            </w:r>
          </w:p>
        </w:tc>
      </w:tr>
    </w:tbl>
    <w:p w14:paraId="71A42E0A">
      <w:pPr>
        <w:pStyle w:val="6"/>
        <w:ind w:firstLine="480"/>
        <w:jc w:val="both"/>
      </w:pPr>
      <w:r>
        <w:t>②本项目规定的其他情形：</w:t>
      </w:r>
    </w:p>
    <w:p w14:paraId="0C6957CB">
      <w:pPr>
        <w:pStyle w:val="6"/>
        <w:jc w:val="left"/>
        <w:rPr>
          <w:color w:val="FF0000"/>
        </w:rPr>
      </w:pPr>
      <w:r>
        <w:rPr>
          <w:color w:val="FF0000"/>
        </w:rPr>
        <w:t>采购包1：</w:t>
      </w:r>
    </w:p>
    <w:p w14:paraId="137D95E5">
      <w:pPr>
        <w:pStyle w:val="6"/>
        <w:jc w:val="left"/>
        <w:rPr>
          <w:color w:val="FF0000"/>
        </w:rPr>
      </w:pPr>
      <w:r>
        <w:rPr>
          <w:color w:val="FF0000"/>
        </w:rPr>
        <w:t>技术符合性</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36"/>
        <w:gridCol w:w="7179"/>
      </w:tblGrid>
      <w:tr w14:paraId="2B33F3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36" w:type="dxa"/>
          </w:tcPr>
          <w:p w14:paraId="56A019A2">
            <w:pPr>
              <w:pStyle w:val="6"/>
              <w:jc w:val="left"/>
              <w:rPr>
                <w:color w:val="FF0000"/>
              </w:rPr>
            </w:pPr>
            <w:r>
              <w:rPr>
                <w:color w:val="FF0000"/>
              </w:rPr>
              <w:t xml:space="preserve"> 情形</w:t>
            </w:r>
          </w:p>
        </w:tc>
        <w:tc>
          <w:tcPr>
            <w:tcW w:w="7179" w:type="dxa"/>
          </w:tcPr>
          <w:p w14:paraId="114226E9">
            <w:pPr>
              <w:pStyle w:val="6"/>
              <w:jc w:val="left"/>
              <w:rPr>
                <w:color w:val="FF0000"/>
              </w:rPr>
            </w:pPr>
            <w:r>
              <w:rPr>
                <w:color w:val="FF0000"/>
              </w:rPr>
              <w:t xml:space="preserve"> 明细</w:t>
            </w:r>
          </w:p>
        </w:tc>
      </w:tr>
      <w:tr w14:paraId="719497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36" w:type="dxa"/>
          </w:tcPr>
          <w:p w14:paraId="2A3ABC72">
            <w:pPr>
              <w:pStyle w:val="6"/>
              <w:jc w:val="left"/>
              <w:rPr>
                <w:color w:val="FF0000"/>
              </w:rPr>
            </w:pPr>
            <w:r>
              <w:rPr>
                <w:color w:val="FF0000"/>
              </w:rPr>
              <w:t>其他情形</w:t>
            </w:r>
          </w:p>
        </w:tc>
        <w:tc>
          <w:tcPr>
            <w:tcW w:w="7179" w:type="dxa"/>
          </w:tcPr>
          <w:p w14:paraId="28B4279E">
            <w:pPr>
              <w:pStyle w:val="6"/>
              <w:jc w:val="left"/>
              <w:rPr>
                <w:color w:val="FF0000"/>
              </w:rPr>
            </w:pPr>
            <w:r>
              <w:rPr>
                <w:color w:val="FF0000"/>
              </w:rPr>
              <w:t>（1）若投标人的技术部分实际得分少于招标文件设定的技术部分总分50%，即视为技术部分未实质性响应招标文件要求，按无效投标处理； （2）招标文件 第五章 招标内容及要求中“ 二、技术和服务要求（以“★”标示的内容为不允许负偏离的实质性要求）”若出现负偏离，按无效投标处理； （3）出现评标标准中规定的投标无效的情形； （4）出现招标文件中载明“投标无效”条款的规定； （5）技术部分中不得出现报价部分的全部或部分的投标报价信息（或组成资料），否则按无效投标处理。</w:t>
            </w:r>
          </w:p>
        </w:tc>
      </w:tr>
      <w:tr w14:paraId="2C2F1A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36" w:type="dxa"/>
          </w:tcPr>
          <w:p w14:paraId="171FB59E">
            <w:pPr>
              <w:pStyle w:val="6"/>
              <w:jc w:val="left"/>
              <w:rPr>
                <w:color w:val="FF0000"/>
              </w:rPr>
            </w:pPr>
            <w:r>
              <w:rPr>
                <w:color w:val="FF0000"/>
              </w:rPr>
              <w:t>其他情形</w:t>
            </w:r>
          </w:p>
        </w:tc>
        <w:tc>
          <w:tcPr>
            <w:tcW w:w="7179" w:type="dxa"/>
          </w:tcPr>
          <w:p w14:paraId="11905F05">
            <w:pPr>
              <w:pStyle w:val="6"/>
              <w:jc w:val="left"/>
              <w:rPr>
                <w:rFonts w:hint="default"/>
                <w:color w:val="FF0000"/>
              </w:rPr>
            </w:pPr>
            <w:r>
              <w:rPr>
                <w:color w:val="FF0000"/>
              </w:rPr>
              <w:t>（1）</w:t>
            </w:r>
            <w:r>
              <w:rPr>
                <w:rFonts w:hint="default"/>
                <w:color w:val="FF0000"/>
              </w:rPr>
              <w:t>投标人须在投标文件中提供“投标人承诺所有投标材料均真实有效。如中标 后在任务实施过程中，业主可对中标人实施监督核查，一旦发现中标人存在虚假应标材料，业主有权利终止合同，并追究相关法律责任”的承诺书（格式自拟），未提供承诺书的将视为无效投标。</w:t>
            </w:r>
          </w:p>
          <w:p w14:paraId="0BD06D63">
            <w:pPr>
              <w:pStyle w:val="6"/>
              <w:jc w:val="left"/>
              <w:rPr>
                <w:color w:val="FF0000"/>
              </w:rPr>
            </w:pPr>
            <w:r>
              <w:rPr>
                <w:color w:val="FF0000"/>
              </w:rPr>
              <w:t>（</w:t>
            </w:r>
            <w:r>
              <w:rPr>
                <w:rFonts w:hint="eastAsia"/>
                <w:color w:val="FF0000"/>
                <w:lang w:val="en-US" w:eastAsia="zh-CN"/>
              </w:rPr>
              <w:t>2</w:t>
            </w:r>
            <w:r>
              <w:rPr>
                <w:color w:val="FF0000"/>
              </w:rPr>
              <w:t>）</w:t>
            </w:r>
            <w:r>
              <w:rPr>
                <w:rFonts w:hint="default"/>
                <w:color w:val="FF0000"/>
              </w:rPr>
              <w:t>投标人须承诺参加采购活动前三年内，投标人不存在被相关行政管理部门认定为提供虚假材料谋取中标的行为。需提供承诺函，否则按无效投标处理。格式自拟</w:t>
            </w:r>
            <w:r>
              <w:rPr>
                <w:rFonts w:hint="eastAsia"/>
                <w:color w:val="FF0000"/>
                <w:lang w:eastAsia="zh-CN"/>
              </w:rPr>
              <w:t>。</w:t>
            </w:r>
          </w:p>
        </w:tc>
      </w:tr>
    </w:tbl>
    <w:p w14:paraId="2CBFFC5B">
      <w:pPr>
        <w:pStyle w:val="6"/>
        <w:jc w:val="left"/>
        <w:rPr>
          <w:color w:val="FF0000"/>
        </w:rPr>
      </w:pPr>
      <w:r>
        <w:rPr>
          <w:color w:val="FF0000"/>
        </w:rPr>
        <w:t>商务符合性</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36"/>
        <w:gridCol w:w="7179"/>
      </w:tblGrid>
      <w:tr w14:paraId="3ADDDD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36" w:type="dxa"/>
          </w:tcPr>
          <w:p w14:paraId="4C973AB2">
            <w:pPr>
              <w:pStyle w:val="6"/>
              <w:jc w:val="left"/>
              <w:rPr>
                <w:color w:val="FF0000"/>
              </w:rPr>
            </w:pPr>
            <w:r>
              <w:rPr>
                <w:color w:val="FF0000"/>
              </w:rPr>
              <w:t xml:space="preserve"> 情形</w:t>
            </w:r>
          </w:p>
        </w:tc>
        <w:tc>
          <w:tcPr>
            <w:tcW w:w="7179" w:type="dxa"/>
          </w:tcPr>
          <w:p w14:paraId="35AEA23A">
            <w:pPr>
              <w:pStyle w:val="6"/>
              <w:jc w:val="left"/>
              <w:rPr>
                <w:color w:val="FF0000"/>
              </w:rPr>
            </w:pPr>
            <w:r>
              <w:rPr>
                <w:color w:val="FF0000"/>
              </w:rPr>
              <w:t xml:space="preserve"> 明细</w:t>
            </w:r>
          </w:p>
        </w:tc>
      </w:tr>
      <w:tr w14:paraId="0E06CE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36" w:type="dxa"/>
          </w:tcPr>
          <w:p w14:paraId="596F2B88">
            <w:pPr>
              <w:pStyle w:val="6"/>
              <w:jc w:val="left"/>
              <w:rPr>
                <w:color w:val="FF0000"/>
              </w:rPr>
            </w:pPr>
            <w:r>
              <w:rPr>
                <w:color w:val="FF0000"/>
              </w:rPr>
              <w:t>其他情形</w:t>
            </w:r>
          </w:p>
        </w:tc>
        <w:tc>
          <w:tcPr>
            <w:tcW w:w="7179" w:type="dxa"/>
          </w:tcPr>
          <w:p w14:paraId="21C2A0C9">
            <w:pPr>
              <w:pStyle w:val="6"/>
              <w:jc w:val="left"/>
              <w:rPr>
                <w:color w:val="FF0000"/>
              </w:rPr>
            </w:pPr>
            <w:r>
              <w:rPr>
                <w:color w:val="FF0000"/>
              </w:rPr>
              <w:t>（1）出现招标文件中载明“投标无效”条款的规定； （2）商务部分中不得出现报价部分的全部或部分的投标报价信息（或组成资料），否则按无效投标处理；（3）招标文件 第五章 招标内容及要求中“三、商务条件（以“★”标示的内容为不允许负偏离的实质性要求）”，其全部条款内容均为“以“★”标示的内容”，即“均为不允许负偏离的实质性要求”。</w:t>
            </w:r>
          </w:p>
        </w:tc>
      </w:tr>
    </w:tbl>
    <w:p w14:paraId="59B05C10">
      <w:pPr>
        <w:pStyle w:val="6"/>
        <w:jc w:val="left"/>
        <w:rPr>
          <w:color w:val="FF0000"/>
        </w:rPr>
      </w:pPr>
      <w:r>
        <w:rPr>
          <w:color w:val="FF0000"/>
        </w:rPr>
        <w:t>附加符合性：无</w:t>
      </w:r>
    </w:p>
    <w:p w14:paraId="6B63CB03">
      <w:pPr>
        <w:pStyle w:val="6"/>
        <w:jc w:val="left"/>
        <w:rPr>
          <w:color w:val="FF0000"/>
        </w:rPr>
      </w:pPr>
      <w:r>
        <w:rPr>
          <w:color w:val="FF0000"/>
        </w:rPr>
        <w:t>价格符合性：无</w:t>
      </w:r>
    </w:p>
    <w:p w14:paraId="6DE5975B">
      <w:pPr>
        <w:pStyle w:val="6"/>
        <w:jc w:val="left"/>
        <w:rPr>
          <w:color w:val="FF0000"/>
        </w:rPr>
      </w:pPr>
      <w:r>
        <w:rPr>
          <w:color w:val="FF0000"/>
        </w:rPr>
        <w:t>采购包2：</w:t>
      </w:r>
    </w:p>
    <w:p w14:paraId="63F7A66A">
      <w:pPr>
        <w:pStyle w:val="6"/>
        <w:jc w:val="left"/>
        <w:rPr>
          <w:color w:val="FF0000"/>
        </w:rPr>
      </w:pPr>
      <w:r>
        <w:rPr>
          <w:color w:val="FF0000"/>
        </w:rPr>
        <w:t>技术符合性</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36"/>
        <w:gridCol w:w="7179"/>
      </w:tblGrid>
      <w:tr w14:paraId="7291E9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36" w:type="dxa"/>
          </w:tcPr>
          <w:p w14:paraId="67C3A8D1">
            <w:pPr>
              <w:pStyle w:val="6"/>
              <w:jc w:val="left"/>
              <w:rPr>
                <w:color w:val="FF0000"/>
              </w:rPr>
            </w:pPr>
            <w:r>
              <w:rPr>
                <w:color w:val="FF0000"/>
              </w:rPr>
              <w:t xml:space="preserve"> 情形</w:t>
            </w:r>
          </w:p>
        </w:tc>
        <w:tc>
          <w:tcPr>
            <w:tcW w:w="7179" w:type="dxa"/>
          </w:tcPr>
          <w:p w14:paraId="0FDE37A9">
            <w:pPr>
              <w:pStyle w:val="6"/>
              <w:jc w:val="left"/>
              <w:rPr>
                <w:color w:val="FF0000"/>
              </w:rPr>
            </w:pPr>
            <w:r>
              <w:rPr>
                <w:color w:val="FF0000"/>
              </w:rPr>
              <w:t xml:space="preserve"> 明细</w:t>
            </w:r>
          </w:p>
        </w:tc>
      </w:tr>
      <w:tr w14:paraId="7A9EE2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36" w:type="dxa"/>
          </w:tcPr>
          <w:p w14:paraId="260D6A14">
            <w:pPr>
              <w:pStyle w:val="6"/>
              <w:jc w:val="left"/>
              <w:rPr>
                <w:color w:val="FF0000"/>
              </w:rPr>
            </w:pPr>
            <w:r>
              <w:rPr>
                <w:color w:val="FF0000"/>
              </w:rPr>
              <w:t>其他情形</w:t>
            </w:r>
          </w:p>
        </w:tc>
        <w:tc>
          <w:tcPr>
            <w:tcW w:w="7179" w:type="dxa"/>
          </w:tcPr>
          <w:p w14:paraId="4B4AAC59">
            <w:pPr>
              <w:pStyle w:val="6"/>
              <w:jc w:val="left"/>
              <w:rPr>
                <w:color w:val="FF0000"/>
              </w:rPr>
            </w:pPr>
            <w:r>
              <w:rPr>
                <w:color w:val="FF0000"/>
              </w:rPr>
              <w:t>（1）若投标人的技术部分实际得分少于招标文件设定的技术部分总分50%，即视为技术部分未实质性响应招标文件要求，按无效投标处理； （2）招标文件 第五章 招标内容及要求中“ 二、技术和服务要求（以“★”标示的内容为不允许负偏离的实质性要求）”若出现负偏离，按无效投标处理； （3）出现评标标准中规定的投标无效的情形； （4）出现招标文件中载明“投标无效”条款的规定； （5）技术部分中不得出现报价部分的全部或部分的投标报价信息（或组成资料），否则按无效投标处理。</w:t>
            </w:r>
          </w:p>
        </w:tc>
      </w:tr>
      <w:tr w14:paraId="3899E4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36" w:type="dxa"/>
          </w:tcPr>
          <w:p w14:paraId="00A556A3">
            <w:pPr>
              <w:pStyle w:val="6"/>
              <w:jc w:val="left"/>
              <w:rPr>
                <w:color w:val="FF0000"/>
              </w:rPr>
            </w:pPr>
            <w:r>
              <w:rPr>
                <w:color w:val="FF0000"/>
              </w:rPr>
              <w:t>其他情形</w:t>
            </w:r>
          </w:p>
        </w:tc>
        <w:tc>
          <w:tcPr>
            <w:tcW w:w="7179" w:type="dxa"/>
          </w:tcPr>
          <w:p w14:paraId="4C401837">
            <w:pPr>
              <w:pStyle w:val="6"/>
              <w:jc w:val="left"/>
              <w:rPr>
                <w:rFonts w:hint="default"/>
                <w:color w:val="FF0000"/>
              </w:rPr>
            </w:pPr>
            <w:r>
              <w:rPr>
                <w:color w:val="FF0000"/>
              </w:rPr>
              <w:t>（1）</w:t>
            </w:r>
            <w:r>
              <w:rPr>
                <w:rFonts w:hint="default"/>
                <w:color w:val="FF0000"/>
              </w:rPr>
              <w:t>投标人须在投标文件中提供“投标人承诺所有投标材料均真实有效。如中标 后在任务实施过程中，业主可对中标人实施监督核查，一旦发现中标人存在虚假应标材料，业主有权利终止合同，并追究相关法律责任”的承诺书（格式自拟），未提供承诺书的将视为无效投标。</w:t>
            </w:r>
          </w:p>
          <w:p w14:paraId="78A6C98A">
            <w:pPr>
              <w:pStyle w:val="6"/>
              <w:jc w:val="left"/>
              <w:rPr>
                <w:color w:val="FF0000"/>
              </w:rPr>
            </w:pPr>
            <w:r>
              <w:rPr>
                <w:color w:val="FF0000"/>
              </w:rPr>
              <w:t>（</w:t>
            </w:r>
            <w:r>
              <w:rPr>
                <w:rFonts w:hint="eastAsia"/>
                <w:color w:val="FF0000"/>
                <w:lang w:val="en-US" w:eastAsia="zh-CN"/>
              </w:rPr>
              <w:t>2</w:t>
            </w:r>
            <w:r>
              <w:rPr>
                <w:color w:val="FF0000"/>
              </w:rPr>
              <w:t>）</w:t>
            </w:r>
            <w:r>
              <w:rPr>
                <w:rFonts w:hint="default"/>
                <w:color w:val="FF0000"/>
              </w:rPr>
              <w:t>投标人须承诺参加采购活动前三年内，投标人不存在被相关行政管理部门认定为提供虚假材料谋取中标的行为。需提供承诺函，否则按无效投标处理。格式自拟</w:t>
            </w:r>
            <w:r>
              <w:rPr>
                <w:rFonts w:hint="eastAsia"/>
                <w:color w:val="FF0000"/>
                <w:lang w:eastAsia="zh-CN"/>
              </w:rPr>
              <w:t>。</w:t>
            </w:r>
          </w:p>
        </w:tc>
      </w:tr>
    </w:tbl>
    <w:p w14:paraId="36A473F2">
      <w:pPr>
        <w:pStyle w:val="6"/>
        <w:jc w:val="left"/>
        <w:rPr>
          <w:color w:val="FF0000"/>
        </w:rPr>
      </w:pPr>
      <w:r>
        <w:rPr>
          <w:color w:val="FF0000"/>
        </w:rPr>
        <w:t>商务符合性</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36"/>
        <w:gridCol w:w="7179"/>
      </w:tblGrid>
      <w:tr w14:paraId="5BF544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36" w:type="dxa"/>
          </w:tcPr>
          <w:p w14:paraId="17A147DE">
            <w:pPr>
              <w:pStyle w:val="6"/>
              <w:jc w:val="left"/>
              <w:rPr>
                <w:color w:val="FF0000"/>
              </w:rPr>
            </w:pPr>
            <w:r>
              <w:rPr>
                <w:color w:val="FF0000"/>
              </w:rPr>
              <w:t xml:space="preserve"> 情形</w:t>
            </w:r>
          </w:p>
        </w:tc>
        <w:tc>
          <w:tcPr>
            <w:tcW w:w="7179" w:type="dxa"/>
          </w:tcPr>
          <w:p w14:paraId="06A04A50">
            <w:pPr>
              <w:pStyle w:val="6"/>
              <w:jc w:val="left"/>
              <w:rPr>
                <w:color w:val="FF0000"/>
              </w:rPr>
            </w:pPr>
            <w:r>
              <w:rPr>
                <w:color w:val="FF0000"/>
              </w:rPr>
              <w:t xml:space="preserve"> 明细</w:t>
            </w:r>
          </w:p>
        </w:tc>
      </w:tr>
      <w:tr w14:paraId="03CE9D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36" w:type="dxa"/>
          </w:tcPr>
          <w:p w14:paraId="6A0B2DFA">
            <w:pPr>
              <w:pStyle w:val="6"/>
              <w:jc w:val="left"/>
              <w:rPr>
                <w:color w:val="FF0000"/>
              </w:rPr>
            </w:pPr>
            <w:r>
              <w:rPr>
                <w:color w:val="FF0000"/>
              </w:rPr>
              <w:t>其他情形</w:t>
            </w:r>
          </w:p>
        </w:tc>
        <w:tc>
          <w:tcPr>
            <w:tcW w:w="7179" w:type="dxa"/>
          </w:tcPr>
          <w:p w14:paraId="13214186">
            <w:pPr>
              <w:pStyle w:val="6"/>
              <w:jc w:val="left"/>
              <w:rPr>
                <w:color w:val="FF0000"/>
              </w:rPr>
            </w:pPr>
            <w:r>
              <w:rPr>
                <w:color w:val="FF0000"/>
              </w:rPr>
              <w:t>（1）出现招标文件中载明“投标无效”条款的规定； （2）商务部分中不得出现报价部分的全部或部分的投标报价信息（或组成资料），否则按无效投标处理；（3）招标文件 第五章 招标内容及要求中“三、商务条件（以“★”标示的内容为不允许负偏离的实质性要求）”，其全部条款内容均为“以“★”标示的内容”，即“均为不允许负偏离的实质性要求”。</w:t>
            </w:r>
          </w:p>
        </w:tc>
      </w:tr>
    </w:tbl>
    <w:p w14:paraId="24CAD3A7">
      <w:pPr>
        <w:pStyle w:val="6"/>
        <w:jc w:val="left"/>
        <w:rPr>
          <w:color w:val="FF0000"/>
        </w:rPr>
      </w:pPr>
      <w:bookmarkStart w:id="0" w:name="_GoBack"/>
      <w:bookmarkEnd w:id="0"/>
      <w:r>
        <w:rPr>
          <w:color w:val="FF0000"/>
        </w:rPr>
        <w:t>附加符合性：无</w:t>
      </w:r>
    </w:p>
    <w:p w14:paraId="2544D4B8">
      <w:pPr>
        <w:pStyle w:val="6"/>
        <w:jc w:val="left"/>
        <w:rPr>
          <w:color w:val="FF0000"/>
        </w:rPr>
      </w:pPr>
      <w:r>
        <w:rPr>
          <w:color w:val="FF0000"/>
        </w:rPr>
        <w:t>价格符合性：无</w:t>
      </w:r>
    </w:p>
    <w:p w14:paraId="08B64A52">
      <w:pPr>
        <w:pStyle w:val="6"/>
        <w:jc w:val="left"/>
        <w:rPr>
          <w:color w:val="FF0000"/>
        </w:rPr>
      </w:pPr>
      <w:r>
        <w:rPr>
          <w:color w:val="FF0000"/>
        </w:rPr>
        <w:t>采购包3：</w:t>
      </w:r>
    </w:p>
    <w:p w14:paraId="495EBD51">
      <w:pPr>
        <w:pStyle w:val="6"/>
        <w:jc w:val="left"/>
        <w:rPr>
          <w:color w:val="FF0000"/>
        </w:rPr>
      </w:pPr>
      <w:r>
        <w:rPr>
          <w:color w:val="FF0000"/>
        </w:rPr>
        <w:t>技术符合性</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36"/>
        <w:gridCol w:w="7179"/>
      </w:tblGrid>
      <w:tr w14:paraId="7EAE59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36" w:type="dxa"/>
          </w:tcPr>
          <w:p w14:paraId="06120C54">
            <w:pPr>
              <w:pStyle w:val="6"/>
              <w:jc w:val="left"/>
              <w:rPr>
                <w:color w:val="FF0000"/>
              </w:rPr>
            </w:pPr>
            <w:r>
              <w:rPr>
                <w:color w:val="FF0000"/>
              </w:rPr>
              <w:t xml:space="preserve"> 情形</w:t>
            </w:r>
          </w:p>
        </w:tc>
        <w:tc>
          <w:tcPr>
            <w:tcW w:w="7179" w:type="dxa"/>
          </w:tcPr>
          <w:p w14:paraId="1BF33B06">
            <w:pPr>
              <w:pStyle w:val="6"/>
              <w:jc w:val="left"/>
              <w:rPr>
                <w:color w:val="FF0000"/>
              </w:rPr>
            </w:pPr>
            <w:r>
              <w:rPr>
                <w:color w:val="FF0000"/>
              </w:rPr>
              <w:t xml:space="preserve"> 明细</w:t>
            </w:r>
          </w:p>
        </w:tc>
      </w:tr>
      <w:tr w14:paraId="28BDF9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36" w:type="dxa"/>
          </w:tcPr>
          <w:p w14:paraId="6FDEE931">
            <w:pPr>
              <w:pStyle w:val="6"/>
              <w:jc w:val="left"/>
              <w:rPr>
                <w:color w:val="FF0000"/>
              </w:rPr>
            </w:pPr>
            <w:r>
              <w:rPr>
                <w:color w:val="FF0000"/>
              </w:rPr>
              <w:t>其他情形</w:t>
            </w:r>
          </w:p>
        </w:tc>
        <w:tc>
          <w:tcPr>
            <w:tcW w:w="7179" w:type="dxa"/>
          </w:tcPr>
          <w:p w14:paraId="2ACB3C98">
            <w:pPr>
              <w:pStyle w:val="6"/>
              <w:jc w:val="left"/>
              <w:rPr>
                <w:color w:val="FF0000"/>
              </w:rPr>
            </w:pPr>
            <w:r>
              <w:rPr>
                <w:color w:val="FF0000"/>
              </w:rPr>
              <w:t>（1）若投标人的技术部分实际得分少于招标文件设定的技术部分总分50%，即视为技术部分未实质性响应招标文件要求，按无效投标处理； （2）招标文件 第五章 招标内容及要求中“ 二、技术和服务要求（以“★”标示的内容为不允许负偏离的实质性要求）”若出现负偏离，按无效投标处理； （3）出现评标标准中规定的投标无效的情形； （4）出现招标文件中载明“投标无效”条款的规定； （5）技术部分中不得出现报价部分的全部或部分的投标报价信息（或组成资料），否则按无效投标处理。</w:t>
            </w:r>
          </w:p>
        </w:tc>
      </w:tr>
      <w:tr w14:paraId="297F14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36" w:type="dxa"/>
          </w:tcPr>
          <w:p w14:paraId="71608235">
            <w:pPr>
              <w:pStyle w:val="6"/>
              <w:jc w:val="left"/>
              <w:rPr>
                <w:color w:val="FF0000"/>
              </w:rPr>
            </w:pPr>
            <w:r>
              <w:rPr>
                <w:color w:val="FF0000"/>
              </w:rPr>
              <w:t>其他情形</w:t>
            </w:r>
          </w:p>
        </w:tc>
        <w:tc>
          <w:tcPr>
            <w:tcW w:w="7179" w:type="dxa"/>
          </w:tcPr>
          <w:p w14:paraId="206C88B2">
            <w:pPr>
              <w:pStyle w:val="6"/>
              <w:jc w:val="left"/>
              <w:rPr>
                <w:rFonts w:hint="default"/>
                <w:color w:val="FF0000"/>
              </w:rPr>
            </w:pPr>
            <w:r>
              <w:rPr>
                <w:color w:val="FF0000"/>
              </w:rPr>
              <w:t>（1）</w:t>
            </w:r>
            <w:r>
              <w:rPr>
                <w:rFonts w:hint="default"/>
                <w:color w:val="FF0000"/>
              </w:rPr>
              <w:t>投标人须在投标文件中提供“投标人承诺所有投标材料均真实有效。如中标 后在任务实施过程中，业主可对中标人实施监督核查，一旦发现中标人存在虚假应标材料，业主有权利终止合同，并追究相关法律责任”的承诺书（格式自拟），未提供承诺书的将视为无效投标。</w:t>
            </w:r>
          </w:p>
          <w:p w14:paraId="065C1483">
            <w:pPr>
              <w:pStyle w:val="6"/>
              <w:jc w:val="left"/>
              <w:rPr>
                <w:color w:val="FF0000"/>
              </w:rPr>
            </w:pPr>
            <w:r>
              <w:rPr>
                <w:color w:val="FF0000"/>
              </w:rPr>
              <w:t>（</w:t>
            </w:r>
            <w:r>
              <w:rPr>
                <w:rFonts w:hint="eastAsia"/>
                <w:color w:val="FF0000"/>
                <w:lang w:val="en-US" w:eastAsia="zh-CN"/>
              </w:rPr>
              <w:t>2</w:t>
            </w:r>
            <w:r>
              <w:rPr>
                <w:color w:val="FF0000"/>
              </w:rPr>
              <w:t>）</w:t>
            </w:r>
            <w:r>
              <w:rPr>
                <w:rFonts w:hint="default"/>
                <w:color w:val="FF0000"/>
              </w:rPr>
              <w:t>投标人须承诺参加采购活动前三年内，投标人不存在被相关行政管理部门认定为提供虚假材料谋取中标的行为。需提供承诺函，否则按无效投标处理。格式自拟</w:t>
            </w:r>
            <w:r>
              <w:rPr>
                <w:rFonts w:hint="eastAsia"/>
                <w:color w:val="FF0000"/>
                <w:lang w:eastAsia="zh-CN"/>
              </w:rPr>
              <w:t>。</w:t>
            </w:r>
          </w:p>
        </w:tc>
      </w:tr>
    </w:tbl>
    <w:p w14:paraId="7C8021EB">
      <w:pPr>
        <w:pStyle w:val="6"/>
        <w:jc w:val="left"/>
        <w:rPr>
          <w:color w:val="FF0000"/>
        </w:rPr>
      </w:pPr>
      <w:r>
        <w:rPr>
          <w:color w:val="FF0000"/>
        </w:rPr>
        <w:t>商务符合性</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36"/>
        <w:gridCol w:w="7179"/>
      </w:tblGrid>
      <w:tr w14:paraId="39641C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36" w:type="dxa"/>
          </w:tcPr>
          <w:p w14:paraId="48257CE3">
            <w:pPr>
              <w:pStyle w:val="6"/>
              <w:jc w:val="left"/>
              <w:rPr>
                <w:color w:val="FF0000"/>
              </w:rPr>
            </w:pPr>
            <w:r>
              <w:rPr>
                <w:color w:val="FF0000"/>
              </w:rPr>
              <w:t xml:space="preserve"> 情形</w:t>
            </w:r>
          </w:p>
        </w:tc>
        <w:tc>
          <w:tcPr>
            <w:tcW w:w="7179" w:type="dxa"/>
          </w:tcPr>
          <w:p w14:paraId="10753FA1">
            <w:pPr>
              <w:pStyle w:val="6"/>
              <w:jc w:val="left"/>
              <w:rPr>
                <w:color w:val="FF0000"/>
              </w:rPr>
            </w:pPr>
            <w:r>
              <w:rPr>
                <w:color w:val="FF0000"/>
              </w:rPr>
              <w:t xml:space="preserve"> 明细</w:t>
            </w:r>
          </w:p>
        </w:tc>
      </w:tr>
      <w:tr w14:paraId="7F44F0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36" w:type="dxa"/>
          </w:tcPr>
          <w:p w14:paraId="11A0EA9C">
            <w:pPr>
              <w:pStyle w:val="6"/>
              <w:jc w:val="left"/>
              <w:rPr>
                <w:color w:val="FF0000"/>
              </w:rPr>
            </w:pPr>
            <w:r>
              <w:rPr>
                <w:color w:val="FF0000"/>
              </w:rPr>
              <w:t>其他情形</w:t>
            </w:r>
          </w:p>
        </w:tc>
        <w:tc>
          <w:tcPr>
            <w:tcW w:w="7179" w:type="dxa"/>
          </w:tcPr>
          <w:p w14:paraId="3948643E">
            <w:pPr>
              <w:pStyle w:val="6"/>
              <w:jc w:val="left"/>
              <w:rPr>
                <w:color w:val="FF0000"/>
              </w:rPr>
            </w:pPr>
            <w:r>
              <w:rPr>
                <w:color w:val="FF0000"/>
              </w:rPr>
              <w:t>（1）出现招标文件中载明“投标无效”条款的规定； （2）商务部分中不得出现报价部分的全部或部分的投标报价信息（或组成资料），否则按无效投标处理；（3）招标文件 第五章 招标内容及要求中“三、商务条件（以“★”标示的内容为不允许负偏离的实质性要求）”，其全部条款内容均为“以“★”标示的内容”，即“均为不允许负偏离的实质性要求”。</w:t>
            </w:r>
          </w:p>
        </w:tc>
      </w:tr>
    </w:tbl>
    <w:p w14:paraId="541F8B47">
      <w:pPr>
        <w:pStyle w:val="6"/>
        <w:jc w:val="left"/>
        <w:rPr>
          <w:color w:val="FF0000"/>
        </w:rPr>
      </w:pPr>
      <w:r>
        <w:rPr>
          <w:color w:val="FF0000"/>
        </w:rPr>
        <w:t>附加符合性：无</w:t>
      </w:r>
    </w:p>
    <w:p w14:paraId="01A9EEBC">
      <w:pPr>
        <w:pStyle w:val="6"/>
        <w:jc w:val="left"/>
        <w:rPr>
          <w:color w:val="FF0000"/>
        </w:rPr>
      </w:pPr>
      <w:r>
        <w:rPr>
          <w:color w:val="FF0000"/>
        </w:rPr>
        <w:t>价格符合性：无</w:t>
      </w:r>
    </w:p>
    <w:p w14:paraId="55646A1A">
      <w:pPr>
        <w:pStyle w:val="6"/>
        <w:ind w:firstLine="480"/>
        <w:jc w:val="both"/>
      </w:pPr>
      <w:r>
        <w:t>6.3澄清有关问题</w:t>
      </w:r>
    </w:p>
    <w:p w14:paraId="2FCC8C6C">
      <w:pPr>
        <w:pStyle w:val="6"/>
        <w:ind w:firstLine="480"/>
        <w:jc w:val="both"/>
      </w:pPr>
      <w:r>
        <w:t>（1）对通过符合性审查的电子投标文件中含义不明确、同类问题表述不一致或有明显文字和计算错误的内容，评标委员会将以书面形式要求投标人作出必要的澄清、说明或补正。</w:t>
      </w:r>
    </w:p>
    <w:p w14:paraId="364C6849">
      <w:pPr>
        <w:pStyle w:val="6"/>
        <w:ind w:firstLine="480"/>
        <w:jc w:val="both"/>
      </w:pPr>
      <w: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14:paraId="0FAB2F8F">
      <w:pPr>
        <w:pStyle w:val="6"/>
        <w:ind w:firstLine="480"/>
        <w:jc w:val="both"/>
      </w:pPr>
      <w:r>
        <w:t>（3）电子投标文件报价出现前后不一致的，除招标文件另有规定外，按照下列规定修正：</w:t>
      </w:r>
    </w:p>
    <w:p w14:paraId="7406B4E4">
      <w:pPr>
        <w:pStyle w:val="6"/>
        <w:ind w:firstLine="480"/>
        <w:jc w:val="both"/>
      </w:pPr>
      <w:r>
        <w:t>①开标（报价）一览表内容与电子投标文件中相应内容不一致的，以开标（报价）一览表为准；</w:t>
      </w:r>
    </w:p>
    <w:p w14:paraId="12772623">
      <w:pPr>
        <w:pStyle w:val="6"/>
        <w:ind w:firstLine="480"/>
        <w:jc w:val="both"/>
      </w:pPr>
      <w:r>
        <w:t>②大写金额和小写金额不一致的，以大写金额为准；</w:t>
      </w:r>
    </w:p>
    <w:p w14:paraId="708793BA">
      <w:pPr>
        <w:pStyle w:val="6"/>
        <w:ind w:firstLine="480"/>
        <w:jc w:val="both"/>
      </w:pPr>
      <w:r>
        <w:t>③单价金额小数点或百分比有明显错位的，以开标（报价）一览表的总价为准，并修改单价；</w:t>
      </w:r>
    </w:p>
    <w:p w14:paraId="7D33C20E">
      <w:pPr>
        <w:pStyle w:val="6"/>
        <w:ind w:firstLine="480"/>
        <w:jc w:val="both"/>
      </w:pPr>
      <w:r>
        <w:t>④总价金额与按照单价汇总金额不一致的，以单价金额计算结果为准。</w:t>
      </w:r>
    </w:p>
    <w:p w14:paraId="17CDBE59">
      <w:pPr>
        <w:pStyle w:val="6"/>
        <w:ind w:firstLine="480"/>
        <w:jc w:val="both"/>
      </w:pPr>
      <w:r>
        <w:t>※同时出现两种以上不一致的，按照前款规定的顺序修正。修正后的报价应按照本章第6.3条第（1）、（2）款规定经投标人确认后产生约束力，投标人不确认的，其投标无效。</w:t>
      </w:r>
    </w:p>
    <w:p w14:paraId="67020598">
      <w:pPr>
        <w:pStyle w:val="6"/>
        <w:ind w:firstLine="480"/>
        <w:jc w:val="both"/>
      </w:pPr>
      <w:r>
        <w:t>（4）关于细微偏差</w:t>
      </w:r>
    </w:p>
    <w:p w14:paraId="700C9ACF">
      <w:pPr>
        <w:pStyle w:val="6"/>
        <w:ind w:firstLine="480"/>
        <w:jc w:val="both"/>
      </w:pPr>
      <w: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14:paraId="456BE518">
      <w:pPr>
        <w:pStyle w:val="6"/>
        <w:ind w:firstLine="480"/>
        <w:jc w:val="both"/>
      </w:pPr>
      <w:r>
        <w:t>②评标委员会将以书面形式要求存在细微偏差的投标人在评标委员会规定的时间内予以补正。若无法补正，则评标委员会将按照不利于投标人的内容进行认定。</w:t>
      </w:r>
    </w:p>
    <w:p w14:paraId="5C395750">
      <w:pPr>
        <w:pStyle w:val="6"/>
        <w:ind w:firstLine="480"/>
        <w:jc w:val="both"/>
      </w:pPr>
      <w:r>
        <w:t>（5）关于投标描述（即电子投标文件中描述的内容）</w:t>
      </w:r>
    </w:p>
    <w:p w14:paraId="4920D47C">
      <w:pPr>
        <w:pStyle w:val="6"/>
        <w:ind w:firstLine="480"/>
        <w:jc w:val="both"/>
      </w:pPr>
      <w:r>
        <w:t>①投标描述前后不一致且不涉及证明材料的：按照本章第6.3条第（1）、（2）款规定执行。</w:t>
      </w:r>
    </w:p>
    <w:p w14:paraId="35C63652">
      <w:pPr>
        <w:pStyle w:val="6"/>
        <w:ind w:firstLine="480"/>
        <w:jc w:val="both"/>
      </w:pPr>
      <w:r>
        <w:t>②投标描述与证明材料不一致或多份证明材料之间不一致的：</w:t>
      </w:r>
    </w:p>
    <w:p w14:paraId="0E7CE38D">
      <w:pPr>
        <w:pStyle w:val="6"/>
        <w:ind w:firstLine="480"/>
        <w:jc w:val="both"/>
      </w:pPr>
      <w:r>
        <w:t>a.评标委员会将要求投标人进行书面澄清，并按照不利于投标人的内容进行评标。</w:t>
      </w:r>
    </w:p>
    <w:p w14:paraId="1D767559">
      <w:pPr>
        <w:pStyle w:val="6"/>
        <w:ind w:firstLine="480"/>
        <w:jc w:val="both"/>
      </w:pPr>
      <w:r>
        <w:t>b.投标人按照要求进行澄清的，采购人以澄清内容为准进行验收；投标人未按照要求进行澄清的，采购人以投标描述或证明材料中有利于采购人的内容进行验收。投标人应对证明材料的真实性、有效性承担责任。</w:t>
      </w:r>
    </w:p>
    <w:p w14:paraId="5E0A900F">
      <w:pPr>
        <w:pStyle w:val="6"/>
        <w:ind w:firstLine="480"/>
        <w:jc w:val="both"/>
      </w:pPr>
      <w: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14:paraId="33925022">
      <w:pPr>
        <w:pStyle w:val="6"/>
        <w:ind w:firstLine="480"/>
        <w:jc w:val="both"/>
      </w:pPr>
      <w:r>
        <w:t>6.4比较与评价</w:t>
      </w:r>
    </w:p>
    <w:p w14:paraId="4E946D17">
      <w:pPr>
        <w:pStyle w:val="6"/>
        <w:ind w:firstLine="480"/>
        <w:jc w:val="both"/>
      </w:pPr>
      <w:r>
        <w:t>（1）按照本章第7条载明的评标方法和标准，对符合性审查合格的电子投标文件进行比较与评价。</w:t>
      </w:r>
    </w:p>
    <w:p w14:paraId="3418CD62">
      <w:pPr>
        <w:pStyle w:val="6"/>
        <w:ind w:firstLine="480"/>
        <w:jc w:val="both"/>
      </w:pPr>
      <w:r>
        <w:t>（2）关于相同品牌产品（政府采购服务类项目不适用本条款规定）</w:t>
      </w:r>
    </w:p>
    <w:p w14:paraId="4B1ED756">
      <w:pPr>
        <w:pStyle w:val="6"/>
        <w:ind w:firstLine="480"/>
        <w:jc w:val="both"/>
      </w:pPr>
      <w: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14:paraId="0801AE9A">
      <w:pPr>
        <w:pStyle w:val="6"/>
        <w:ind w:firstLine="480"/>
        <w:jc w:val="both"/>
      </w:pPr>
      <w:r>
        <w:t>a.招标文件规定的方式：</w:t>
      </w:r>
    </w:p>
    <w:p w14:paraId="365CF1CE">
      <w:pPr>
        <w:pStyle w:val="6"/>
        <w:ind w:firstLine="480"/>
        <w:jc w:val="both"/>
      </w:pPr>
      <w:r>
        <w:t>无</w:t>
      </w:r>
    </w:p>
    <w:p w14:paraId="77BE365C">
      <w:pPr>
        <w:pStyle w:val="6"/>
        <w:ind w:firstLine="480"/>
        <w:jc w:val="both"/>
      </w:pPr>
      <w:r>
        <w:t>b.招标文件未规定的，采取随机抽取方式确定，其他投标无效。</w:t>
      </w:r>
    </w:p>
    <w:p w14:paraId="7E544C93">
      <w:pPr>
        <w:pStyle w:val="6"/>
        <w:ind w:firstLine="480"/>
        <w:jc w:val="both"/>
      </w:pPr>
      <w: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14:paraId="4B914921">
      <w:pPr>
        <w:pStyle w:val="6"/>
        <w:ind w:firstLine="480"/>
        <w:jc w:val="both"/>
      </w:pPr>
      <w:r>
        <w:t>a.招标文件规定的方式：</w:t>
      </w:r>
    </w:p>
    <w:p w14:paraId="47BA3DAE">
      <w:pPr>
        <w:pStyle w:val="6"/>
        <w:ind w:firstLine="480"/>
        <w:jc w:val="both"/>
      </w:pPr>
      <w:r>
        <w:t>无</w:t>
      </w:r>
    </w:p>
    <w:p w14:paraId="4DDFDE4B">
      <w:pPr>
        <w:pStyle w:val="6"/>
        <w:ind w:firstLine="480"/>
        <w:jc w:val="both"/>
      </w:pPr>
      <w:r>
        <w:t>b.招标文件未规定的，采取随机抽取方式确定，其他同品牌投标人不作为中标候选人。</w:t>
      </w:r>
    </w:p>
    <w:p w14:paraId="778640F1">
      <w:pPr>
        <w:pStyle w:val="6"/>
        <w:ind w:firstLine="480"/>
        <w:jc w:val="both"/>
      </w:pPr>
      <w:r>
        <w:t>③非单一产品采购项目，多家投标人提供的核心产品品牌相同的，按照本章第6.4条第（2）款第①、②规定处理。</w:t>
      </w:r>
    </w:p>
    <w:p w14:paraId="23417B0E">
      <w:pPr>
        <w:pStyle w:val="6"/>
        <w:ind w:firstLine="480"/>
        <w:jc w:val="both"/>
      </w:pPr>
      <w:r>
        <w:t>（3）漏（缺）项</w:t>
      </w:r>
    </w:p>
    <w:p w14:paraId="274B6B81">
      <w:pPr>
        <w:pStyle w:val="6"/>
        <w:ind w:firstLine="480"/>
        <w:jc w:val="both"/>
      </w:pPr>
      <w:r>
        <w:t>①招标文件中要求列入报价的费用（含配置、功能），漏（缺）项的报价视为已经包括在投标总价中。</w:t>
      </w:r>
    </w:p>
    <w:p w14:paraId="6AA04C15">
      <w:pPr>
        <w:pStyle w:val="6"/>
        <w:ind w:firstLine="480"/>
        <w:jc w:val="both"/>
      </w:pPr>
      <w:r>
        <w:t>②对多报项及赠送项的价格评标时不予核减，全部进入评标价评议。</w:t>
      </w:r>
    </w:p>
    <w:p w14:paraId="79A79690">
      <w:pPr>
        <w:pStyle w:val="6"/>
        <w:ind w:firstLine="480"/>
        <w:jc w:val="both"/>
      </w:pPr>
      <w:r>
        <w:t>6.5推荐中标候选人：详见本章第7.2条规定。</w:t>
      </w:r>
    </w:p>
    <w:p w14:paraId="4BA292B1">
      <w:pPr>
        <w:pStyle w:val="6"/>
        <w:ind w:firstLine="480"/>
        <w:jc w:val="both"/>
      </w:pPr>
      <w:r>
        <w:t>6.6编写评标报告</w:t>
      </w:r>
    </w:p>
    <w:p w14:paraId="6B83B78D">
      <w:pPr>
        <w:pStyle w:val="6"/>
        <w:ind w:firstLine="480"/>
        <w:jc w:val="both"/>
      </w:pPr>
      <w:r>
        <w:t>（1）评标报告由评标委员会负责编写。</w:t>
      </w:r>
    </w:p>
    <w:p w14:paraId="625434F5">
      <w:pPr>
        <w:pStyle w:val="6"/>
        <w:ind w:firstLine="480"/>
        <w:jc w:val="both"/>
      </w:pPr>
      <w:r>
        <w:t>（2）评标报告应包括下列内容：</w:t>
      </w:r>
    </w:p>
    <w:p w14:paraId="39BE7A53">
      <w:pPr>
        <w:pStyle w:val="6"/>
        <w:ind w:firstLine="480"/>
        <w:jc w:val="both"/>
      </w:pPr>
      <w:r>
        <w:t>①招标公告刊登的媒体名称、开标日期和地点；</w:t>
      </w:r>
    </w:p>
    <w:p w14:paraId="28D99780">
      <w:pPr>
        <w:pStyle w:val="6"/>
        <w:ind w:firstLine="480"/>
        <w:jc w:val="both"/>
      </w:pPr>
      <w:r>
        <w:t>②投标人名单和评标委员会成员名单；</w:t>
      </w:r>
    </w:p>
    <w:p w14:paraId="14EF281A">
      <w:pPr>
        <w:pStyle w:val="6"/>
        <w:ind w:firstLine="480"/>
        <w:jc w:val="both"/>
      </w:pPr>
      <w:r>
        <w:t>③评标方法和标准；</w:t>
      </w:r>
    </w:p>
    <w:p w14:paraId="2F5A6A45">
      <w:pPr>
        <w:pStyle w:val="6"/>
        <w:ind w:firstLine="480"/>
        <w:jc w:val="both"/>
      </w:pPr>
      <w:r>
        <w:t>④开标记录和评标情况及说明，包括无效投标人名单及原因；</w:t>
      </w:r>
    </w:p>
    <w:p w14:paraId="45A774E0">
      <w:pPr>
        <w:pStyle w:val="6"/>
        <w:ind w:firstLine="480"/>
        <w:jc w:val="both"/>
      </w:pPr>
      <w:r>
        <w:t>⑤评标结果，包括中标候选人名单或确定的中标人；</w:t>
      </w:r>
    </w:p>
    <w:p w14:paraId="7DB719C5">
      <w:pPr>
        <w:pStyle w:val="6"/>
        <w:ind w:firstLine="480"/>
        <w:jc w:val="both"/>
      </w:pPr>
      <w:r>
        <w:t>⑥其他需要说明的情况，包括但不限于：评标过程中投标人的澄清、说明或补正，评委更换等。</w:t>
      </w:r>
    </w:p>
    <w:p w14:paraId="23CDF873">
      <w:pPr>
        <w:pStyle w:val="6"/>
        <w:ind w:firstLine="480"/>
        <w:jc w:val="both"/>
      </w:pPr>
      <w: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14:paraId="76779F5B">
      <w:pPr>
        <w:pStyle w:val="6"/>
        <w:ind w:firstLine="480"/>
        <w:jc w:val="both"/>
      </w:pPr>
      <w:r>
        <w:t>6.8评委对需要共同认定的事项存在争议的，应按照少数服从多数的原则进行认定。持不同意见的评委应在评标报告上签署不同意见及理由，否则视为同意评标报告。</w:t>
      </w:r>
    </w:p>
    <w:p w14:paraId="45DC2AAF">
      <w:pPr>
        <w:pStyle w:val="6"/>
        <w:ind w:firstLine="480"/>
        <w:jc w:val="both"/>
      </w:pPr>
      <w:r>
        <w:t>6.9在评标过程中发现投标人有下列情形之一的，评标委员会应认定其投标无效，并书面报告本项目监督管理部门：</w:t>
      </w:r>
    </w:p>
    <w:p w14:paraId="08ED55E5">
      <w:pPr>
        <w:pStyle w:val="6"/>
        <w:ind w:firstLine="480"/>
        <w:jc w:val="both"/>
      </w:pPr>
      <w:r>
        <w:t>（1）恶意串通（包括但不限于招标文件第三章第9.7条规定情形）；</w:t>
      </w:r>
    </w:p>
    <w:p w14:paraId="352C21CA">
      <w:pPr>
        <w:pStyle w:val="6"/>
        <w:ind w:firstLine="480"/>
        <w:jc w:val="both"/>
      </w:pPr>
      <w:r>
        <w:t>（2）妨碍其他投标人的竞争行为；</w:t>
      </w:r>
    </w:p>
    <w:p w14:paraId="0166ED03">
      <w:pPr>
        <w:pStyle w:val="6"/>
        <w:ind w:firstLine="480"/>
        <w:jc w:val="both"/>
      </w:pPr>
      <w:r>
        <w:t>（3）损害采购人或其他投标人的合法权益。</w:t>
      </w:r>
    </w:p>
    <w:p w14:paraId="715D110C">
      <w:pPr>
        <w:pStyle w:val="6"/>
        <w:ind w:firstLine="480"/>
        <w:jc w:val="both"/>
      </w:pPr>
      <w:r>
        <w:t>6.10评标过程中，有下列情形之一的，应予废标：</w:t>
      </w:r>
    </w:p>
    <w:p w14:paraId="58193900">
      <w:pPr>
        <w:pStyle w:val="6"/>
        <w:ind w:firstLine="480"/>
        <w:jc w:val="both"/>
      </w:pPr>
      <w:r>
        <w:t>（1）符合性审查合格的投标人不足三家的；</w:t>
      </w:r>
    </w:p>
    <w:p w14:paraId="4AB646E7">
      <w:pPr>
        <w:pStyle w:val="6"/>
        <w:ind w:firstLine="480"/>
        <w:jc w:val="both"/>
      </w:pPr>
      <w:r>
        <w:t>（2）有关法律、法规和规章规定废标的情形。</w:t>
      </w:r>
    </w:p>
    <w:p w14:paraId="5E49EE8A">
      <w:pPr>
        <w:pStyle w:val="6"/>
        <w:ind w:firstLine="480"/>
        <w:jc w:val="both"/>
      </w:pPr>
      <w:r>
        <w:t>※若废标，则本次采购活动结束， 福建省天海招标有限公司 将依法组织后续采购活动（包括但不限于：重新招标、采用其他方式采购等）。</w:t>
      </w:r>
    </w:p>
    <w:p w14:paraId="345B7EE1">
      <w:pPr>
        <w:pStyle w:val="6"/>
        <w:ind w:firstLine="480"/>
        <w:jc w:val="both"/>
      </w:pPr>
      <w:r>
        <w:t>7、评标方法和标准</w:t>
      </w:r>
    </w:p>
    <w:p w14:paraId="615769F7">
      <w:pPr>
        <w:pStyle w:val="6"/>
        <w:ind w:firstLine="480"/>
        <w:jc w:val="both"/>
      </w:pPr>
      <w:r>
        <w:t>7.1评标方法：</w:t>
      </w:r>
    </w:p>
    <w:p w14:paraId="3397854D">
      <w:pPr>
        <w:pStyle w:val="6"/>
        <w:keepNext w:val="0"/>
        <w:keepLines w:val="0"/>
        <w:pageBreakBefore w:val="0"/>
        <w:widowControl/>
        <w:kinsoku/>
        <w:wordWrap/>
        <w:overflowPunct/>
        <w:topLinePunct w:val="0"/>
        <w:autoSpaceDE/>
        <w:autoSpaceDN/>
        <w:bidi w:val="0"/>
        <w:adjustRightInd/>
        <w:snapToGrid/>
        <w:ind w:firstLine="0"/>
        <w:jc w:val="both"/>
        <w:textAlignment w:val="auto"/>
        <w:rPr>
          <w:color w:val="FF0000"/>
        </w:rPr>
      </w:pPr>
      <w:r>
        <w:rPr>
          <w:color w:val="FF0000"/>
        </w:rPr>
        <w:t>采购包1：综合评分法</w:t>
      </w:r>
    </w:p>
    <w:p w14:paraId="137C8D76">
      <w:pPr>
        <w:pStyle w:val="6"/>
        <w:keepNext w:val="0"/>
        <w:keepLines w:val="0"/>
        <w:pageBreakBefore w:val="0"/>
        <w:widowControl/>
        <w:kinsoku/>
        <w:wordWrap/>
        <w:overflowPunct/>
        <w:topLinePunct w:val="0"/>
        <w:autoSpaceDE/>
        <w:autoSpaceDN/>
        <w:bidi w:val="0"/>
        <w:adjustRightInd/>
        <w:snapToGrid/>
        <w:ind w:firstLine="0"/>
        <w:jc w:val="both"/>
        <w:textAlignment w:val="auto"/>
        <w:rPr>
          <w:color w:val="FF0000"/>
        </w:rPr>
      </w:pPr>
      <w:r>
        <w:rPr>
          <w:color w:val="FF0000"/>
        </w:rPr>
        <w:t>采购包2：综合评分法</w:t>
      </w:r>
    </w:p>
    <w:p w14:paraId="6DB63651">
      <w:pPr>
        <w:pStyle w:val="6"/>
        <w:keepNext w:val="0"/>
        <w:keepLines w:val="0"/>
        <w:pageBreakBefore w:val="0"/>
        <w:widowControl/>
        <w:kinsoku/>
        <w:wordWrap/>
        <w:overflowPunct/>
        <w:topLinePunct w:val="0"/>
        <w:autoSpaceDE/>
        <w:autoSpaceDN/>
        <w:bidi w:val="0"/>
        <w:adjustRightInd/>
        <w:snapToGrid/>
        <w:ind w:firstLine="0"/>
        <w:jc w:val="both"/>
        <w:textAlignment w:val="auto"/>
        <w:rPr>
          <w:color w:val="FF0000"/>
        </w:rPr>
      </w:pPr>
      <w:r>
        <w:rPr>
          <w:color w:val="FF0000"/>
        </w:rPr>
        <w:t>采购包3：综合评分法</w:t>
      </w:r>
    </w:p>
    <w:p w14:paraId="3DB76649">
      <w:pPr>
        <w:pStyle w:val="6"/>
        <w:ind w:firstLine="480"/>
        <w:jc w:val="both"/>
        <w:rPr>
          <w:color w:val="FF0000"/>
        </w:rPr>
      </w:pPr>
      <w:r>
        <w:rPr>
          <w:color w:val="FF0000"/>
        </w:rPr>
        <w:t>7.2评标标准</w:t>
      </w:r>
    </w:p>
    <w:p w14:paraId="56E22837">
      <w:pPr>
        <w:pStyle w:val="6"/>
        <w:ind w:firstLine="480"/>
        <w:jc w:val="both"/>
        <w:rPr>
          <w:color w:val="FF0000"/>
        </w:rPr>
      </w:pPr>
      <w:r>
        <w:rPr>
          <w:color w:val="FF0000"/>
        </w:rPr>
        <w:t>采购包1：综合评分法</w:t>
      </w:r>
    </w:p>
    <w:p w14:paraId="43F4531E">
      <w:pPr>
        <w:pStyle w:val="6"/>
        <w:jc w:val="both"/>
        <w:rPr>
          <w:color w:val="FF0000"/>
        </w:rPr>
      </w:pPr>
      <w:r>
        <w:rPr>
          <w:color w:val="FF0000"/>
        </w:rPr>
        <w:t>（1）投标文件满足招标文件全部实质性要求，且按照评审因素的量化指标评审得分（即评标总得分）最高的投标人为中标候选人。</w:t>
      </w:r>
    </w:p>
    <w:p w14:paraId="5B23022D">
      <w:pPr>
        <w:pStyle w:val="6"/>
        <w:jc w:val="both"/>
        <w:rPr>
          <w:color w:val="FF0000"/>
        </w:rPr>
      </w:pPr>
      <w:r>
        <w:rPr>
          <w:color w:val="FF0000"/>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619609DE">
      <w:pPr>
        <w:pStyle w:val="6"/>
        <w:jc w:val="both"/>
        <w:rPr>
          <w:color w:val="FF0000"/>
        </w:rPr>
      </w:pPr>
      <w:r>
        <w:rPr>
          <w:color w:val="FF0000"/>
        </w:rPr>
        <w:t>各项评审因素的设置如下：</w:t>
      </w:r>
    </w:p>
    <w:p w14:paraId="2F9CEBF8">
      <w:pPr>
        <w:pStyle w:val="6"/>
        <w:jc w:val="both"/>
        <w:rPr>
          <w:color w:val="FF0000"/>
        </w:rPr>
      </w:pPr>
      <w:r>
        <w:rPr>
          <w:color w:val="FF0000"/>
        </w:rPr>
        <w:t>价格项（F1×A1）满分为12.0000分</w:t>
      </w:r>
    </w:p>
    <w:p w14:paraId="0770F300">
      <w:pPr>
        <w:pStyle w:val="6"/>
        <w:jc w:val="both"/>
        <w:rPr>
          <w:color w:val="FF0000"/>
        </w:rPr>
      </w:pPr>
      <w:r>
        <w:rPr>
          <w:color w:val="FF0000"/>
        </w:rPr>
        <w:t>F1指价格项评审因素得分＝（评标基准价/投标报价）×100×价格项评审因素所占的权重（注：满足招标文件要求且投标价格最低的投标报价为评标基准价。）最低报价不是中标的唯一依据。因落实政府采购政策进行价格调整的，以调整后的价格计算评标基准价和投标报价。</w:t>
      </w:r>
    </w:p>
    <w:p w14:paraId="0DF264A3">
      <w:pPr>
        <w:pStyle w:val="6"/>
        <w:jc w:val="both"/>
        <w:rPr>
          <w:color w:val="FF0000"/>
        </w:rPr>
      </w:pPr>
      <w:r>
        <w:rPr>
          <w:color w:val="FF0000"/>
        </w:rPr>
        <w:t>价格扣除的规则如下：</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00"/>
        <w:gridCol w:w="1425"/>
        <w:gridCol w:w="1082"/>
        <w:gridCol w:w="4886"/>
      </w:tblGrid>
      <w:tr w14:paraId="0E3A9D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00" w:type="dxa"/>
          </w:tcPr>
          <w:p w14:paraId="77AB0C96">
            <w:pPr>
              <w:pStyle w:val="6"/>
              <w:jc w:val="both"/>
              <w:rPr>
                <w:color w:val="FF0000"/>
              </w:rPr>
            </w:pPr>
            <w:r>
              <w:rPr>
                <w:color w:val="FF0000"/>
              </w:rPr>
              <w:t xml:space="preserve"> 项目</w:t>
            </w:r>
          </w:p>
        </w:tc>
        <w:tc>
          <w:tcPr>
            <w:tcW w:w="1425" w:type="dxa"/>
          </w:tcPr>
          <w:p w14:paraId="580AE995">
            <w:pPr>
              <w:pStyle w:val="6"/>
              <w:jc w:val="both"/>
              <w:rPr>
                <w:color w:val="FF0000"/>
              </w:rPr>
            </w:pPr>
            <w:r>
              <w:rPr>
                <w:color w:val="FF0000"/>
              </w:rPr>
              <w:t xml:space="preserve"> 适用对象</w:t>
            </w:r>
          </w:p>
        </w:tc>
        <w:tc>
          <w:tcPr>
            <w:tcW w:w="1082" w:type="dxa"/>
          </w:tcPr>
          <w:p w14:paraId="7C7C0482">
            <w:pPr>
              <w:pStyle w:val="6"/>
              <w:jc w:val="both"/>
              <w:rPr>
                <w:color w:val="FF0000"/>
              </w:rPr>
            </w:pPr>
            <w:r>
              <w:rPr>
                <w:color w:val="FF0000"/>
              </w:rPr>
              <w:t xml:space="preserve"> 比例</w:t>
            </w:r>
          </w:p>
        </w:tc>
        <w:tc>
          <w:tcPr>
            <w:tcW w:w="4886" w:type="dxa"/>
          </w:tcPr>
          <w:p w14:paraId="45CC3609">
            <w:pPr>
              <w:pStyle w:val="6"/>
              <w:jc w:val="both"/>
              <w:rPr>
                <w:color w:val="FF0000"/>
              </w:rPr>
            </w:pPr>
            <w:r>
              <w:rPr>
                <w:color w:val="FF0000"/>
              </w:rPr>
              <w:t xml:space="preserve"> 描述</w:t>
            </w:r>
          </w:p>
        </w:tc>
      </w:tr>
      <w:tr w14:paraId="374C32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00" w:type="dxa"/>
          </w:tcPr>
          <w:p w14:paraId="65627F63">
            <w:pPr>
              <w:pStyle w:val="6"/>
              <w:jc w:val="both"/>
              <w:rPr>
                <w:color w:val="FF0000"/>
              </w:rPr>
            </w:pPr>
            <w:r>
              <w:rPr>
                <w:color w:val="FF0000"/>
              </w:rPr>
              <w:t>小型、微型企业，监狱企业，残疾人福利性单位</w:t>
            </w:r>
          </w:p>
        </w:tc>
        <w:tc>
          <w:tcPr>
            <w:tcW w:w="1425" w:type="dxa"/>
          </w:tcPr>
          <w:p w14:paraId="420D7A78">
            <w:pPr>
              <w:pStyle w:val="6"/>
              <w:jc w:val="both"/>
              <w:rPr>
                <w:color w:val="FF0000"/>
              </w:rPr>
            </w:pPr>
            <w:r>
              <w:rPr>
                <w:color w:val="FF0000"/>
              </w:rPr>
              <w:t>投标人或者联合体均为小型、微型企业</w:t>
            </w:r>
          </w:p>
        </w:tc>
        <w:tc>
          <w:tcPr>
            <w:tcW w:w="1082" w:type="dxa"/>
          </w:tcPr>
          <w:p w14:paraId="1308F8DA">
            <w:pPr>
              <w:pStyle w:val="6"/>
              <w:jc w:val="right"/>
              <w:rPr>
                <w:color w:val="FF0000"/>
              </w:rPr>
            </w:pPr>
            <w:r>
              <w:rPr>
                <w:color w:val="FF0000"/>
              </w:rPr>
              <w:t>15.0000%</w:t>
            </w:r>
          </w:p>
        </w:tc>
        <w:tc>
          <w:tcPr>
            <w:tcW w:w="4886" w:type="dxa"/>
          </w:tcPr>
          <w:p w14:paraId="47F4476F">
            <w:pPr>
              <w:pStyle w:val="6"/>
              <w:jc w:val="both"/>
              <w:rPr>
                <w:color w:val="FF0000"/>
              </w:rPr>
            </w:pPr>
            <w:r>
              <w:rPr>
                <w:color w:val="FF0000"/>
              </w:rPr>
              <w:t>1、评审时，对符合《政府采购促进中小企业发展管理办法》（财库﹝2020﹞46号）及《福建省财政厅关于进一步加大政府采购支持中小企业力度的通知》（闽财规〔2022〕13号）规定的小微企业报价给予价格扣除【货物和服务项目为15%；工程项目为5%；对于联合协议或者分包意向协议约定小微企业的合同份额占到合同总金额30%以上的，对联合体或者大中型企业的报价扣除比例为5%（工程项目为2%）】，用扣除后的价格参加评审。投标人须提供合格的中小企业声明函（格式详见第七章），否则不予价格扣除。 2、根据财政部、司法部联合印发《关于政府采购支持监狱企业发展有关问题的通知》（财库【2014】68号）文件规定，凡监狱企业参加政府采购活动视同小型、微型企业，享受评审价格扣除的政府采购优惠政策。此次若有监狱企业参加投标的其报价享受小微企业同等比例的价格扣除，但必须提供由省级以上监狱管理局、戒毒管理局（含新疆生产建设兵团）出具的属于监狱企业的证明文件，否则评审时不予价格扣除优惠。 3、根据财政部、民政部、中国残联文件（财库[2017]141号）及福建省财政厅、福建省民政厅、福建省残疾人联合会联合发布的《关于进一步落实政府采购支持残疾人就业政策的通知》、福建省财政厅《关于残疾人福利性单位参加政府 采购活动价格扣除的通知》，凡符合上述文件要求条件的残疾人福利性单位在参加政府采购活动时视同小型、微型企业，享受预留份额、评审中价格扣除等促进中小企业发展的政府采购政策。此次若有参加投标的对残疾人福利性单位报价部分给予小微企业同等比例的扣除（对残疾人福利性单位与其他组织组成联合体参与政府采购活动的，残疾人福利性单位的协议合同金额占总合同金额30%以上的，货物和服务项目对联合体或者大中型企业的报价扣除比例为5%，但必须提供《残疾人福利性单位声明函》（格式详见第七章），对于残疾人福利性单位参与货物项目的，必须标明具体哪些货物是其本单位制造的货物，或者是由其他残疾人福利性单位制造的货物（不包括使用非残疾人福利性单位注册商标的货物），仅有标明部分的货物才能启动价格扣除，并对声明的真实性负责，否则评审时不予价格扣除优惠。 4、具体详见招标文件第三章、第七章规定，上述规定与政府采购相关法律、法规、制度等有冲突的，以现行法律、法规、制度等执行。 5、本本项目为服务类采购项目，采购标的对应的中小企业划分标准所属行业为其他未列明行业。</w:t>
            </w:r>
          </w:p>
        </w:tc>
      </w:tr>
    </w:tbl>
    <w:p w14:paraId="6C11197F">
      <w:pPr>
        <w:pStyle w:val="6"/>
        <w:jc w:val="both"/>
        <w:rPr>
          <w:color w:val="FF0000"/>
        </w:rPr>
      </w:pPr>
      <w:r>
        <w:rPr>
          <w:color w:val="FF0000"/>
        </w:rPr>
        <w:t>优先类节能产品、环境标志产品的价格扣除规则如下</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22"/>
        <w:gridCol w:w="1071"/>
        <w:gridCol w:w="6311"/>
      </w:tblGrid>
      <w:tr w14:paraId="05C476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22" w:type="dxa"/>
          </w:tcPr>
          <w:p w14:paraId="3FCC1B37">
            <w:pPr>
              <w:pStyle w:val="6"/>
              <w:jc w:val="both"/>
              <w:rPr>
                <w:color w:val="FF0000"/>
              </w:rPr>
            </w:pPr>
            <w:r>
              <w:rPr>
                <w:color w:val="FF0000"/>
              </w:rPr>
              <w:t xml:space="preserve"> 项目</w:t>
            </w:r>
          </w:p>
        </w:tc>
        <w:tc>
          <w:tcPr>
            <w:tcW w:w="1071" w:type="dxa"/>
          </w:tcPr>
          <w:p w14:paraId="1E66D121">
            <w:pPr>
              <w:pStyle w:val="6"/>
              <w:jc w:val="both"/>
              <w:rPr>
                <w:color w:val="FF0000"/>
              </w:rPr>
            </w:pPr>
            <w:r>
              <w:rPr>
                <w:color w:val="FF0000"/>
              </w:rPr>
              <w:t xml:space="preserve"> 比例</w:t>
            </w:r>
          </w:p>
        </w:tc>
        <w:tc>
          <w:tcPr>
            <w:tcW w:w="6311" w:type="dxa"/>
          </w:tcPr>
          <w:p w14:paraId="29616189">
            <w:pPr>
              <w:pStyle w:val="6"/>
              <w:jc w:val="both"/>
              <w:rPr>
                <w:color w:val="FF0000"/>
              </w:rPr>
            </w:pPr>
            <w:r>
              <w:rPr>
                <w:color w:val="FF0000"/>
              </w:rPr>
              <w:t xml:space="preserve"> 方法</w:t>
            </w:r>
          </w:p>
        </w:tc>
      </w:tr>
      <w:tr w14:paraId="2CBCBF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22" w:type="dxa"/>
          </w:tcPr>
          <w:p w14:paraId="149E6E72">
            <w:pPr>
              <w:pStyle w:val="6"/>
              <w:jc w:val="both"/>
              <w:rPr>
                <w:color w:val="FF0000"/>
              </w:rPr>
            </w:pPr>
            <w:r>
              <w:rPr>
                <w:color w:val="FF0000"/>
              </w:rPr>
              <w:t>节能、环境标志产品</w:t>
            </w:r>
          </w:p>
        </w:tc>
        <w:tc>
          <w:tcPr>
            <w:tcW w:w="1071" w:type="dxa"/>
          </w:tcPr>
          <w:p w14:paraId="19D488D4">
            <w:pPr>
              <w:pStyle w:val="6"/>
              <w:jc w:val="right"/>
              <w:rPr>
                <w:color w:val="FF0000"/>
              </w:rPr>
            </w:pPr>
            <w:r>
              <w:rPr>
                <w:color w:val="FF0000"/>
              </w:rPr>
              <w:t>10.0000%</w:t>
            </w:r>
          </w:p>
        </w:tc>
        <w:tc>
          <w:tcPr>
            <w:tcW w:w="6311" w:type="dxa"/>
          </w:tcPr>
          <w:p w14:paraId="03796177">
            <w:pPr>
              <w:pStyle w:val="6"/>
              <w:jc w:val="both"/>
              <w:rPr>
                <w:color w:val="FF0000"/>
              </w:rPr>
            </w:pPr>
            <w:r>
              <w:rPr>
                <w:color w:val="FF0000"/>
              </w:rPr>
              <w:t>1、同一采购包内，对节能产品、环境标志产品政府采购品目清单范围内，实施优先采购的产品，给予产品价格报价10%的扣除，用扣除后的价格参加评审。采购标的同时包含其它非优先采购产品的，应当在采购文件中要求供应商对优先采购产品和非优先采购产品进行分项报价，非优先采购产品的报价不得享受给予节能产品、环境标志产品的价格扣除优惠。2、同一优先采购产品中各认证证书不重复计算价格扣除。强制类节能产品不进行价格扣除。3、对于同时属于节能、环境标志的产品，应当优先于只获得其中一项认证的产品。投标人在投标时必须对属于节能、环境标志产品单独在节能(非强制类)、环境标志产品统计表中填写，并提供产品的证明资料复印件附在报价部分(电子证明资料应上传在对应评分模块)且加盖投标人公章。未单独分项报价或未按规定提供产品的证明资料的不给予扣除。投标产品属于节能、环境标志产品的，可享受相关的鼓励优惠政策。若节能、环境标志产品仅是构成投标产品的部件、组件或零件的，则该投标产品不享受鼓励优惠政策。评标委员会审查此项响应性只根据投标文件本身的内容，而不寻求其他的外部证据。</w:t>
            </w:r>
          </w:p>
        </w:tc>
      </w:tr>
    </w:tbl>
    <w:p w14:paraId="0624E40A">
      <w:pPr>
        <w:pStyle w:val="6"/>
        <w:jc w:val="both"/>
        <w:rPr>
          <w:color w:val="FF0000"/>
        </w:rPr>
      </w:pPr>
      <w:r>
        <w:rPr>
          <w:color w:val="FF0000"/>
        </w:rPr>
        <w:t>其他：无</w:t>
      </w:r>
    </w:p>
    <w:p w14:paraId="3DA96B59">
      <w:pPr>
        <w:pStyle w:val="6"/>
        <w:jc w:val="both"/>
        <w:rPr>
          <w:color w:val="FF0000"/>
        </w:rPr>
      </w:pPr>
      <w:r>
        <w:rPr>
          <w:color w:val="FF0000"/>
        </w:rPr>
        <w:t>技术项（F2×A2）满分为78.0000分</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11"/>
        <w:gridCol w:w="1082"/>
        <w:gridCol w:w="6311"/>
      </w:tblGrid>
      <w:tr w14:paraId="57FC2A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11" w:type="dxa"/>
          </w:tcPr>
          <w:p w14:paraId="6080DC24">
            <w:pPr>
              <w:pStyle w:val="6"/>
              <w:jc w:val="both"/>
              <w:rPr>
                <w:color w:val="FF0000"/>
              </w:rPr>
            </w:pPr>
            <w:r>
              <w:rPr>
                <w:color w:val="FF0000"/>
              </w:rPr>
              <w:t xml:space="preserve"> 项目</w:t>
            </w:r>
          </w:p>
        </w:tc>
        <w:tc>
          <w:tcPr>
            <w:tcW w:w="1082" w:type="dxa"/>
          </w:tcPr>
          <w:p w14:paraId="3B101DD0">
            <w:pPr>
              <w:pStyle w:val="6"/>
              <w:jc w:val="both"/>
              <w:rPr>
                <w:color w:val="FF0000"/>
              </w:rPr>
            </w:pPr>
            <w:r>
              <w:rPr>
                <w:color w:val="FF0000"/>
              </w:rPr>
              <w:t xml:space="preserve"> 分值</w:t>
            </w:r>
          </w:p>
        </w:tc>
        <w:tc>
          <w:tcPr>
            <w:tcW w:w="6311" w:type="dxa"/>
          </w:tcPr>
          <w:p w14:paraId="0F633238">
            <w:pPr>
              <w:pStyle w:val="6"/>
              <w:jc w:val="both"/>
              <w:rPr>
                <w:color w:val="FF0000"/>
              </w:rPr>
            </w:pPr>
            <w:r>
              <w:rPr>
                <w:color w:val="FF0000"/>
              </w:rPr>
              <w:t xml:space="preserve"> 描述</w:t>
            </w:r>
          </w:p>
        </w:tc>
      </w:tr>
      <w:tr w14:paraId="36C755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11" w:type="dxa"/>
          </w:tcPr>
          <w:p w14:paraId="01EFB440">
            <w:pPr>
              <w:pStyle w:val="6"/>
              <w:jc w:val="both"/>
              <w:rPr>
                <w:color w:val="FF0000"/>
              </w:rPr>
            </w:pPr>
            <w:r>
              <w:rPr>
                <w:color w:val="FF0000"/>
              </w:rPr>
              <w:t>1、技术和服务响应情况</w:t>
            </w:r>
          </w:p>
        </w:tc>
        <w:tc>
          <w:tcPr>
            <w:tcW w:w="1082" w:type="dxa"/>
          </w:tcPr>
          <w:p w14:paraId="4763147F">
            <w:pPr>
              <w:pStyle w:val="6"/>
              <w:jc w:val="right"/>
              <w:rPr>
                <w:color w:val="FF0000"/>
              </w:rPr>
            </w:pPr>
            <w:r>
              <w:rPr>
                <w:color w:val="FF0000"/>
              </w:rPr>
              <w:t>3.0000</w:t>
            </w:r>
          </w:p>
        </w:tc>
        <w:tc>
          <w:tcPr>
            <w:tcW w:w="6311" w:type="dxa"/>
          </w:tcPr>
          <w:p w14:paraId="5036E429">
            <w:pPr>
              <w:pStyle w:val="6"/>
              <w:jc w:val="both"/>
              <w:rPr>
                <w:color w:val="FF0000"/>
              </w:rPr>
            </w:pPr>
            <w:r>
              <w:rPr>
                <w:color w:val="FF0000"/>
              </w:rPr>
              <w:t>根据各投标人所投服务对《第五章招标内容及要求》“二、技术和服务要求”中的各项技术要求的响应、承诺情况并结合相关佐证材料（如有要求）由评委进行评分：完全满足招标文件技术参数要求的得3分。标注★的参数为不允许负偏离的实质性要求，有出现负偏离的按投标无效处理,未标注符号的技术参数每负偏离一项扣1.5分，正偏离不加分，扣完为止。【标注★的参数（序号1至序号9共9项）、未标注符号的技术参数（序号10、序号11共2项）】。 注：1.投标人须在投标文件中提供“投标人承诺所有投标材料均真实有效。中标后在任务实施过程中，采购人可对中标人实施监督核查，一旦发现中标人存在虚假应标材料，采购人有权终止合同，并追究中标人相关法律责任。”的承诺书，承诺书格式自拟，未提供承诺书的将视为无效投标。2.对第五章“二、技术和服务要求”中的条款2，投标人需提供相应仪器设备购置发票或其他证明资料的复印件（含扫描件）和真实性承诺书，未提供本承诺书的将视为无效投标。</w:t>
            </w:r>
          </w:p>
        </w:tc>
      </w:tr>
      <w:tr w14:paraId="1C0201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11" w:type="dxa"/>
          </w:tcPr>
          <w:p w14:paraId="286780CB">
            <w:pPr>
              <w:pStyle w:val="6"/>
              <w:jc w:val="both"/>
              <w:rPr>
                <w:color w:val="FF0000"/>
              </w:rPr>
            </w:pPr>
            <w:r>
              <w:rPr>
                <w:color w:val="FF0000"/>
              </w:rPr>
              <w:t>2、检验检测能力</w:t>
            </w:r>
          </w:p>
        </w:tc>
        <w:tc>
          <w:tcPr>
            <w:tcW w:w="1082" w:type="dxa"/>
          </w:tcPr>
          <w:p w14:paraId="33E7F49F">
            <w:pPr>
              <w:pStyle w:val="6"/>
              <w:jc w:val="right"/>
              <w:rPr>
                <w:color w:val="FF0000"/>
              </w:rPr>
            </w:pPr>
            <w:r>
              <w:rPr>
                <w:color w:val="FF0000"/>
              </w:rPr>
              <w:t>20.0000</w:t>
            </w:r>
          </w:p>
        </w:tc>
        <w:tc>
          <w:tcPr>
            <w:tcW w:w="6311" w:type="dxa"/>
          </w:tcPr>
          <w:p w14:paraId="0C8ACF2B">
            <w:pPr>
              <w:pStyle w:val="6"/>
              <w:jc w:val="both"/>
              <w:rPr>
                <w:color w:val="FF0000"/>
              </w:rPr>
            </w:pPr>
            <w:r>
              <w:rPr>
                <w:color w:val="FF0000"/>
              </w:rPr>
              <w:t>根据投标人获得的食品检验资质产品及项目，按照《国家食品安全监督抽检实施细则（2024年版）》规定的检验项目、检测方法及检验依据能够完全满足所投采购包的检验项目的得20分，每负偏离1项扣1分，扣完为止。（按同一个采购包内负偏出现的次数扣分，例如铅项目负偏，应当按该采购包铅项目的实际个数累计扣分；采购包自查表中“细则规定方法”这一栏中打“/”的项目若负偏离，不扣分）。注：须提供营业执照复印件（含扫描件）（或事业单位法人证书）、检验检测机构资质认定证书及授权检测能力附表复印件（含扫描件）、检验项目自查表（详见附件），如还有其他相关佐证材料的，可一并提供。以上材料缺一不可，否则不得分。</w:t>
            </w:r>
          </w:p>
        </w:tc>
      </w:tr>
      <w:tr w14:paraId="22A01A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11" w:type="dxa"/>
          </w:tcPr>
          <w:p w14:paraId="64988603">
            <w:pPr>
              <w:pStyle w:val="6"/>
              <w:jc w:val="both"/>
              <w:rPr>
                <w:color w:val="FF0000"/>
              </w:rPr>
            </w:pPr>
            <w:r>
              <w:rPr>
                <w:color w:val="FF0000"/>
              </w:rPr>
              <w:t>3、工作方案</w:t>
            </w:r>
          </w:p>
        </w:tc>
        <w:tc>
          <w:tcPr>
            <w:tcW w:w="1082" w:type="dxa"/>
          </w:tcPr>
          <w:p w14:paraId="3F5BDA74">
            <w:pPr>
              <w:pStyle w:val="6"/>
              <w:jc w:val="right"/>
              <w:rPr>
                <w:color w:val="FF0000"/>
              </w:rPr>
            </w:pPr>
            <w:r>
              <w:rPr>
                <w:color w:val="FF0000"/>
              </w:rPr>
              <w:t>3.0000</w:t>
            </w:r>
          </w:p>
        </w:tc>
        <w:tc>
          <w:tcPr>
            <w:tcW w:w="6311" w:type="dxa"/>
          </w:tcPr>
          <w:p w14:paraId="484B27BC">
            <w:pPr>
              <w:pStyle w:val="6"/>
              <w:jc w:val="both"/>
              <w:rPr>
                <w:color w:val="FF0000"/>
              </w:rPr>
            </w:pPr>
            <w:r>
              <w:rPr>
                <w:color w:val="FF0000"/>
              </w:rPr>
              <w:t>根据投标人针对所投采购包抽检任务的工作方案应包含但不限于：①组织实施的方式（包括抽检监测时间安排、整体工作进度、抽样人员安排、异议处理的程序、异议联络人员名单等）；②抽样方案（包括采样点分布、生产企业覆盖率、抽样样品中高端品种数量等、样品的采集方式、保存运输方法）；③检测方案（包括检验项目、检验依据、检测方法、报告判定原则、结果报送要求、异议及后处理、备份样品处置规范、检验过程的质量控制体系及方法，统计分析报告纲要、工作纪律、应急预案等）进行评分：抽检任务的工作方案所包含的要点齐全无缺漏项、内容与要点相符、内容完善且能够适用于本项目的得3分；方案所包含的要点齐全、内容与要点相符、但仅有纲要内容简略，未展开阐述的得2分；方案所包含的要点不够齐全、且仅有纲要内容的得1分；未提供或内容存在错误的不得分。</w:t>
            </w:r>
          </w:p>
        </w:tc>
      </w:tr>
      <w:tr w14:paraId="4807F8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11" w:type="dxa"/>
          </w:tcPr>
          <w:p w14:paraId="0D3B76A5">
            <w:pPr>
              <w:pStyle w:val="6"/>
              <w:jc w:val="both"/>
              <w:rPr>
                <w:color w:val="FF0000"/>
              </w:rPr>
            </w:pPr>
            <w:r>
              <w:rPr>
                <w:color w:val="FF0000"/>
              </w:rPr>
              <w:t>4.既往工作质量</w:t>
            </w:r>
          </w:p>
        </w:tc>
        <w:tc>
          <w:tcPr>
            <w:tcW w:w="1082" w:type="dxa"/>
          </w:tcPr>
          <w:p w14:paraId="496C7A85">
            <w:pPr>
              <w:pStyle w:val="6"/>
              <w:jc w:val="right"/>
              <w:rPr>
                <w:color w:val="FF0000"/>
              </w:rPr>
            </w:pPr>
            <w:r>
              <w:rPr>
                <w:color w:val="FF0000"/>
              </w:rPr>
              <w:t>7.0000</w:t>
            </w:r>
          </w:p>
        </w:tc>
        <w:tc>
          <w:tcPr>
            <w:tcW w:w="6311" w:type="dxa"/>
          </w:tcPr>
          <w:p w14:paraId="43026267">
            <w:pPr>
              <w:pStyle w:val="6"/>
              <w:jc w:val="both"/>
              <w:rPr>
                <w:color w:val="FF0000"/>
              </w:rPr>
            </w:pPr>
            <w:r>
              <w:rPr>
                <w:color w:val="FF0000"/>
              </w:rPr>
              <w:t>投标人依法依规落实2023年1月1日以来相关行政管理部门食品抽样检验任务：①未受到相关行政管理部门通报批评(涉及责令改正、约谈、暂停委托、不再委托、行政处罚以及行政管理部门通报的同类性质问题)的得1分；②未违反合同约定受到相关行政管理部门处罚(涉及责令改正、约谈、暂停委托、不再委托、行政处罚以及行政管理部门通报的同类性质问题)的得1分；③未存在实施相关行政管理部门抽检任务过程出现较严重问题(抽样检验出现重大差错导致不良后果、出具不实检验检测报告、虚假检验检测报告以及行政管理部门通报的同类性质问题)的得1分；④未存在无正当理由拒绝相关行政管理部门有关技术咨询、专家论证、应急服务以及其他工作配合的得1分；⑤未存在因抽样检验问题导致相关行政管理部门司法败诉的得1分；⑥相关行政管理部门抽检数据质量抽查问题率低于2.70%的得2分。注：投标人需提供自评材料并对其真实性进行承诺；一旦发现存在虚假，采购人有权利终止合同，并追究相关法律责任。</w:t>
            </w:r>
          </w:p>
        </w:tc>
      </w:tr>
      <w:tr w14:paraId="01C140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11" w:type="dxa"/>
          </w:tcPr>
          <w:p w14:paraId="71AE2A9C">
            <w:pPr>
              <w:pStyle w:val="6"/>
              <w:jc w:val="both"/>
              <w:rPr>
                <w:color w:val="FF0000"/>
              </w:rPr>
            </w:pPr>
            <w:r>
              <w:rPr>
                <w:color w:val="FF0000"/>
              </w:rPr>
              <w:t>5.项目人员配备</w:t>
            </w:r>
          </w:p>
        </w:tc>
        <w:tc>
          <w:tcPr>
            <w:tcW w:w="1082" w:type="dxa"/>
          </w:tcPr>
          <w:p w14:paraId="139FF0E3">
            <w:pPr>
              <w:pStyle w:val="6"/>
              <w:jc w:val="right"/>
              <w:rPr>
                <w:color w:val="FF0000"/>
              </w:rPr>
            </w:pPr>
            <w:r>
              <w:rPr>
                <w:color w:val="FF0000"/>
              </w:rPr>
              <w:t>3.0000</w:t>
            </w:r>
          </w:p>
        </w:tc>
        <w:tc>
          <w:tcPr>
            <w:tcW w:w="6311" w:type="dxa"/>
          </w:tcPr>
          <w:p w14:paraId="55B61803">
            <w:pPr>
              <w:pStyle w:val="6"/>
              <w:jc w:val="both"/>
              <w:rPr>
                <w:color w:val="FF0000"/>
              </w:rPr>
            </w:pPr>
            <w:r>
              <w:rPr>
                <w:color w:val="FF0000"/>
              </w:rPr>
              <w:t>5-1.投标人针对本项目拟配备的专职食品抽样检验人员上岗证书，按以下2种情形分别得分：（1）投标人针对本项目拟配备的专职抽样人员（专职抽样人员不得同时是食品检测人员）上岗证书≥20本得1分；其余不得分。（2）投标人针对本项目拟配备的具备专职从事食品检验检测人员上岗证书（不含管理人员、抽样人员）总数≥30本的得2分，其余不得分。注：需提供以上人员上岗证书汇总表并注明人员类别（上岗证书需附上专业履历表和相关培训证明）、所有人员投标截止时间前两个月内任意一个月（不含投标截止时间的当月）投标人为其缴纳的社会保险（非商业）凭据复印件（含扫描件）。未按要求提供以上材料，此项不得分。以上2种累计满分3分。</w:t>
            </w:r>
          </w:p>
        </w:tc>
      </w:tr>
      <w:tr w14:paraId="7E8417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11" w:type="dxa"/>
          </w:tcPr>
          <w:p w14:paraId="0C7CC577">
            <w:pPr>
              <w:pStyle w:val="6"/>
              <w:jc w:val="both"/>
              <w:rPr>
                <w:color w:val="FF0000"/>
              </w:rPr>
            </w:pPr>
            <w:r>
              <w:rPr>
                <w:color w:val="FF0000"/>
              </w:rPr>
              <w:t>5.项目人员配备</w:t>
            </w:r>
          </w:p>
        </w:tc>
        <w:tc>
          <w:tcPr>
            <w:tcW w:w="1082" w:type="dxa"/>
          </w:tcPr>
          <w:p w14:paraId="277BDBD8">
            <w:pPr>
              <w:pStyle w:val="6"/>
              <w:jc w:val="right"/>
              <w:rPr>
                <w:color w:val="FF0000"/>
              </w:rPr>
            </w:pPr>
            <w:r>
              <w:rPr>
                <w:color w:val="FF0000"/>
              </w:rPr>
              <w:t>3.0000</w:t>
            </w:r>
          </w:p>
        </w:tc>
        <w:tc>
          <w:tcPr>
            <w:tcW w:w="6311" w:type="dxa"/>
          </w:tcPr>
          <w:p w14:paraId="4E38F151">
            <w:pPr>
              <w:pStyle w:val="6"/>
              <w:jc w:val="both"/>
              <w:rPr>
                <w:color w:val="FF0000"/>
              </w:rPr>
            </w:pPr>
            <w:r>
              <w:rPr>
                <w:color w:val="FF0000"/>
              </w:rPr>
              <w:t>5-2.投标人针对本项目拟配备的人员技术职称，按以下3种情形分别得分：（1）投标人针对本项目拟配备的食品检验检测技术负责人或质量负责人具有高级技术职称，且从事本专业检验工作满3年的得0.5分。（2）投标人针对本项目拟配备的食品检验检测授权签字人具有高级技术职称，且从事本专业检验工作满3年的得0.5分。（3）投标人针对本项目拟配备的食品检验检测人员（除本项目拟配备的食品检验检测技术负责人,质量负责人和授权签字人外）具有中级以上（含中级）技术职称的人员上岗证书数不少于食品检测人员总上岗证书数量的30%的得2分。 注：需提供以上人员职称证书复印件（含扫描件）及工作经历证明材料，上岗证书汇总表并注明人员类别（上岗证书需附上专业履历表和相关培训证明）、职称证书复印件（含扫描件）、所有人员投标截止时间前两个月内任意一个月（不含投标截止时间的当月）投标人为其缴纳的社会保险（非商业）凭据复印件（含扫描件）。未按要求提供以上材料，此项不得分。以上3种累计满分3分。</w:t>
            </w:r>
          </w:p>
        </w:tc>
      </w:tr>
      <w:tr w14:paraId="4D01F5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11" w:type="dxa"/>
          </w:tcPr>
          <w:p w14:paraId="661EF013">
            <w:pPr>
              <w:pStyle w:val="6"/>
              <w:jc w:val="both"/>
              <w:rPr>
                <w:color w:val="FF0000"/>
              </w:rPr>
            </w:pPr>
            <w:r>
              <w:rPr>
                <w:color w:val="FF0000"/>
              </w:rPr>
              <w:t>5.项目人员配备</w:t>
            </w:r>
          </w:p>
        </w:tc>
        <w:tc>
          <w:tcPr>
            <w:tcW w:w="1082" w:type="dxa"/>
          </w:tcPr>
          <w:p w14:paraId="3C79C5D0">
            <w:pPr>
              <w:pStyle w:val="6"/>
              <w:jc w:val="right"/>
              <w:rPr>
                <w:color w:val="FF0000"/>
              </w:rPr>
            </w:pPr>
            <w:r>
              <w:rPr>
                <w:color w:val="FF0000"/>
              </w:rPr>
              <w:t>2.0000</w:t>
            </w:r>
          </w:p>
        </w:tc>
        <w:tc>
          <w:tcPr>
            <w:tcW w:w="6311" w:type="dxa"/>
          </w:tcPr>
          <w:p w14:paraId="07F86B6E">
            <w:pPr>
              <w:pStyle w:val="6"/>
              <w:jc w:val="both"/>
              <w:rPr>
                <w:color w:val="FF0000"/>
              </w:rPr>
            </w:pPr>
            <w:r>
              <w:rPr>
                <w:color w:val="FF0000"/>
              </w:rPr>
              <w:t>5-3.投标人针对本项目拟配备的人员是食品安全相关专家库成员，按以下情形得分：投标人有纳入省级及以上行政管理部门（单位）的食品安全相关的专家库成员的得2分。 注：需提供上述有效证明材料复印件（含扫描件）及人员投标截止时间前两个月内任意一个月（不含投标截止时间的当月）投标人为其缴纳的社会保险（非商业）凭据复印件（含扫描件），否则不得分。</w:t>
            </w:r>
          </w:p>
        </w:tc>
      </w:tr>
      <w:tr w14:paraId="7F7F2E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11" w:type="dxa"/>
          </w:tcPr>
          <w:p w14:paraId="14DEC0AA">
            <w:pPr>
              <w:pStyle w:val="6"/>
              <w:jc w:val="both"/>
              <w:rPr>
                <w:color w:val="FF0000"/>
              </w:rPr>
            </w:pPr>
            <w:r>
              <w:rPr>
                <w:color w:val="FF0000"/>
              </w:rPr>
              <w:t>5.项目人员配备</w:t>
            </w:r>
          </w:p>
        </w:tc>
        <w:tc>
          <w:tcPr>
            <w:tcW w:w="1082" w:type="dxa"/>
          </w:tcPr>
          <w:p w14:paraId="14883748">
            <w:pPr>
              <w:pStyle w:val="6"/>
              <w:jc w:val="right"/>
              <w:rPr>
                <w:color w:val="FF0000"/>
              </w:rPr>
            </w:pPr>
            <w:r>
              <w:rPr>
                <w:color w:val="FF0000"/>
              </w:rPr>
              <w:t>3.0000</w:t>
            </w:r>
          </w:p>
        </w:tc>
        <w:tc>
          <w:tcPr>
            <w:tcW w:w="6311" w:type="dxa"/>
          </w:tcPr>
          <w:p w14:paraId="40E2229C">
            <w:pPr>
              <w:pStyle w:val="6"/>
              <w:jc w:val="both"/>
              <w:rPr>
                <w:color w:val="FF0000"/>
              </w:rPr>
            </w:pPr>
            <w:r>
              <w:rPr>
                <w:color w:val="FF0000"/>
              </w:rPr>
              <w:t>5-4.投标人针对本项目拟配备的从事食品检验工作满2年及以上人员，按以下2种情形分别得分：（1）投标人拥有食品领域中级技术职称（含）以上的人员上岗证书数量达10本（含）以上的得1.5分；（2）投标人拥有食品领域高级技术职称（含）以上的人员上岗证书数量达5本（含）以上的得1.5分。注：需提供以上人员上岗证书汇总表（需注明人员类别）聘用证明文件及主要工作简历；从事食品检验工作满两年（含）及以上的中级以上（含中级）技术职称人员须提供职称复印件（含扫描件）；以及能体现食品领域的证明材料，如以上材料不能体现食品领域，则还需提供毕业证、学位证、科研成果等证明材料 。以上所有人员需提供投标截止时间前两个月内任意一个月（不含投标截止时间的当月）投标人为其缴纳的社会保险（非商业）凭据复印件（含扫描件）。未按要求提供以上材料，此项不得分。本项目可累计计分，满分3分。</w:t>
            </w:r>
          </w:p>
        </w:tc>
      </w:tr>
      <w:tr w14:paraId="5C0DC0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11" w:type="dxa"/>
          </w:tcPr>
          <w:p w14:paraId="15AA6CE9">
            <w:pPr>
              <w:pStyle w:val="6"/>
              <w:jc w:val="both"/>
              <w:rPr>
                <w:color w:val="FF0000"/>
              </w:rPr>
            </w:pPr>
            <w:r>
              <w:rPr>
                <w:color w:val="FF0000"/>
              </w:rPr>
              <w:t>6.实验场所</w:t>
            </w:r>
          </w:p>
        </w:tc>
        <w:tc>
          <w:tcPr>
            <w:tcW w:w="1082" w:type="dxa"/>
          </w:tcPr>
          <w:p w14:paraId="74C3D9CB">
            <w:pPr>
              <w:pStyle w:val="6"/>
              <w:jc w:val="right"/>
              <w:rPr>
                <w:color w:val="FF0000"/>
              </w:rPr>
            </w:pPr>
            <w:r>
              <w:rPr>
                <w:color w:val="FF0000"/>
              </w:rPr>
              <w:t>3.0000</w:t>
            </w:r>
          </w:p>
        </w:tc>
        <w:tc>
          <w:tcPr>
            <w:tcW w:w="6311" w:type="dxa"/>
          </w:tcPr>
          <w:p w14:paraId="611029B9">
            <w:pPr>
              <w:pStyle w:val="6"/>
              <w:jc w:val="both"/>
              <w:rPr>
                <w:color w:val="FF0000"/>
              </w:rPr>
            </w:pPr>
            <w:r>
              <w:rPr>
                <w:color w:val="FF0000"/>
              </w:rPr>
              <w:t>6-1.拟用于开展本项目食品安全抽检工作实验室面积，投标人实验用房（不含实验配套、管理、保障用房）建筑面积≥2500平方米得3分，其他不得分。注：需提供实验用房的房产证复印件（含扫描件）或所有权证明文件或者有效期从投标日起不低于两年的长期房屋租赁合同复印件（含扫描件）及平面图等相关证明材料。未按上述要求提供证明资料的不得分。</w:t>
            </w:r>
          </w:p>
        </w:tc>
      </w:tr>
      <w:tr w14:paraId="44008C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11" w:type="dxa"/>
          </w:tcPr>
          <w:p w14:paraId="41222117">
            <w:pPr>
              <w:pStyle w:val="6"/>
              <w:jc w:val="both"/>
              <w:rPr>
                <w:color w:val="FF0000"/>
              </w:rPr>
            </w:pPr>
            <w:r>
              <w:rPr>
                <w:color w:val="FF0000"/>
              </w:rPr>
              <w:t>6.实验场所</w:t>
            </w:r>
          </w:p>
        </w:tc>
        <w:tc>
          <w:tcPr>
            <w:tcW w:w="1082" w:type="dxa"/>
          </w:tcPr>
          <w:p w14:paraId="7834E5FE">
            <w:pPr>
              <w:pStyle w:val="6"/>
              <w:jc w:val="right"/>
              <w:rPr>
                <w:color w:val="FF0000"/>
              </w:rPr>
            </w:pPr>
            <w:r>
              <w:rPr>
                <w:color w:val="FF0000"/>
              </w:rPr>
              <w:t>3.0000</w:t>
            </w:r>
          </w:p>
        </w:tc>
        <w:tc>
          <w:tcPr>
            <w:tcW w:w="6311" w:type="dxa"/>
          </w:tcPr>
          <w:p w14:paraId="29526C23">
            <w:pPr>
              <w:pStyle w:val="6"/>
              <w:jc w:val="both"/>
              <w:rPr>
                <w:color w:val="FF0000"/>
              </w:rPr>
            </w:pPr>
            <w:r>
              <w:rPr>
                <w:color w:val="FF0000"/>
              </w:rPr>
              <w:t>6-2.拟用于开展本项目食品安全抽检工作样品储存间面积≥200平方米的得3分，其他不得分。注：①自有产权储存间地址应与投标人资质认定证书的地址相符；租赁储存间地址应与投标人资质认定证书的地址在同个县级行政区域；②提供产权证（租赁合同）、具有能证明上述面积量的平面图复印件（含扫描件）、储存间照片等有效证明材料。未按上述要求提供证明资料的不得分。</w:t>
            </w:r>
          </w:p>
        </w:tc>
      </w:tr>
      <w:tr w14:paraId="461B46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11" w:type="dxa"/>
          </w:tcPr>
          <w:p w14:paraId="031A0355">
            <w:pPr>
              <w:pStyle w:val="6"/>
              <w:jc w:val="both"/>
              <w:rPr>
                <w:color w:val="FF0000"/>
              </w:rPr>
            </w:pPr>
            <w:r>
              <w:rPr>
                <w:color w:val="FF0000"/>
              </w:rPr>
              <w:t>6.实验场所</w:t>
            </w:r>
          </w:p>
        </w:tc>
        <w:tc>
          <w:tcPr>
            <w:tcW w:w="1082" w:type="dxa"/>
          </w:tcPr>
          <w:p w14:paraId="0EC451FC">
            <w:pPr>
              <w:pStyle w:val="6"/>
              <w:jc w:val="right"/>
              <w:rPr>
                <w:color w:val="FF0000"/>
              </w:rPr>
            </w:pPr>
            <w:r>
              <w:rPr>
                <w:color w:val="FF0000"/>
              </w:rPr>
              <w:t>3.0000</w:t>
            </w:r>
          </w:p>
        </w:tc>
        <w:tc>
          <w:tcPr>
            <w:tcW w:w="6311" w:type="dxa"/>
          </w:tcPr>
          <w:p w14:paraId="3179C8C8">
            <w:pPr>
              <w:pStyle w:val="6"/>
              <w:jc w:val="both"/>
              <w:rPr>
                <w:color w:val="FF0000"/>
              </w:rPr>
            </w:pPr>
            <w:r>
              <w:rPr>
                <w:color w:val="FF0000"/>
              </w:rPr>
              <w:t>6-3拟用于开展本项目食品安全抽检工作，存放样品储存间必须具备冷冻（冷藏）能力，冷冻（冷藏）容积≥125立方米的得3分，其他不得分。注：①自有产权冷冻（冷藏）库地址应在所投采购包抽样区域内并与所提供资质认定证书的地址相符；租赁冷冻（冷藏）库地址应在所投采购包抽样区域内并与投标人资质认定证书的地址在同个县级行政区域；②提供冰箱/冰柜的购置发票复印件（含扫描件）、容积证明材料复印件（含扫描件）及照片；③提供冷库产权证（若冷库是租赁，应提供租赁冷库CMA资质认定证明和租赁合同,其中合同期覆盖本项目服务期限不少于2年，且合同内面积、容积与被租赁方产权证证上一致）、具有能证明上述容积量的冷库平面图复印件（含扫描件）、冷库照片等有效证明材料。未按上述要求提供证明资料的不得分。</w:t>
            </w:r>
          </w:p>
        </w:tc>
      </w:tr>
      <w:tr w14:paraId="4C6B44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11" w:type="dxa"/>
          </w:tcPr>
          <w:p w14:paraId="146B1A04">
            <w:pPr>
              <w:pStyle w:val="6"/>
              <w:jc w:val="both"/>
              <w:rPr>
                <w:color w:val="FF0000"/>
              </w:rPr>
            </w:pPr>
            <w:r>
              <w:rPr>
                <w:color w:val="FF0000"/>
              </w:rPr>
              <w:t>7.实验室仪器设备情况</w:t>
            </w:r>
          </w:p>
        </w:tc>
        <w:tc>
          <w:tcPr>
            <w:tcW w:w="1082" w:type="dxa"/>
          </w:tcPr>
          <w:p w14:paraId="7F5EF817">
            <w:pPr>
              <w:pStyle w:val="6"/>
              <w:jc w:val="right"/>
              <w:rPr>
                <w:color w:val="FF0000"/>
              </w:rPr>
            </w:pPr>
            <w:r>
              <w:rPr>
                <w:color w:val="FF0000"/>
              </w:rPr>
              <w:t>3.0000</w:t>
            </w:r>
          </w:p>
        </w:tc>
        <w:tc>
          <w:tcPr>
            <w:tcW w:w="6311" w:type="dxa"/>
          </w:tcPr>
          <w:p w14:paraId="6D23D5D3">
            <w:pPr>
              <w:pStyle w:val="6"/>
              <w:jc w:val="both"/>
              <w:rPr>
                <w:color w:val="FF0000"/>
              </w:rPr>
            </w:pPr>
            <w:r>
              <w:rPr>
                <w:color w:val="FF0000"/>
              </w:rPr>
              <w:t>7-1.投标人针对本项目拟配备的仪器设备，按以下2种情形分别得分： （1）自有设备：投标人拥有（只用于食品检验）液相色谱仪≥4台的得1分；投标人拥有（只用于食品检验）气相色谱仪≥4台的得1分；投标人拥有（只用于食品检验）气相色谱-质谱联用仪≥3台的得1分，其他不得分。 （2）长期租赁设备：投标人拥有（只用于食品检验）液相色谱仪≥4台的得0.2分；投标人拥有（只用于食品检验）气相色谱仪≥台的得0.2分；投标人拥有（只用于食品检验）气相色谱-质谱联用仪≥3台的得0.2分，其他不得分。 注：（1）自有设备：投标人需提供①相应仪器设备购置发票或其他证明资料的复印件（含扫描件）；②针对本项目拟配备的仪器设备只用于食品检验的承诺函；③设备照片及有效的检定或校准证书复印件（含扫描件）及符合性评价，未按上述要求提供证明资料的不得分。（2）租赁设备：投标人需提供①有效的设备租赁合同，租赁期限至少覆盖本项目合同服务期限；②针对本项目拟配备的仪器设备只用于食品检验的承诺函；③设备照片及有效的检定或校准证书复印件（含扫描件）及符合性评价。未按上述要求提供证明资料的不得分。（3）只要有租赁设备，均按第（2）中情形得分。</w:t>
            </w:r>
          </w:p>
        </w:tc>
      </w:tr>
      <w:tr w14:paraId="267F11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11" w:type="dxa"/>
          </w:tcPr>
          <w:p w14:paraId="201C48A6">
            <w:pPr>
              <w:pStyle w:val="6"/>
              <w:jc w:val="both"/>
              <w:rPr>
                <w:color w:val="FF0000"/>
              </w:rPr>
            </w:pPr>
            <w:r>
              <w:rPr>
                <w:color w:val="FF0000"/>
              </w:rPr>
              <w:t>7.实验室仪器设备情况</w:t>
            </w:r>
          </w:p>
        </w:tc>
        <w:tc>
          <w:tcPr>
            <w:tcW w:w="1082" w:type="dxa"/>
          </w:tcPr>
          <w:p w14:paraId="12161D8B">
            <w:pPr>
              <w:pStyle w:val="6"/>
              <w:jc w:val="right"/>
              <w:rPr>
                <w:color w:val="FF0000"/>
              </w:rPr>
            </w:pPr>
            <w:r>
              <w:rPr>
                <w:color w:val="FF0000"/>
              </w:rPr>
              <w:t>2.0000</w:t>
            </w:r>
          </w:p>
        </w:tc>
        <w:tc>
          <w:tcPr>
            <w:tcW w:w="6311" w:type="dxa"/>
          </w:tcPr>
          <w:p w14:paraId="02706877">
            <w:pPr>
              <w:pStyle w:val="6"/>
              <w:jc w:val="both"/>
              <w:rPr>
                <w:color w:val="FF0000"/>
              </w:rPr>
            </w:pPr>
            <w:r>
              <w:rPr>
                <w:color w:val="FF0000"/>
              </w:rPr>
              <w:t>7-2.投标人针对本项目拟配备的仪器设备，按以下2种情形分别得分： （1）自有设备：投标人针对本项目拟配备（只用于食品检验）有原子吸收仪、原子荧光仪、电感耦合等离子体质谱仪、液相与原子荧光仪联机或离子色谱仪这4类仪器设备的得2分，每少一类的扣0.5分。（2）长期租赁设备：投标人针对本项目拟配备（只用于食品检验）有原子吸收仪、原子荧光仪、电感耦合等离子体质谱仪、液相与原子荧光仪联机或离子色谱仪这4类仪器设备的得0.4分，每少一类的扣0.1分。 注：（1）自有设备：投标人需提供①相应仪器设备购置发票或其他证明资料的复印件（含扫描件）；②针对本项目拟配备的仪器设备只用于食品检验的承诺函；③设备照片及有效的检定或校准证书复印件（含扫描件）及符合性评价，未按上述要求提供证明资料的不得分。（2）租赁设备：投标人需提供①有效的设备租赁合同，租赁期限至少覆盖本项目合同服务期限；②针对本项目拟配备的仪器设备只用于食品检验的承诺函；③设备照片及有效的检定或校准证书复印件（含扫描件）及符合性评价。未按上述要求提供证明资料的不得分。（3）只要有租赁设备，均按第（2）中情形得分。</w:t>
            </w:r>
          </w:p>
        </w:tc>
      </w:tr>
      <w:tr w14:paraId="019799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11" w:type="dxa"/>
          </w:tcPr>
          <w:p w14:paraId="6F1741A5">
            <w:pPr>
              <w:pStyle w:val="6"/>
              <w:jc w:val="both"/>
              <w:rPr>
                <w:color w:val="FF0000"/>
              </w:rPr>
            </w:pPr>
            <w:r>
              <w:rPr>
                <w:color w:val="FF0000"/>
              </w:rPr>
              <w:t>7.实验室仪器设备情况</w:t>
            </w:r>
          </w:p>
        </w:tc>
        <w:tc>
          <w:tcPr>
            <w:tcW w:w="1082" w:type="dxa"/>
          </w:tcPr>
          <w:p w14:paraId="12C1A9DE">
            <w:pPr>
              <w:pStyle w:val="6"/>
              <w:jc w:val="right"/>
              <w:rPr>
                <w:color w:val="FF0000"/>
              </w:rPr>
            </w:pPr>
            <w:r>
              <w:rPr>
                <w:color w:val="FF0000"/>
              </w:rPr>
              <w:t>3.0000</w:t>
            </w:r>
          </w:p>
        </w:tc>
        <w:tc>
          <w:tcPr>
            <w:tcW w:w="6311" w:type="dxa"/>
          </w:tcPr>
          <w:p w14:paraId="01AB6AEE">
            <w:pPr>
              <w:pStyle w:val="6"/>
              <w:jc w:val="both"/>
              <w:rPr>
                <w:color w:val="FF0000"/>
              </w:rPr>
            </w:pPr>
            <w:r>
              <w:rPr>
                <w:color w:val="FF0000"/>
              </w:rPr>
              <w:t>7-3.投标人针对本项目拟配备的仪器设备，按以下2种情形分别得分： （1）自有设备：投标人针对本项目拟配备（只用于食品检验）的液相色谱-质谱联用仪4台得3分，其他不得分。 （2）长期租赁设备：投标人针对本项目拟配备（只用于食品检验）的液相色谱-质谱联用仪4台得0.2分，其他不得分。 注：（1）自有设备：投标人需提供①相应仪器设备购置发票或其他证明资料的复印件（含扫描件）；②针对本项目拟配备的仪器设备只用于食品检验的承诺函；③设备照片及有效的检定或校准证书复印件（含扫描件）及符合性评价，未按上述要求提供证明资料的不得分。（2）租赁设备：投标人需提供①有效的设备租赁合同，租赁期限至少覆盖本项目合同服务期限；②针对本项目拟配备的仪器设备只用于食品检验的承诺函；③设备照片及有效的检定或校准证书复印件（含扫描件及符合性评价。未按上述要求提供证明资料的不得分。（3）只要有租赁设备，均按第（2）中情形得分。</w:t>
            </w:r>
          </w:p>
        </w:tc>
      </w:tr>
      <w:tr w14:paraId="73F113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11" w:type="dxa"/>
          </w:tcPr>
          <w:p w14:paraId="48928960">
            <w:pPr>
              <w:pStyle w:val="6"/>
              <w:jc w:val="both"/>
              <w:rPr>
                <w:color w:val="FF0000"/>
              </w:rPr>
            </w:pPr>
            <w:r>
              <w:rPr>
                <w:color w:val="FF0000"/>
              </w:rPr>
              <w:t>8、采样车辆及采样设备情况</w:t>
            </w:r>
          </w:p>
        </w:tc>
        <w:tc>
          <w:tcPr>
            <w:tcW w:w="1082" w:type="dxa"/>
          </w:tcPr>
          <w:p w14:paraId="7F9343AF">
            <w:pPr>
              <w:pStyle w:val="6"/>
              <w:jc w:val="right"/>
              <w:rPr>
                <w:color w:val="FF0000"/>
              </w:rPr>
            </w:pPr>
            <w:r>
              <w:rPr>
                <w:color w:val="FF0000"/>
              </w:rPr>
              <w:t>3.0000</w:t>
            </w:r>
          </w:p>
        </w:tc>
        <w:tc>
          <w:tcPr>
            <w:tcW w:w="6311" w:type="dxa"/>
          </w:tcPr>
          <w:p w14:paraId="0A78EE80">
            <w:pPr>
              <w:pStyle w:val="6"/>
              <w:jc w:val="both"/>
              <w:rPr>
                <w:color w:val="FF0000"/>
              </w:rPr>
            </w:pPr>
            <w:r>
              <w:rPr>
                <w:color w:val="FF0000"/>
              </w:rPr>
              <w:t>投标人针对本项目拟配备具备5辆及以上采样车辆，其中至少3辆采样车辆需具备冷藏（冷冻）能力，冷藏（冷冻）车载冷藏（冷冻）设备(数量不限)容积量之和≥300L的得3分，其他不得分。 注：（1）自有设备：投标人需提供①有效行驶证复印件（含扫描件）（行驶证上的单位名称应与投标人的名称一致）；②提供冷藏冷冻设备购置及自有产权的证明资料，照片及车厢内部的图片（相关图片及资料应能证明该车辆及设备是投标人自有产权）；未按上述要求提供证明资料的不得分。（2）租赁设备：投标人需提供①有效的车辆租赁合同，租赁期限不得少于本项目服务期限；②提供冷藏冷冻设备的照片及车厢内部的图片。未按上述要求提供证明资料的不得分。</w:t>
            </w:r>
          </w:p>
        </w:tc>
      </w:tr>
      <w:tr w14:paraId="4251DF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11" w:type="dxa"/>
          </w:tcPr>
          <w:p w14:paraId="59F8A112">
            <w:pPr>
              <w:pStyle w:val="6"/>
              <w:jc w:val="both"/>
              <w:rPr>
                <w:color w:val="FF0000"/>
              </w:rPr>
            </w:pPr>
            <w:r>
              <w:rPr>
                <w:color w:val="FF0000"/>
              </w:rPr>
              <w:t>9、实验室科研能力情况</w:t>
            </w:r>
          </w:p>
        </w:tc>
        <w:tc>
          <w:tcPr>
            <w:tcW w:w="1082" w:type="dxa"/>
          </w:tcPr>
          <w:p w14:paraId="7685ECD2">
            <w:pPr>
              <w:pStyle w:val="6"/>
              <w:jc w:val="right"/>
              <w:rPr>
                <w:color w:val="FF0000"/>
              </w:rPr>
            </w:pPr>
            <w:r>
              <w:rPr>
                <w:color w:val="FF0000"/>
              </w:rPr>
              <w:t>3.0000</w:t>
            </w:r>
          </w:p>
        </w:tc>
        <w:tc>
          <w:tcPr>
            <w:tcW w:w="6311" w:type="dxa"/>
          </w:tcPr>
          <w:p w14:paraId="728DC696">
            <w:pPr>
              <w:pStyle w:val="6"/>
              <w:jc w:val="both"/>
              <w:rPr>
                <w:color w:val="FF0000"/>
              </w:rPr>
            </w:pPr>
            <w:r>
              <w:rPr>
                <w:color w:val="FF0000"/>
              </w:rPr>
              <w:t>投标人2021年1月1日至2023年12月31日，主持或参与制定食品国际或国家标准或食品科研类获国家级奖项或在SCI（美国科学引文索引）、EI（美国工程索引）源期刊论文上以第一单位或第一作者或通讯作者发表论文的、承担过省级食品安全相关研究项目或课题的，按下列4种情形得分（4种情形可独立累加得分，满分3分为止）：（1）主持或参与制定食品国际或国家标准，或相关标准技术委员会出具的参与起草的证明材料，每一份标准得1分；（2）食品科研类获省级及以上奖项，每一个奖项得1分；（3）在SCI（美国科学引文索引）、EI（美国工程索引）源期刊论文上，每发表一篇论文得1分；（4）独立承担过省级以上（含省级）行政管理部门（单位）食品安全相关研究项目或课题的，每一项得0.5分。 注：需提供制修订食品安全标准的正式文本复印件（含扫描件）；需提供食品科研类获奖凭证材料；需提供检索结果报告及论文正文文本复印件（含扫描件）；有研究课题的须提供相关部门的研究立项书或委托书，以及投标人研究课题结题报告、相关部门研究课题验收证明等材料复印件（含扫描件）；个人的还需提供人员投标截止时间前两个月内任意一个月（不含投标截止时间的当月）投标人为其缴纳的社会保险（非商业）凭据复印件。未按要求提供以上材料，该项不得分。</w:t>
            </w:r>
          </w:p>
        </w:tc>
      </w:tr>
      <w:tr w14:paraId="1B09C5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11" w:type="dxa"/>
          </w:tcPr>
          <w:p w14:paraId="24FD7A65">
            <w:pPr>
              <w:pStyle w:val="6"/>
              <w:jc w:val="both"/>
              <w:rPr>
                <w:color w:val="FF0000"/>
              </w:rPr>
            </w:pPr>
            <w:r>
              <w:rPr>
                <w:color w:val="FF0000"/>
              </w:rPr>
              <w:t>10、实验室检验检测能力情况</w:t>
            </w:r>
          </w:p>
        </w:tc>
        <w:tc>
          <w:tcPr>
            <w:tcW w:w="1082" w:type="dxa"/>
          </w:tcPr>
          <w:p w14:paraId="40AD6309">
            <w:pPr>
              <w:pStyle w:val="6"/>
              <w:jc w:val="right"/>
              <w:rPr>
                <w:color w:val="FF0000"/>
              </w:rPr>
            </w:pPr>
            <w:r>
              <w:rPr>
                <w:color w:val="FF0000"/>
              </w:rPr>
              <w:t>3.0000</w:t>
            </w:r>
          </w:p>
        </w:tc>
        <w:tc>
          <w:tcPr>
            <w:tcW w:w="6311" w:type="dxa"/>
          </w:tcPr>
          <w:p w14:paraId="45DFC829">
            <w:pPr>
              <w:pStyle w:val="6"/>
              <w:jc w:val="both"/>
              <w:rPr>
                <w:color w:val="FF0000"/>
              </w:rPr>
            </w:pPr>
            <w:r>
              <w:rPr>
                <w:color w:val="FF0000"/>
              </w:rPr>
              <w:t>10-1.投标人2021年1月1日至2023年12月31日参加过国家认监委、国家食品安全监管部门以及国家认可的有资质的机构组织的食品相关项目能力验证，项目应涵盖重金属、微生物/真菌毒素、农兽药残留、食品添加剂限量、非法添加物限量、品质/营养成分等6个领域且验证结果均为“满意”的得3分，每缺一个领域满意结果的扣0.5分，扣完为止。注：须提供国家认监委、国家食品安全监管部门以及国家认可的有资质的机构出具的证明材料复印件（含扫描件），否则不得分。</w:t>
            </w:r>
          </w:p>
        </w:tc>
      </w:tr>
      <w:tr w14:paraId="7ECC1A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11" w:type="dxa"/>
          </w:tcPr>
          <w:p w14:paraId="4DFAF077">
            <w:pPr>
              <w:pStyle w:val="6"/>
              <w:jc w:val="both"/>
              <w:rPr>
                <w:color w:val="FF0000"/>
              </w:rPr>
            </w:pPr>
            <w:r>
              <w:rPr>
                <w:color w:val="FF0000"/>
              </w:rPr>
              <w:t>10、实验室检验检测能力情况</w:t>
            </w:r>
          </w:p>
        </w:tc>
        <w:tc>
          <w:tcPr>
            <w:tcW w:w="1082" w:type="dxa"/>
          </w:tcPr>
          <w:p w14:paraId="5B44F04B">
            <w:pPr>
              <w:pStyle w:val="6"/>
              <w:jc w:val="right"/>
              <w:rPr>
                <w:color w:val="FF0000"/>
              </w:rPr>
            </w:pPr>
            <w:r>
              <w:rPr>
                <w:color w:val="FF0000"/>
              </w:rPr>
              <w:t>3.0000</w:t>
            </w:r>
          </w:p>
        </w:tc>
        <w:tc>
          <w:tcPr>
            <w:tcW w:w="6311" w:type="dxa"/>
          </w:tcPr>
          <w:p w14:paraId="4F4522F1">
            <w:pPr>
              <w:pStyle w:val="6"/>
              <w:jc w:val="both"/>
              <w:rPr>
                <w:color w:val="FF0000"/>
              </w:rPr>
            </w:pPr>
            <w:r>
              <w:rPr>
                <w:color w:val="FF0000"/>
              </w:rPr>
              <w:t>10-2.投标人2021年1月1日至2023年12月31日参加过国家认监委、国家食品安全监管部门以及国家认可的有资质的机构组织的食品相关项目能力验证，项目涵盖重金属、微生物/真菌毒素、农兽药残留、食品添加剂限量、非法添加物限量、品质/营养成分6个领域获得满意结果总数：总数≥18次的得3分；18次＞总数≥12次的得2分；12次＞次数≥6次的得1分，其他不得分。注：须提供国家认监委、国家食品安全监管部门以及国家认可的有资质的机构出具的证明材料复印件（含扫描件），否则不得分。</w:t>
            </w:r>
          </w:p>
        </w:tc>
      </w:tr>
      <w:tr w14:paraId="153129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11" w:type="dxa"/>
          </w:tcPr>
          <w:p w14:paraId="354DDEBA">
            <w:pPr>
              <w:pStyle w:val="6"/>
              <w:jc w:val="both"/>
              <w:rPr>
                <w:color w:val="FF0000"/>
              </w:rPr>
            </w:pPr>
            <w:r>
              <w:rPr>
                <w:color w:val="FF0000"/>
              </w:rPr>
              <w:t>10、实验室检验检测能力情况</w:t>
            </w:r>
          </w:p>
        </w:tc>
        <w:tc>
          <w:tcPr>
            <w:tcW w:w="1082" w:type="dxa"/>
          </w:tcPr>
          <w:p w14:paraId="20C8CD06">
            <w:pPr>
              <w:pStyle w:val="6"/>
              <w:jc w:val="right"/>
              <w:rPr>
                <w:color w:val="FF0000"/>
              </w:rPr>
            </w:pPr>
            <w:r>
              <w:rPr>
                <w:color w:val="FF0000"/>
              </w:rPr>
              <w:t>3.0000</w:t>
            </w:r>
          </w:p>
        </w:tc>
        <w:tc>
          <w:tcPr>
            <w:tcW w:w="6311" w:type="dxa"/>
          </w:tcPr>
          <w:p w14:paraId="2EC55E74">
            <w:pPr>
              <w:pStyle w:val="6"/>
              <w:jc w:val="both"/>
              <w:rPr>
                <w:color w:val="FF0000"/>
              </w:rPr>
            </w:pPr>
            <w:r>
              <w:rPr>
                <w:color w:val="FF0000"/>
              </w:rPr>
              <w:t>10-3.投标人获得CNAS 证书，并且在有效期内，包含有食品检测中重金属、微生物/真菌毒素、农兽药残留、食品添加剂限量、非法添加物限量、品质/营养成分全部6领域项目的得3分；具备其中3至5个领域项目的得2分；具备1至2个领域项目的得1分。 注:投标人需提供CNAS证书复印件(含扫描件)，及上述食品检测领域的证书附表页面，否则不得分。</w:t>
            </w:r>
          </w:p>
        </w:tc>
      </w:tr>
      <w:tr w14:paraId="361711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11" w:type="dxa"/>
          </w:tcPr>
          <w:p w14:paraId="454A9A64">
            <w:pPr>
              <w:pStyle w:val="6"/>
              <w:jc w:val="both"/>
              <w:rPr>
                <w:color w:val="FF0000"/>
              </w:rPr>
            </w:pPr>
            <w:r>
              <w:rPr>
                <w:color w:val="FF0000"/>
              </w:rPr>
              <w:t>11、内审及管理评审情况</w:t>
            </w:r>
          </w:p>
        </w:tc>
        <w:tc>
          <w:tcPr>
            <w:tcW w:w="1082" w:type="dxa"/>
          </w:tcPr>
          <w:p w14:paraId="6A5573FC">
            <w:pPr>
              <w:pStyle w:val="6"/>
              <w:jc w:val="right"/>
              <w:rPr>
                <w:color w:val="FF0000"/>
              </w:rPr>
            </w:pPr>
            <w:r>
              <w:rPr>
                <w:color w:val="FF0000"/>
              </w:rPr>
              <w:t>1.0000</w:t>
            </w:r>
          </w:p>
        </w:tc>
        <w:tc>
          <w:tcPr>
            <w:tcW w:w="6311" w:type="dxa"/>
          </w:tcPr>
          <w:p w14:paraId="20347CE7">
            <w:pPr>
              <w:pStyle w:val="6"/>
              <w:jc w:val="both"/>
              <w:rPr>
                <w:color w:val="FF0000"/>
              </w:rPr>
            </w:pPr>
            <w:r>
              <w:rPr>
                <w:color w:val="FF0000"/>
              </w:rPr>
              <w:t>11-1.2023年度完成内审，年度内审项目覆盖所有的管理要素，并形成内审报告，得0.5分；年度内审项目全部合格或者内审中的不合格项均已得到整改并有验证记录，评委认为有效，得0.5分。注：须提供年度内审符合条款要求的承诺书。年度内审项目全部合格的须提供相关证明材料，未提供的不得分。本项目可累计计分，满分1分。</w:t>
            </w:r>
          </w:p>
        </w:tc>
      </w:tr>
      <w:tr w14:paraId="775B3C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11" w:type="dxa"/>
          </w:tcPr>
          <w:p w14:paraId="7A98B7B8">
            <w:pPr>
              <w:pStyle w:val="6"/>
              <w:jc w:val="both"/>
              <w:rPr>
                <w:color w:val="FF0000"/>
              </w:rPr>
            </w:pPr>
            <w:r>
              <w:rPr>
                <w:color w:val="FF0000"/>
              </w:rPr>
              <w:t>11、内审及管理评审情况</w:t>
            </w:r>
          </w:p>
        </w:tc>
        <w:tc>
          <w:tcPr>
            <w:tcW w:w="1082" w:type="dxa"/>
          </w:tcPr>
          <w:p w14:paraId="424018AE">
            <w:pPr>
              <w:pStyle w:val="6"/>
              <w:jc w:val="right"/>
              <w:rPr>
                <w:color w:val="FF0000"/>
              </w:rPr>
            </w:pPr>
            <w:r>
              <w:rPr>
                <w:color w:val="FF0000"/>
              </w:rPr>
              <w:t>1.0000</w:t>
            </w:r>
          </w:p>
        </w:tc>
        <w:tc>
          <w:tcPr>
            <w:tcW w:w="6311" w:type="dxa"/>
          </w:tcPr>
          <w:p w14:paraId="5AF5095B">
            <w:pPr>
              <w:pStyle w:val="6"/>
              <w:jc w:val="both"/>
              <w:rPr>
                <w:color w:val="FF0000"/>
              </w:rPr>
            </w:pPr>
            <w:r>
              <w:rPr>
                <w:color w:val="FF0000"/>
              </w:rPr>
              <w:t>11-2.2023年度完成管理评审，管理评审由检验机构主持，管理评审符合准则及体系文件要求，有完整的管理评审输入和管理评审报告，得0.5分；其中2022年度决议得到落实，得0.5分。注：须提供年度管理评审符合条款要求的承诺书。本项目可累计计分，满分1分。</w:t>
            </w:r>
          </w:p>
        </w:tc>
      </w:tr>
    </w:tbl>
    <w:p w14:paraId="05967954">
      <w:pPr>
        <w:pStyle w:val="6"/>
        <w:jc w:val="both"/>
        <w:rPr>
          <w:color w:val="FF0000"/>
        </w:rPr>
      </w:pPr>
      <w:r>
        <w:rPr>
          <w:color w:val="FF0000"/>
        </w:rPr>
        <w:t>商务项（F3×A3）满分为10.0000分</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00"/>
        <w:gridCol w:w="1104"/>
        <w:gridCol w:w="6300"/>
      </w:tblGrid>
      <w:tr w14:paraId="71DD9A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00" w:type="dxa"/>
          </w:tcPr>
          <w:p w14:paraId="255C4567">
            <w:pPr>
              <w:pStyle w:val="6"/>
              <w:jc w:val="both"/>
              <w:rPr>
                <w:color w:val="FF0000"/>
              </w:rPr>
            </w:pPr>
            <w:r>
              <w:rPr>
                <w:color w:val="FF0000"/>
              </w:rPr>
              <w:t xml:space="preserve"> 项目</w:t>
            </w:r>
          </w:p>
        </w:tc>
        <w:tc>
          <w:tcPr>
            <w:tcW w:w="1104" w:type="dxa"/>
          </w:tcPr>
          <w:p w14:paraId="1C3316F6">
            <w:pPr>
              <w:pStyle w:val="6"/>
              <w:jc w:val="both"/>
              <w:rPr>
                <w:color w:val="FF0000"/>
              </w:rPr>
            </w:pPr>
            <w:r>
              <w:rPr>
                <w:color w:val="FF0000"/>
              </w:rPr>
              <w:t xml:space="preserve"> 分值</w:t>
            </w:r>
          </w:p>
        </w:tc>
        <w:tc>
          <w:tcPr>
            <w:tcW w:w="6300" w:type="dxa"/>
          </w:tcPr>
          <w:p w14:paraId="3A973BB0">
            <w:pPr>
              <w:pStyle w:val="6"/>
              <w:jc w:val="both"/>
              <w:rPr>
                <w:color w:val="FF0000"/>
              </w:rPr>
            </w:pPr>
            <w:r>
              <w:rPr>
                <w:color w:val="FF0000"/>
              </w:rPr>
              <w:t xml:space="preserve"> 描述</w:t>
            </w:r>
          </w:p>
        </w:tc>
      </w:tr>
      <w:tr w14:paraId="2488E3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00" w:type="dxa"/>
          </w:tcPr>
          <w:p w14:paraId="5CB184F5">
            <w:pPr>
              <w:pStyle w:val="6"/>
              <w:jc w:val="both"/>
              <w:rPr>
                <w:color w:val="FF0000"/>
              </w:rPr>
            </w:pPr>
            <w:r>
              <w:rPr>
                <w:color w:val="FF0000"/>
              </w:rPr>
              <w:t>1.承担食品抽样检验工作任务及类似项目情况</w:t>
            </w:r>
          </w:p>
        </w:tc>
        <w:tc>
          <w:tcPr>
            <w:tcW w:w="1104" w:type="dxa"/>
          </w:tcPr>
          <w:p w14:paraId="4F1F7D4D">
            <w:pPr>
              <w:pStyle w:val="6"/>
              <w:jc w:val="right"/>
              <w:rPr>
                <w:color w:val="FF0000"/>
              </w:rPr>
            </w:pPr>
            <w:r>
              <w:rPr>
                <w:color w:val="FF0000"/>
              </w:rPr>
              <w:t>3.0000</w:t>
            </w:r>
          </w:p>
        </w:tc>
        <w:tc>
          <w:tcPr>
            <w:tcW w:w="6300" w:type="dxa"/>
          </w:tcPr>
          <w:p w14:paraId="05419642">
            <w:pPr>
              <w:pStyle w:val="6"/>
              <w:jc w:val="both"/>
              <w:rPr>
                <w:color w:val="FF0000"/>
              </w:rPr>
            </w:pPr>
            <w:r>
              <w:rPr>
                <w:color w:val="FF0000"/>
              </w:rPr>
              <w:t>投标人近3年（自2021年1月1日起，以合同签订日期为准）承担过相关行政管理部门（单位）食品抽检监测业务得的3分。上述相应任务（以签订的采购合同数量计）存在问题，被相关行政管理部门（单位）通报或处罚的采购包，不计入上述评分范围。注：需同时提供中标/成交公告(提供相关网站中标/成交公告的下载网页并注明网址)、中标/成交通知书复印件（含扫描件）、采购合同文本复印件（含扫描件），以及用户评价报告文本复印件（含扫描件），未同时提供以上证明材料的不得分。如属于资格遴选招标性质的，提供的佐证材料按实际情况评判。</w:t>
            </w:r>
          </w:p>
        </w:tc>
      </w:tr>
      <w:tr w14:paraId="4B13AE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00" w:type="dxa"/>
          </w:tcPr>
          <w:p w14:paraId="7769AA2F">
            <w:pPr>
              <w:pStyle w:val="6"/>
              <w:jc w:val="both"/>
              <w:rPr>
                <w:color w:val="FF0000"/>
              </w:rPr>
            </w:pPr>
            <w:r>
              <w:rPr>
                <w:color w:val="FF0000"/>
              </w:rPr>
              <w:t>2.重点实验室情况</w:t>
            </w:r>
          </w:p>
        </w:tc>
        <w:tc>
          <w:tcPr>
            <w:tcW w:w="1104" w:type="dxa"/>
          </w:tcPr>
          <w:p w14:paraId="1AA34D77">
            <w:pPr>
              <w:pStyle w:val="6"/>
              <w:jc w:val="right"/>
              <w:rPr>
                <w:color w:val="FF0000"/>
              </w:rPr>
            </w:pPr>
            <w:r>
              <w:rPr>
                <w:color w:val="FF0000"/>
              </w:rPr>
              <w:t>2.0000</w:t>
            </w:r>
          </w:p>
        </w:tc>
        <w:tc>
          <w:tcPr>
            <w:tcW w:w="6300" w:type="dxa"/>
          </w:tcPr>
          <w:p w14:paraId="54E1F08D">
            <w:pPr>
              <w:pStyle w:val="6"/>
              <w:jc w:val="both"/>
              <w:rPr>
                <w:color w:val="FF0000"/>
              </w:rPr>
            </w:pPr>
            <w:r>
              <w:rPr>
                <w:color w:val="FF0000"/>
              </w:rPr>
              <w:t>投标人取得省部级及以上食品相关检验检测（监测）中心或食品重点实验室资质的得2分。注：需提供上述相关部门（单位）出具的证明材料复印件（含扫描件），否则不得分。</w:t>
            </w:r>
          </w:p>
        </w:tc>
      </w:tr>
      <w:tr w14:paraId="5B1A38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00" w:type="dxa"/>
          </w:tcPr>
          <w:p w14:paraId="6328BEC6">
            <w:pPr>
              <w:pStyle w:val="6"/>
              <w:jc w:val="both"/>
              <w:rPr>
                <w:color w:val="FF0000"/>
              </w:rPr>
            </w:pPr>
            <w:r>
              <w:rPr>
                <w:color w:val="FF0000"/>
              </w:rPr>
              <w:t>3.应急响应能力</w:t>
            </w:r>
          </w:p>
        </w:tc>
        <w:tc>
          <w:tcPr>
            <w:tcW w:w="1104" w:type="dxa"/>
          </w:tcPr>
          <w:p w14:paraId="45FAB47F">
            <w:pPr>
              <w:pStyle w:val="6"/>
              <w:jc w:val="right"/>
              <w:rPr>
                <w:color w:val="FF0000"/>
              </w:rPr>
            </w:pPr>
            <w:r>
              <w:rPr>
                <w:color w:val="FF0000"/>
              </w:rPr>
              <w:t>3.0000</w:t>
            </w:r>
          </w:p>
        </w:tc>
        <w:tc>
          <w:tcPr>
            <w:tcW w:w="6300" w:type="dxa"/>
          </w:tcPr>
          <w:p w14:paraId="07B6EE8D">
            <w:pPr>
              <w:pStyle w:val="6"/>
              <w:jc w:val="both"/>
              <w:rPr>
                <w:color w:val="FF0000"/>
              </w:rPr>
            </w:pPr>
            <w:r>
              <w:rPr>
                <w:color w:val="FF0000"/>
              </w:rPr>
              <w:t>投标人接到采购人应急任务时，应及时响应，根据投标人到达采购人单位（福州市华林路147号）的时间，按下列情况得分：时长≤4.5小时的得3分；4.5小时＜时长≤5.5小时的得2分； 时长＞5.5小时的得1分。注：①考虑样品的特殊性，抽取的样品运输时间以汽车运输时间计算；②提供以百度地图或高德地图等电子地图测算截图（投标人须提供 CMA 资质认证证书上的地址到采购人单位的时间截图）；③提供对样品不变质措施及抽样响应时间做出明确承诺，否则不得分。</w:t>
            </w:r>
          </w:p>
        </w:tc>
      </w:tr>
      <w:tr w14:paraId="77D9FC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00" w:type="dxa"/>
          </w:tcPr>
          <w:p w14:paraId="5CE1A2E1">
            <w:pPr>
              <w:pStyle w:val="6"/>
              <w:jc w:val="both"/>
              <w:rPr>
                <w:color w:val="FF0000"/>
              </w:rPr>
            </w:pPr>
            <w:r>
              <w:rPr>
                <w:color w:val="FF0000"/>
              </w:rPr>
              <w:t>4.实验室标准物质和标准菌株情况</w:t>
            </w:r>
          </w:p>
        </w:tc>
        <w:tc>
          <w:tcPr>
            <w:tcW w:w="1104" w:type="dxa"/>
          </w:tcPr>
          <w:p w14:paraId="65458E6F">
            <w:pPr>
              <w:pStyle w:val="6"/>
              <w:jc w:val="right"/>
              <w:rPr>
                <w:color w:val="FF0000"/>
              </w:rPr>
            </w:pPr>
            <w:r>
              <w:rPr>
                <w:color w:val="FF0000"/>
              </w:rPr>
              <w:t>2.0000</w:t>
            </w:r>
          </w:p>
        </w:tc>
        <w:tc>
          <w:tcPr>
            <w:tcW w:w="6300" w:type="dxa"/>
          </w:tcPr>
          <w:p w14:paraId="61D69F42">
            <w:pPr>
              <w:pStyle w:val="6"/>
              <w:jc w:val="both"/>
              <w:rPr>
                <w:color w:val="FF0000"/>
              </w:rPr>
            </w:pPr>
            <w:r>
              <w:rPr>
                <w:color w:val="FF0000"/>
              </w:rPr>
              <w:t>实验室须具有开展资质认定证书附表中食品检验项目所必须的全部标准物质和标准菌株且均在有效期内的基础上，所有的标准物质100%有有效证书或通过验证得2分；标准物质和标准菌株有90%(含）-100%（不含)有有效证书或通过验证的得1分；标准物质和标准菌株有80%(含）-90%（不含)有有效证书或通过验证的得0.5分；标准物质和标准菌株低于80%（不含）不得分。注：提供所投采购包中，实验室购买的技术项中第5项所要求的仪器设备使用到的标准物质及标准菌株的有效购物凭证复印件（含扫描件）及进出库记录，现有标准及标准菌株保存的照片，标准物质和标准菌株自查表（除部分打斜杠的项目，详见附件）、承诺书，如还有其他相关佐证材料的，可一并提供。</w:t>
            </w:r>
          </w:p>
        </w:tc>
      </w:tr>
    </w:tbl>
    <w:p w14:paraId="23B68330">
      <w:pPr>
        <w:pStyle w:val="6"/>
        <w:jc w:val="both"/>
        <w:rPr>
          <w:color w:val="FF0000"/>
        </w:rPr>
      </w:pPr>
      <w:r>
        <w:rPr>
          <w:color w:val="FF0000"/>
        </w:rPr>
        <w:t>※除本章第6.3条第（3）款规定情形和落实政府采购政策需进行的价格扣除情形外，不能对投标人的投标报价进行任何调整。</w:t>
      </w:r>
    </w:p>
    <w:p w14:paraId="274C3D46">
      <w:pPr>
        <w:pStyle w:val="6"/>
        <w:jc w:val="both"/>
        <w:rPr>
          <w:color w:val="FF0000"/>
        </w:rPr>
      </w:pPr>
      <w:r>
        <w:rPr>
          <w:color w:val="FF0000"/>
        </w:rPr>
        <w:t>（3）中标候选人排列规则顺序如下：</w:t>
      </w:r>
    </w:p>
    <w:p w14:paraId="2C13633C">
      <w:pPr>
        <w:pStyle w:val="6"/>
        <w:jc w:val="both"/>
        <w:rPr>
          <w:color w:val="FF0000"/>
        </w:rPr>
      </w:pPr>
      <w:r>
        <w:rPr>
          <w:color w:val="FF0000"/>
        </w:rPr>
        <w:t>a.按照评标总得分（FA）由高到低顺序排列。</w:t>
      </w:r>
    </w:p>
    <w:p w14:paraId="311A042B">
      <w:pPr>
        <w:pStyle w:val="6"/>
        <w:jc w:val="both"/>
        <w:rPr>
          <w:color w:val="FF0000"/>
        </w:rPr>
      </w:pPr>
      <w:r>
        <w:rPr>
          <w:color w:val="FF0000"/>
        </w:rPr>
        <w:t>b.评标总得分（FA）相同的，按照评标价（即价格扣除后的投标报价）由低到高顺序排列。</w:t>
      </w:r>
    </w:p>
    <w:p w14:paraId="5A0CE3FC">
      <w:pPr>
        <w:pStyle w:val="6"/>
        <w:jc w:val="both"/>
        <w:rPr>
          <w:color w:val="FF0000"/>
        </w:rPr>
      </w:pPr>
      <w:r>
        <w:rPr>
          <w:color w:val="FF0000"/>
        </w:rPr>
        <w:t>c.评标总得分（FA）且评标价（即价格扣除后的投标报价）相同的并列。</w:t>
      </w:r>
    </w:p>
    <w:p w14:paraId="24BBF818">
      <w:pPr>
        <w:pStyle w:val="6"/>
        <w:jc w:val="both"/>
        <w:rPr>
          <w:color w:val="FF0000"/>
        </w:rPr>
      </w:pPr>
      <w:r>
        <w:rPr>
          <w:color w:val="FF0000"/>
        </w:rPr>
        <w:t>采购包2：综合评分法</w:t>
      </w:r>
    </w:p>
    <w:p w14:paraId="7D51FBBF">
      <w:pPr>
        <w:pStyle w:val="6"/>
        <w:jc w:val="both"/>
        <w:rPr>
          <w:color w:val="FF0000"/>
        </w:rPr>
      </w:pPr>
      <w:r>
        <w:rPr>
          <w:color w:val="FF0000"/>
        </w:rPr>
        <w:t>（1）投标文件满足招标文件全部实质性要求，且按照评审因素的量化指标评审得分（即评标总得分）最高的投标人为中标候选人。</w:t>
      </w:r>
    </w:p>
    <w:p w14:paraId="52BA833F">
      <w:pPr>
        <w:pStyle w:val="6"/>
        <w:jc w:val="both"/>
        <w:rPr>
          <w:color w:val="FF0000"/>
        </w:rPr>
      </w:pPr>
      <w:r>
        <w:rPr>
          <w:color w:val="FF0000"/>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2EAFA17F">
      <w:pPr>
        <w:pStyle w:val="6"/>
        <w:jc w:val="both"/>
        <w:rPr>
          <w:color w:val="FF0000"/>
        </w:rPr>
      </w:pPr>
      <w:r>
        <w:rPr>
          <w:color w:val="FF0000"/>
        </w:rPr>
        <w:t>各项评审因素的设置如下：</w:t>
      </w:r>
    </w:p>
    <w:p w14:paraId="58A81E3C">
      <w:pPr>
        <w:pStyle w:val="6"/>
        <w:jc w:val="both"/>
        <w:rPr>
          <w:color w:val="FF0000"/>
        </w:rPr>
      </w:pPr>
      <w:r>
        <w:rPr>
          <w:color w:val="FF0000"/>
        </w:rPr>
        <w:t>价格项（F1×A1）满分为12.0000分</w:t>
      </w:r>
    </w:p>
    <w:p w14:paraId="4CD0F531">
      <w:pPr>
        <w:pStyle w:val="6"/>
        <w:jc w:val="both"/>
        <w:rPr>
          <w:color w:val="FF0000"/>
        </w:rPr>
      </w:pPr>
      <w:r>
        <w:rPr>
          <w:color w:val="FF0000"/>
        </w:rPr>
        <w:t>F1指价格项评审因素得分＝（评标基准价/投标报价）×100×价格项评审因素所占的权重（注：满足招标文件要求且投标价格最低的投标报价为评标基准价。）最低报价不是中标的唯一依据。因落实政府采购政策进行价格调整的，以调整后的价格计算评标基准价和投标报价。</w:t>
      </w:r>
    </w:p>
    <w:p w14:paraId="5423D8DE">
      <w:pPr>
        <w:pStyle w:val="6"/>
        <w:jc w:val="both"/>
        <w:rPr>
          <w:color w:val="FF0000"/>
        </w:rPr>
      </w:pPr>
      <w:r>
        <w:rPr>
          <w:color w:val="FF0000"/>
        </w:rPr>
        <w:t>价格扣除的规则如下：</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90"/>
        <w:gridCol w:w="1285"/>
        <w:gridCol w:w="1157"/>
        <w:gridCol w:w="4961"/>
      </w:tblGrid>
      <w:tr w14:paraId="316C58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0" w:type="dxa"/>
          </w:tcPr>
          <w:p w14:paraId="7CF377F5">
            <w:pPr>
              <w:pStyle w:val="6"/>
              <w:jc w:val="both"/>
              <w:rPr>
                <w:color w:val="FF0000"/>
              </w:rPr>
            </w:pPr>
            <w:r>
              <w:rPr>
                <w:color w:val="FF0000"/>
              </w:rPr>
              <w:t xml:space="preserve"> 项目</w:t>
            </w:r>
          </w:p>
        </w:tc>
        <w:tc>
          <w:tcPr>
            <w:tcW w:w="1285" w:type="dxa"/>
          </w:tcPr>
          <w:p w14:paraId="2B3BED02">
            <w:pPr>
              <w:pStyle w:val="6"/>
              <w:jc w:val="both"/>
              <w:rPr>
                <w:color w:val="FF0000"/>
              </w:rPr>
            </w:pPr>
            <w:r>
              <w:rPr>
                <w:color w:val="FF0000"/>
              </w:rPr>
              <w:t xml:space="preserve"> 适用对象</w:t>
            </w:r>
          </w:p>
        </w:tc>
        <w:tc>
          <w:tcPr>
            <w:tcW w:w="1157" w:type="dxa"/>
          </w:tcPr>
          <w:p w14:paraId="172C75F1">
            <w:pPr>
              <w:pStyle w:val="6"/>
              <w:jc w:val="both"/>
              <w:rPr>
                <w:color w:val="FF0000"/>
              </w:rPr>
            </w:pPr>
            <w:r>
              <w:rPr>
                <w:color w:val="FF0000"/>
              </w:rPr>
              <w:t xml:space="preserve"> 比例</w:t>
            </w:r>
          </w:p>
        </w:tc>
        <w:tc>
          <w:tcPr>
            <w:tcW w:w="4961" w:type="dxa"/>
          </w:tcPr>
          <w:p w14:paraId="14AFF918">
            <w:pPr>
              <w:pStyle w:val="6"/>
              <w:jc w:val="both"/>
              <w:rPr>
                <w:color w:val="FF0000"/>
              </w:rPr>
            </w:pPr>
            <w:r>
              <w:rPr>
                <w:color w:val="FF0000"/>
              </w:rPr>
              <w:t xml:space="preserve"> 描述</w:t>
            </w:r>
          </w:p>
        </w:tc>
      </w:tr>
      <w:tr w14:paraId="01CEF2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0" w:type="dxa"/>
          </w:tcPr>
          <w:p w14:paraId="5758E791">
            <w:pPr>
              <w:pStyle w:val="6"/>
              <w:jc w:val="both"/>
              <w:rPr>
                <w:color w:val="FF0000"/>
              </w:rPr>
            </w:pPr>
            <w:r>
              <w:rPr>
                <w:color w:val="FF0000"/>
              </w:rPr>
              <w:t>小型、微型企业，监狱企业，残疾人福利性单位</w:t>
            </w:r>
          </w:p>
        </w:tc>
        <w:tc>
          <w:tcPr>
            <w:tcW w:w="1285" w:type="dxa"/>
          </w:tcPr>
          <w:p w14:paraId="1EDA5CC0">
            <w:pPr>
              <w:pStyle w:val="6"/>
              <w:jc w:val="both"/>
              <w:rPr>
                <w:color w:val="FF0000"/>
              </w:rPr>
            </w:pPr>
            <w:r>
              <w:rPr>
                <w:color w:val="FF0000"/>
              </w:rPr>
              <w:t>投标人或者联合体均为小型、微型企业</w:t>
            </w:r>
          </w:p>
        </w:tc>
        <w:tc>
          <w:tcPr>
            <w:tcW w:w="1157" w:type="dxa"/>
          </w:tcPr>
          <w:p w14:paraId="2F5844B2">
            <w:pPr>
              <w:pStyle w:val="6"/>
              <w:jc w:val="right"/>
              <w:rPr>
                <w:color w:val="FF0000"/>
              </w:rPr>
            </w:pPr>
            <w:r>
              <w:rPr>
                <w:color w:val="FF0000"/>
              </w:rPr>
              <w:t>15.0000%</w:t>
            </w:r>
          </w:p>
        </w:tc>
        <w:tc>
          <w:tcPr>
            <w:tcW w:w="4961" w:type="dxa"/>
          </w:tcPr>
          <w:p w14:paraId="72ECEC7A">
            <w:pPr>
              <w:pStyle w:val="6"/>
              <w:jc w:val="both"/>
              <w:rPr>
                <w:color w:val="FF0000"/>
              </w:rPr>
            </w:pPr>
            <w:r>
              <w:rPr>
                <w:color w:val="FF0000"/>
              </w:rPr>
              <w:t>1、评审时，对符合《政府采购促进中小企业发展管理办法》（财库﹝2020﹞46号）及《福建省财政厅关于进一步加大政府采购支持中小企业力度的通知》（闽财规〔2022〕13号）规定的小微企业报价给予价格扣除【货物和服务项目为15%；工程项目为5%；对于联合协议或者分包意向协议约定小微企业的合同份额占到合同总金额30%以上的，对联合体或者大中型企业的报价扣除比例为5%（工程项目为2%）】，用扣除后的价格参加评审。投标人须提供合格的中小企业声明函（格式详见第七章），否则不予价格扣除。 2、根据财政部、司法部联合印发《关于政府采购支持监狱企业发展有关问题的通知》（财库【2014】68号）文件规定，凡监狱企业参加政府采购活动视同小型、微型企业，享受评审价格扣除的政府采购优惠政策。此次若有监狱企业参加投标的其报价享受小微企业同等比例的价格扣除，但必须提供由省级以上监狱管理局、戒毒管理局（含新疆生产建设兵团）出具的属于监狱企业的证明文件，否则评审时不予价格扣除优惠。 3、根据财政部、民政部、中国残联文件（财库[2017]141号）及福建省财政厅、福建省民政厅、福建省残疾人联合会联合发布的《关于进一步落实政府采购支持残疾人就业政策的通知》、福建省财政厅《关于残疾人福利性单位参加政府 采购活动价格扣除的通知》，凡符合上述文件要求条件的残疾人福利性单位在参加政府采购活动时视同小型、微型企业，享受预留份额、评审中价格扣除等促进中小企业发展的政府采购政策。此次若有参加投标的对残疾人福利性单位报价部分给予小微企业同等比例的扣除（对残疾人福利性单位与其他组织组成联合体参与政府采购活动的，残疾人福利性单位的协议合同金额占总合同金额30%以上的，货物和服务项目对联合体或者大中型企业的报价扣除比例为5%，但必须提供《残疾人福利性单位声明函》（格式详见第七章），对于残疾人福利性单位参与货物项目的，必须标明具体哪些货物是其本单位制造的货物，或者是由其他残疾人福利性单位制造的货物（不包括使用非残疾人福利性单位注册商标的货物），仅有标明部分的货物才能启动价格扣除，并对声明的真实性负责，否则评审时不予价格扣除优惠。 4、具体详见招标文件第三章、第七章规定，上述规定与政府采购相关法律、法规、制度等有冲突的，以现行法律、法规、制度等执行。 5、本本项目为服务类采购项目，采购标的对应的中小企业划分标准所属行业为其他未列明行业。</w:t>
            </w:r>
          </w:p>
        </w:tc>
      </w:tr>
    </w:tbl>
    <w:p w14:paraId="2E1BF55B">
      <w:pPr>
        <w:pStyle w:val="6"/>
        <w:jc w:val="both"/>
        <w:rPr>
          <w:color w:val="FF0000"/>
        </w:rPr>
      </w:pPr>
      <w:r>
        <w:rPr>
          <w:color w:val="FF0000"/>
        </w:rPr>
        <w:t>优先类节能产品、环境标志产品的价格扣除规则如下</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90"/>
        <w:gridCol w:w="1275"/>
        <w:gridCol w:w="6117"/>
      </w:tblGrid>
      <w:tr w14:paraId="7E7579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0" w:type="dxa"/>
          </w:tcPr>
          <w:p w14:paraId="7BB1EF17">
            <w:pPr>
              <w:pStyle w:val="6"/>
              <w:jc w:val="both"/>
              <w:rPr>
                <w:color w:val="FF0000"/>
              </w:rPr>
            </w:pPr>
            <w:r>
              <w:rPr>
                <w:color w:val="FF0000"/>
              </w:rPr>
              <w:t xml:space="preserve"> 项目</w:t>
            </w:r>
          </w:p>
        </w:tc>
        <w:tc>
          <w:tcPr>
            <w:tcW w:w="1275" w:type="dxa"/>
          </w:tcPr>
          <w:p w14:paraId="7C959FE4">
            <w:pPr>
              <w:pStyle w:val="6"/>
              <w:jc w:val="both"/>
              <w:rPr>
                <w:color w:val="FF0000"/>
              </w:rPr>
            </w:pPr>
            <w:r>
              <w:rPr>
                <w:color w:val="FF0000"/>
              </w:rPr>
              <w:t xml:space="preserve"> 比例</w:t>
            </w:r>
          </w:p>
        </w:tc>
        <w:tc>
          <w:tcPr>
            <w:tcW w:w="6117" w:type="dxa"/>
          </w:tcPr>
          <w:p w14:paraId="0B1E540E">
            <w:pPr>
              <w:pStyle w:val="6"/>
              <w:jc w:val="both"/>
              <w:rPr>
                <w:color w:val="FF0000"/>
              </w:rPr>
            </w:pPr>
            <w:r>
              <w:rPr>
                <w:color w:val="FF0000"/>
              </w:rPr>
              <w:t xml:space="preserve"> 方法</w:t>
            </w:r>
          </w:p>
        </w:tc>
      </w:tr>
      <w:tr w14:paraId="5EB816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0" w:type="dxa"/>
          </w:tcPr>
          <w:p w14:paraId="31D03259">
            <w:pPr>
              <w:pStyle w:val="6"/>
              <w:jc w:val="both"/>
              <w:rPr>
                <w:color w:val="FF0000"/>
              </w:rPr>
            </w:pPr>
            <w:r>
              <w:rPr>
                <w:color w:val="FF0000"/>
              </w:rPr>
              <w:t>节能、环境标志产品</w:t>
            </w:r>
          </w:p>
        </w:tc>
        <w:tc>
          <w:tcPr>
            <w:tcW w:w="1275" w:type="dxa"/>
          </w:tcPr>
          <w:p w14:paraId="5D8DF141">
            <w:pPr>
              <w:pStyle w:val="6"/>
              <w:jc w:val="right"/>
              <w:rPr>
                <w:color w:val="FF0000"/>
              </w:rPr>
            </w:pPr>
            <w:r>
              <w:rPr>
                <w:color w:val="FF0000"/>
              </w:rPr>
              <w:t>10.0000%</w:t>
            </w:r>
          </w:p>
        </w:tc>
        <w:tc>
          <w:tcPr>
            <w:tcW w:w="6117" w:type="dxa"/>
          </w:tcPr>
          <w:p w14:paraId="10D4D697">
            <w:pPr>
              <w:pStyle w:val="6"/>
              <w:jc w:val="both"/>
              <w:rPr>
                <w:color w:val="FF0000"/>
              </w:rPr>
            </w:pPr>
            <w:r>
              <w:rPr>
                <w:color w:val="FF0000"/>
              </w:rPr>
              <w:t>1、同一采购包内，对节能产品、环境标志产品政府采购品目清单范围内，实施优先采购的产品，给予产品价格报价10%的扣除，用扣除后的价格参加评审。采购标的同时包含其它非优先采购产品的，应当在采购文件中要求供应商对优先采购产品和非优先采购产品进行分项报价，非优先采购产品的报价不得享受给予节能产品、环境标志产品的价格扣除优惠。2、同一优先采购产品中各认证证书不重复计算价格扣除。强制类节能产品不进行价格扣除。3、对于同时属于节能、环境标志的产品，应当优先于只获得其中一项认证的产品。投标人在投标时必须对属于节能、环境标志产品单独在节能(非强制类)、环境标志产品统计表中填写，并提供产品的证明资料复印件附在报价部分(电子证明资料应上传在对应评分模块)且加盖投标人公章。未单独分项报价或未按规定提供产品的证明资料的不给予扣除。投标产品属于节能、环境标志产品的，可享受相关的鼓励优惠政策。若节能、环境标志产品仅是构成投标产品的部件、组件或零件的，则该投标产品不享受鼓励优惠政策。评标委员会审查此项响应性只根据投标文件本身的内容，而不寻求其他的外部证据。</w:t>
            </w:r>
          </w:p>
        </w:tc>
      </w:tr>
    </w:tbl>
    <w:p w14:paraId="7C263D2E">
      <w:pPr>
        <w:pStyle w:val="6"/>
        <w:jc w:val="both"/>
        <w:rPr>
          <w:color w:val="FF0000"/>
        </w:rPr>
      </w:pPr>
      <w:r>
        <w:rPr>
          <w:color w:val="FF0000"/>
        </w:rPr>
        <w:t>其他：无</w:t>
      </w:r>
    </w:p>
    <w:p w14:paraId="223694C8">
      <w:pPr>
        <w:pStyle w:val="6"/>
        <w:jc w:val="both"/>
        <w:rPr>
          <w:color w:val="FF0000"/>
        </w:rPr>
      </w:pPr>
      <w:r>
        <w:rPr>
          <w:color w:val="FF0000"/>
        </w:rPr>
        <w:t>技术项（F2×A2）满分为78.0000分</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00"/>
        <w:gridCol w:w="1265"/>
        <w:gridCol w:w="6157"/>
      </w:tblGrid>
      <w:tr w14:paraId="18DAA1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00" w:type="dxa"/>
          </w:tcPr>
          <w:p w14:paraId="6B6DD337">
            <w:pPr>
              <w:pStyle w:val="6"/>
              <w:jc w:val="both"/>
              <w:rPr>
                <w:color w:val="FF0000"/>
              </w:rPr>
            </w:pPr>
            <w:r>
              <w:rPr>
                <w:color w:val="FF0000"/>
              </w:rPr>
              <w:t xml:space="preserve"> 项目</w:t>
            </w:r>
          </w:p>
        </w:tc>
        <w:tc>
          <w:tcPr>
            <w:tcW w:w="1265" w:type="dxa"/>
          </w:tcPr>
          <w:p w14:paraId="02500A9B">
            <w:pPr>
              <w:pStyle w:val="6"/>
              <w:jc w:val="both"/>
              <w:rPr>
                <w:color w:val="FF0000"/>
              </w:rPr>
            </w:pPr>
            <w:r>
              <w:rPr>
                <w:color w:val="FF0000"/>
              </w:rPr>
              <w:t xml:space="preserve"> 分值</w:t>
            </w:r>
          </w:p>
        </w:tc>
        <w:tc>
          <w:tcPr>
            <w:tcW w:w="6160" w:type="dxa"/>
          </w:tcPr>
          <w:p w14:paraId="2F8435CF">
            <w:pPr>
              <w:pStyle w:val="6"/>
              <w:jc w:val="both"/>
              <w:rPr>
                <w:color w:val="FF0000"/>
              </w:rPr>
            </w:pPr>
            <w:r>
              <w:rPr>
                <w:color w:val="FF0000"/>
              </w:rPr>
              <w:t xml:space="preserve"> 描述</w:t>
            </w:r>
          </w:p>
        </w:tc>
      </w:tr>
      <w:tr w14:paraId="114AE5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00" w:type="dxa"/>
          </w:tcPr>
          <w:p w14:paraId="69B54DE1">
            <w:pPr>
              <w:pStyle w:val="6"/>
              <w:jc w:val="both"/>
              <w:rPr>
                <w:color w:val="FF0000"/>
              </w:rPr>
            </w:pPr>
            <w:r>
              <w:rPr>
                <w:color w:val="FF0000"/>
              </w:rPr>
              <w:t>1、技术和服务响应情况</w:t>
            </w:r>
          </w:p>
        </w:tc>
        <w:tc>
          <w:tcPr>
            <w:tcW w:w="1265" w:type="dxa"/>
          </w:tcPr>
          <w:p w14:paraId="5E29D946">
            <w:pPr>
              <w:pStyle w:val="6"/>
              <w:jc w:val="right"/>
              <w:rPr>
                <w:color w:val="FF0000"/>
              </w:rPr>
            </w:pPr>
            <w:r>
              <w:rPr>
                <w:color w:val="FF0000"/>
              </w:rPr>
              <w:t>3.0000</w:t>
            </w:r>
          </w:p>
        </w:tc>
        <w:tc>
          <w:tcPr>
            <w:tcW w:w="6160" w:type="dxa"/>
          </w:tcPr>
          <w:p w14:paraId="60B47193">
            <w:pPr>
              <w:pStyle w:val="6"/>
              <w:jc w:val="both"/>
              <w:rPr>
                <w:color w:val="FF0000"/>
              </w:rPr>
            </w:pPr>
            <w:r>
              <w:rPr>
                <w:color w:val="FF0000"/>
              </w:rPr>
              <w:t>根据各投标人所投服务对《第五章招标内容及要求》“二、技术和服务要求”中的各项技术要求的响应、承诺情况并结合相关佐证材料（如有要求）由评委进行评分：完全满足招标文件技术参数要求的得3分。标注★的参数为不允许负偏离的实质性要求，有出现负偏离的按投标无效处理,未标注符号的技术参数每负偏离一项扣1.5分，正偏离不加分，扣完为止。【标注★的参数（序号1至序号9共9项）、未标注符号的技术参数（序号10、序号11共2项）】。 注：1.投标人须在投标文件中提供“投标人承诺所有投标材料均真实有效。中标后在任务实施过程中，采购人可对中标人实施监督核查，一旦发现中标人存在虚假应标材料，采购人有权终止合同，并追究中标人相关法律责任。”的承诺书，承诺书格式自拟，未提供承诺书的将视为无效投标。2.对第五章“二、技术和服务要求”中的条款2，投标人需提供相应仪器设备购置发票或其他证明资料的复印件（含扫描件）和真实性承诺书，未提供本承诺书的将视为无效投标。</w:t>
            </w:r>
          </w:p>
        </w:tc>
      </w:tr>
      <w:tr w14:paraId="2798BE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00" w:type="dxa"/>
          </w:tcPr>
          <w:p w14:paraId="22968CE3">
            <w:pPr>
              <w:pStyle w:val="6"/>
              <w:jc w:val="both"/>
              <w:rPr>
                <w:color w:val="FF0000"/>
              </w:rPr>
            </w:pPr>
            <w:r>
              <w:rPr>
                <w:color w:val="FF0000"/>
              </w:rPr>
              <w:t>2、检验检测能力</w:t>
            </w:r>
          </w:p>
        </w:tc>
        <w:tc>
          <w:tcPr>
            <w:tcW w:w="1265" w:type="dxa"/>
          </w:tcPr>
          <w:p w14:paraId="6FE2FA5B">
            <w:pPr>
              <w:pStyle w:val="6"/>
              <w:jc w:val="right"/>
              <w:rPr>
                <w:color w:val="FF0000"/>
              </w:rPr>
            </w:pPr>
            <w:r>
              <w:rPr>
                <w:color w:val="FF0000"/>
              </w:rPr>
              <w:t>20.0000</w:t>
            </w:r>
          </w:p>
        </w:tc>
        <w:tc>
          <w:tcPr>
            <w:tcW w:w="6160" w:type="dxa"/>
          </w:tcPr>
          <w:p w14:paraId="5B8E6893">
            <w:pPr>
              <w:pStyle w:val="6"/>
              <w:jc w:val="both"/>
              <w:rPr>
                <w:color w:val="FF0000"/>
              </w:rPr>
            </w:pPr>
            <w:r>
              <w:rPr>
                <w:color w:val="FF0000"/>
              </w:rPr>
              <w:t>根据投标人获得的食品检验资质产品及项目，按照《国家食品安全监督抽检实施细则（2024年版）》规定的检验项目、检测方法及检验依据能够完全满足所投采购包的检验项目的得20分，每负偏离1项扣1分，扣完为止。（按同一个采购包内负偏出现的次数扣分，例如铅项目负偏，应当按该采购包铅项目的实际个数累计扣分；采购包自查表中“细则规定方法”这一栏中打“/”的项目若负偏离，不扣分）。注：须提供营业执照复印件（含扫描件）（或事业单位法人证书）、检验检测机构资质认定证书及授权检测能力附表复印件（含扫描件）、检验项目自查表（详见附件），如还有其他相关佐证材料的，可一并提供。以上材料缺一不可，否则不得分。</w:t>
            </w:r>
          </w:p>
        </w:tc>
      </w:tr>
      <w:tr w14:paraId="129F02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00" w:type="dxa"/>
          </w:tcPr>
          <w:p w14:paraId="5007320C">
            <w:pPr>
              <w:pStyle w:val="6"/>
              <w:jc w:val="both"/>
              <w:rPr>
                <w:color w:val="FF0000"/>
              </w:rPr>
            </w:pPr>
            <w:r>
              <w:rPr>
                <w:color w:val="FF0000"/>
              </w:rPr>
              <w:t>3、工作方案</w:t>
            </w:r>
          </w:p>
        </w:tc>
        <w:tc>
          <w:tcPr>
            <w:tcW w:w="1265" w:type="dxa"/>
          </w:tcPr>
          <w:p w14:paraId="6B9B7A7D">
            <w:pPr>
              <w:pStyle w:val="6"/>
              <w:jc w:val="right"/>
              <w:rPr>
                <w:color w:val="FF0000"/>
              </w:rPr>
            </w:pPr>
            <w:r>
              <w:rPr>
                <w:color w:val="FF0000"/>
              </w:rPr>
              <w:t>3.0000</w:t>
            </w:r>
          </w:p>
        </w:tc>
        <w:tc>
          <w:tcPr>
            <w:tcW w:w="6160" w:type="dxa"/>
          </w:tcPr>
          <w:p w14:paraId="4CE77F76">
            <w:pPr>
              <w:pStyle w:val="6"/>
              <w:jc w:val="both"/>
              <w:rPr>
                <w:color w:val="FF0000"/>
              </w:rPr>
            </w:pPr>
            <w:r>
              <w:rPr>
                <w:color w:val="FF0000"/>
              </w:rPr>
              <w:t>根据投标人针对所投采购包抽检任务的工作方案应包含但不限于：①组织实施的方式（包括抽检监测时间安排、整体工作进度、抽样人员安排、异议处理的程序、异议联络人员名单等）；②抽样方案（包括采样点分布、生产企业覆盖率、抽样样品中高端品种数量等、样品的采集方式、保存运输方法）；③检测方案（包括检验项目、检验依据、检测方法、报告判定原则、结果报送要求、异议及后处理、备份样品处置规范、检验过程的质量控制体系及方法，统计分析报告纲要、工作纪律、应急预案等）进行评分：抽检任务的工作方案所包含的要点齐全无缺漏项、内容与要点相符、内容完善且能够适用于本项目的得3分；方案所包含的要点齐全、内容与要点相符、但仅有纲要内容简略，未展开阐述的得2分；方案所包含的要点不够齐全、且仅有纲要内容的得1分；未提供或内容存在错误的不得分。</w:t>
            </w:r>
          </w:p>
        </w:tc>
      </w:tr>
      <w:tr w14:paraId="3E5F44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00" w:type="dxa"/>
          </w:tcPr>
          <w:p w14:paraId="3888BD46">
            <w:pPr>
              <w:pStyle w:val="6"/>
              <w:jc w:val="both"/>
              <w:rPr>
                <w:color w:val="FF0000"/>
              </w:rPr>
            </w:pPr>
            <w:r>
              <w:rPr>
                <w:color w:val="FF0000"/>
              </w:rPr>
              <w:t>4.既往工作质量</w:t>
            </w:r>
          </w:p>
        </w:tc>
        <w:tc>
          <w:tcPr>
            <w:tcW w:w="1265" w:type="dxa"/>
          </w:tcPr>
          <w:p w14:paraId="58FF8B2E">
            <w:pPr>
              <w:pStyle w:val="6"/>
              <w:jc w:val="right"/>
              <w:rPr>
                <w:color w:val="FF0000"/>
              </w:rPr>
            </w:pPr>
            <w:r>
              <w:rPr>
                <w:color w:val="FF0000"/>
              </w:rPr>
              <w:t>7.0000</w:t>
            </w:r>
          </w:p>
        </w:tc>
        <w:tc>
          <w:tcPr>
            <w:tcW w:w="6160" w:type="dxa"/>
          </w:tcPr>
          <w:p w14:paraId="15BA19BA">
            <w:pPr>
              <w:pStyle w:val="6"/>
              <w:jc w:val="both"/>
              <w:rPr>
                <w:color w:val="FF0000"/>
              </w:rPr>
            </w:pPr>
            <w:r>
              <w:rPr>
                <w:color w:val="FF0000"/>
              </w:rPr>
              <w:t>投标人依法依规落实2023年1月1日以来相关行政管理部门食品抽样检验任务：①未受到相关行政管理部门通报批评(涉及责令改正、约谈、暂停委托、不再委托、行政处罚以及行政管理部门通报的同类性质问题)的得1分；②未违反合同约定受到相关行政管理部门处罚(涉及责令改正、约谈、暂停委托、不再委托、行政处罚以及行政管理部门通报的同类性质问题)的得1分；③未存在实施相关行政管理部门抽检任务过程出现较严重问题(抽样检验出现重大差错导致不良后果、出具不实检验检测报告、虚假检验检测报告以及行政管理部门通报的同类性质问题)的得1分；④未存在无正当理由拒绝相关行政管理部门有关技术咨询、专家论证、应急服务以及其他工作配合的得1分；⑤未存在因抽样检验问题导致相关行政管理部门司法败诉的得1分；⑥相关行政管理部门抽检数据质量抽查问题率低于2.70%的得2分。注：投标人需提供自评材料并对其真实性进行承诺；一旦发现存在虚假，采购人有权利终止合同，并追究相关法律责任。</w:t>
            </w:r>
          </w:p>
        </w:tc>
      </w:tr>
      <w:tr w14:paraId="06A3CC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00" w:type="dxa"/>
          </w:tcPr>
          <w:p w14:paraId="102EB4F5">
            <w:pPr>
              <w:pStyle w:val="6"/>
              <w:jc w:val="both"/>
              <w:rPr>
                <w:color w:val="FF0000"/>
              </w:rPr>
            </w:pPr>
            <w:r>
              <w:rPr>
                <w:color w:val="FF0000"/>
              </w:rPr>
              <w:t>5.项目人员配备</w:t>
            </w:r>
          </w:p>
        </w:tc>
        <w:tc>
          <w:tcPr>
            <w:tcW w:w="1265" w:type="dxa"/>
          </w:tcPr>
          <w:p w14:paraId="28BB19B9">
            <w:pPr>
              <w:pStyle w:val="6"/>
              <w:jc w:val="right"/>
              <w:rPr>
                <w:color w:val="FF0000"/>
              </w:rPr>
            </w:pPr>
            <w:r>
              <w:rPr>
                <w:color w:val="FF0000"/>
              </w:rPr>
              <w:t>3.0000</w:t>
            </w:r>
          </w:p>
        </w:tc>
        <w:tc>
          <w:tcPr>
            <w:tcW w:w="6160" w:type="dxa"/>
          </w:tcPr>
          <w:p w14:paraId="49BA2638">
            <w:pPr>
              <w:pStyle w:val="6"/>
              <w:jc w:val="both"/>
              <w:rPr>
                <w:color w:val="FF0000"/>
              </w:rPr>
            </w:pPr>
            <w:r>
              <w:rPr>
                <w:color w:val="FF0000"/>
              </w:rPr>
              <w:t>5-1.投标人针对本项目拟配备的专职食品抽样检验人员上岗证书，按以下2种情形分别得分：（1）投标人针对本项目拟配备的专职抽样人员（专职抽样人员不得同时是食品检测人员）上岗证书≥20本得1分；其余不得分。（2）投标人针对本项目拟配备的具备专职从事食品检验检测人员上岗证书（不含管理人员、抽样人员）总数≥30本的得2分，其余不得分。注：需提供以上人员上岗证书汇总表并注明人员类别（上岗证书需附上专业履历表和相关培训证明）、所有人员投标截止时间前两个月内任意一个月（不含投标截止时间的当月）投标人为其缴纳的社会保险（非商业）凭据复印件（含扫描件）。未按要求提供以上材料，此项不得分。以上2种累计满分3分。</w:t>
            </w:r>
          </w:p>
        </w:tc>
      </w:tr>
      <w:tr w14:paraId="618517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00" w:type="dxa"/>
          </w:tcPr>
          <w:p w14:paraId="26655043">
            <w:pPr>
              <w:pStyle w:val="6"/>
              <w:jc w:val="both"/>
              <w:rPr>
                <w:color w:val="FF0000"/>
              </w:rPr>
            </w:pPr>
            <w:r>
              <w:rPr>
                <w:color w:val="FF0000"/>
              </w:rPr>
              <w:t>5.项目人员配备</w:t>
            </w:r>
          </w:p>
        </w:tc>
        <w:tc>
          <w:tcPr>
            <w:tcW w:w="1265" w:type="dxa"/>
          </w:tcPr>
          <w:p w14:paraId="1C505199">
            <w:pPr>
              <w:pStyle w:val="6"/>
              <w:jc w:val="right"/>
              <w:rPr>
                <w:color w:val="FF0000"/>
              </w:rPr>
            </w:pPr>
            <w:r>
              <w:rPr>
                <w:color w:val="FF0000"/>
              </w:rPr>
              <w:t>3.0000</w:t>
            </w:r>
          </w:p>
        </w:tc>
        <w:tc>
          <w:tcPr>
            <w:tcW w:w="6160" w:type="dxa"/>
          </w:tcPr>
          <w:p w14:paraId="0C36F694">
            <w:pPr>
              <w:pStyle w:val="6"/>
              <w:jc w:val="both"/>
              <w:rPr>
                <w:color w:val="FF0000"/>
              </w:rPr>
            </w:pPr>
            <w:r>
              <w:rPr>
                <w:color w:val="FF0000"/>
              </w:rPr>
              <w:t>5-2.投标人针对本项目拟配备的人员技术职称，按以下3种情形分别得分：（1）投标人针对本项目拟配备的食品检验检测技术负责人或质量负责人具有高级技术职称，且从事本专业检验工作满3年的得0.5分。（2）投标人针对本项目拟配备的食品检验检测授权签字人具有高级技术职称，且从事本专业检验工作满3年的得0.5分。（3）投标人针对本项目拟配备的食品检验检测人员（除本项目拟配备的食品检验检测技术负责人,质量负责人和授权签字人外）具有中级以上（含中级）技术职称的人员上岗证书数不少于食品检测人员总上岗证书数量的30%的得2分。 注：需提供以上人员职称证书复印件（含扫描件）及工作经历证明材料，上岗证书汇总表并注明人员类别（上岗证书需附上专业履历表和相关培训证明）、职称证书复印件（含扫描件）、所有人员投标截止时间前两个月内任意一个月（不含投标截止时间的当月）投标人为其缴纳的社会保险（非商业）凭据复印件（含扫描件）。未按要求提供以上材料，此项不得分。以上3种累计满分3分。</w:t>
            </w:r>
          </w:p>
        </w:tc>
      </w:tr>
      <w:tr w14:paraId="68D309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00" w:type="dxa"/>
          </w:tcPr>
          <w:p w14:paraId="5D4F22F0">
            <w:pPr>
              <w:pStyle w:val="6"/>
              <w:jc w:val="both"/>
              <w:rPr>
                <w:color w:val="FF0000"/>
              </w:rPr>
            </w:pPr>
            <w:r>
              <w:rPr>
                <w:color w:val="FF0000"/>
              </w:rPr>
              <w:t>5.项目人员配备</w:t>
            </w:r>
          </w:p>
        </w:tc>
        <w:tc>
          <w:tcPr>
            <w:tcW w:w="1265" w:type="dxa"/>
          </w:tcPr>
          <w:p w14:paraId="6A45BBBF">
            <w:pPr>
              <w:pStyle w:val="6"/>
              <w:jc w:val="right"/>
              <w:rPr>
                <w:color w:val="FF0000"/>
              </w:rPr>
            </w:pPr>
            <w:r>
              <w:rPr>
                <w:color w:val="FF0000"/>
              </w:rPr>
              <w:t>2.0000</w:t>
            </w:r>
          </w:p>
        </w:tc>
        <w:tc>
          <w:tcPr>
            <w:tcW w:w="6160" w:type="dxa"/>
          </w:tcPr>
          <w:p w14:paraId="2FE37969">
            <w:pPr>
              <w:pStyle w:val="6"/>
              <w:jc w:val="both"/>
              <w:rPr>
                <w:color w:val="FF0000"/>
              </w:rPr>
            </w:pPr>
            <w:r>
              <w:rPr>
                <w:color w:val="FF0000"/>
              </w:rPr>
              <w:t>5-3.投标人针对本项目拟配备的人员是食品安全相关专家库成员，按以下情形得分：投标人有纳入省级及以上行政管理部门（单位）的食品安全相关的专家库成员的得2分。 注：需提供上述有效证明材料复印件（含扫描件）及人员投标截止时间前两个月内任意一个月（不含投标截止时间的当月）投标人为其缴纳的社会保险（非商业）凭据复印件（含扫描件），否则不得分。</w:t>
            </w:r>
          </w:p>
        </w:tc>
      </w:tr>
      <w:tr w14:paraId="1B768A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00" w:type="dxa"/>
          </w:tcPr>
          <w:p w14:paraId="47991DEE">
            <w:pPr>
              <w:pStyle w:val="6"/>
              <w:jc w:val="both"/>
              <w:rPr>
                <w:color w:val="FF0000"/>
              </w:rPr>
            </w:pPr>
            <w:r>
              <w:rPr>
                <w:color w:val="FF0000"/>
              </w:rPr>
              <w:t>5.项目人员配备</w:t>
            </w:r>
          </w:p>
        </w:tc>
        <w:tc>
          <w:tcPr>
            <w:tcW w:w="1265" w:type="dxa"/>
          </w:tcPr>
          <w:p w14:paraId="6514DE66">
            <w:pPr>
              <w:pStyle w:val="6"/>
              <w:jc w:val="right"/>
              <w:rPr>
                <w:color w:val="FF0000"/>
              </w:rPr>
            </w:pPr>
            <w:r>
              <w:rPr>
                <w:color w:val="FF0000"/>
              </w:rPr>
              <w:t>3.0000</w:t>
            </w:r>
          </w:p>
        </w:tc>
        <w:tc>
          <w:tcPr>
            <w:tcW w:w="6160" w:type="dxa"/>
          </w:tcPr>
          <w:p w14:paraId="5D3E7F36">
            <w:pPr>
              <w:pStyle w:val="6"/>
              <w:jc w:val="both"/>
              <w:rPr>
                <w:color w:val="FF0000"/>
              </w:rPr>
            </w:pPr>
            <w:r>
              <w:rPr>
                <w:color w:val="FF0000"/>
              </w:rPr>
              <w:t>5-4.投标人针对本项目拟配备的从事食品检验工作满2年及以上人员，按以下2种情形分别得分：（1）投标人拥有食品领域中级技术职称（含）以上的人员上岗证书数量达10本（含）以上的得1.5分；（2）投标人拥有食品领域高级技术职称（含）以上的人员上岗证书数量达5本（含）以上的得1.5分。注：需提供以上人员上岗证书汇总表（需注明人员类别）聘用证明文件及主要工作简历；从事食品检验工作满两年（含）及以上的中级以上（含中级）技术职称人员须提供职称复印件（含扫描件）；以及能体现食品领域的证明材料，如以上材料不能体现食品领域，则还需提供毕业证、学位证、科研成果等证明材料 。以上所有人员需提供投标截止时间前两个月内任意一个月（不含投标截止时间的当月）投标人为其缴纳的社会保险（非商业）凭据复印件（含扫描件）。未按要求提供以上材料，此项不得分。本项目可累计计分，满分3分。</w:t>
            </w:r>
          </w:p>
        </w:tc>
      </w:tr>
      <w:tr w14:paraId="031C4B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00" w:type="dxa"/>
          </w:tcPr>
          <w:p w14:paraId="19EAF495">
            <w:pPr>
              <w:pStyle w:val="6"/>
              <w:jc w:val="both"/>
              <w:rPr>
                <w:color w:val="FF0000"/>
              </w:rPr>
            </w:pPr>
            <w:r>
              <w:rPr>
                <w:color w:val="FF0000"/>
              </w:rPr>
              <w:t>6.实验场所</w:t>
            </w:r>
          </w:p>
        </w:tc>
        <w:tc>
          <w:tcPr>
            <w:tcW w:w="1265" w:type="dxa"/>
          </w:tcPr>
          <w:p w14:paraId="59ABC249">
            <w:pPr>
              <w:pStyle w:val="6"/>
              <w:jc w:val="right"/>
              <w:rPr>
                <w:color w:val="FF0000"/>
              </w:rPr>
            </w:pPr>
            <w:r>
              <w:rPr>
                <w:color w:val="FF0000"/>
              </w:rPr>
              <w:t>3.0000</w:t>
            </w:r>
          </w:p>
        </w:tc>
        <w:tc>
          <w:tcPr>
            <w:tcW w:w="6160" w:type="dxa"/>
          </w:tcPr>
          <w:p w14:paraId="3F5F9495">
            <w:pPr>
              <w:pStyle w:val="6"/>
              <w:jc w:val="both"/>
              <w:rPr>
                <w:color w:val="FF0000"/>
              </w:rPr>
            </w:pPr>
            <w:r>
              <w:rPr>
                <w:color w:val="FF0000"/>
              </w:rPr>
              <w:t>6-1.拟用于开展本项目食品安全抽检工作实验室面积，投标人实验用房（不含实验配套、管理、保障用房）建筑面积≥2500平方米得3分，其他不得分。注：需提供实验用房的房产证复印件（含扫描件）或所有权证明文件或者有效期从投标日起不低于两年的长期房屋租赁合同复印件（含扫描件）及平面图等相关证明材料。未按上述要求提供证明资料的不得分。</w:t>
            </w:r>
          </w:p>
        </w:tc>
      </w:tr>
      <w:tr w14:paraId="381D79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00" w:type="dxa"/>
          </w:tcPr>
          <w:p w14:paraId="4B5853CF">
            <w:pPr>
              <w:pStyle w:val="6"/>
              <w:jc w:val="both"/>
              <w:rPr>
                <w:color w:val="FF0000"/>
              </w:rPr>
            </w:pPr>
            <w:r>
              <w:rPr>
                <w:color w:val="FF0000"/>
              </w:rPr>
              <w:t>6.实验场所</w:t>
            </w:r>
          </w:p>
        </w:tc>
        <w:tc>
          <w:tcPr>
            <w:tcW w:w="1265" w:type="dxa"/>
          </w:tcPr>
          <w:p w14:paraId="377DB07E">
            <w:pPr>
              <w:pStyle w:val="6"/>
              <w:jc w:val="right"/>
              <w:rPr>
                <w:color w:val="FF0000"/>
              </w:rPr>
            </w:pPr>
            <w:r>
              <w:rPr>
                <w:color w:val="FF0000"/>
              </w:rPr>
              <w:t>3.0000</w:t>
            </w:r>
          </w:p>
        </w:tc>
        <w:tc>
          <w:tcPr>
            <w:tcW w:w="6160" w:type="dxa"/>
          </w:tcPr>
          <w:p w14:paraId="25B6CBC4">
            <w:pPr>
              <w:pStyle w:val="6"/>
              <w:jc w:val="both"/>
              <w:rPr>
                <w:color w:val="FF0000"/>
              </w:rPr>
            </w:pPr>
            <w:r>
              <w:rPr>
                <w:color w:val="FF0000"/>
              </w:rPr>
              <w:t>6-2.拟用于开展本项目食品安全抽检工作样品储存间面积≥200平方米的得3分，其他不得分。注：①自有产权储存间地址应与投标人资质认定证书的地址相符；租赁储存间地址应与投标人资质认定证书的地址在同个县级行政区域；②提供产权证（租赁合同）、具有能证明上述面积量的平面图复印件（含扫描件）、储存间照片等有效证明材料。未按上述要求提供证明资料的不得分。</w:t>
            </w:r>
          </w:p>
        </w:tc>
      </w:tr>
      <w:tr w14:paraId="4B1599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00" w:type="dxa"/>
          </w:tcPr>
          <w:p w14:paraId="02A35AE1">
            <w:pPr>
              <w:pStyle w:val="6"/>
              <w:jc w:val="both"/>
              <w:rPr>
                <w:color w:val="FF0000"/>
              </w:rPr>
            </w:pPr>
            <w:r>
              <w:rPr>
                <w:color w:val="FF0000"/>
              </w:rPr>
              <w:t>6.实验场所</w:t>
            </w:r>
          </w:p>
        </w:tc>
        <w:tc>
          <w:tcPr>
            <w:tcW w:w="1265" w:type="dxa"/>
          </w:tcPr>
          <w:p w14:paraId="39BD05D1">
            <w:pPr>
              <w:pStyle w:val="6"/>
              <w:jc w:val="right"/>
              <w:rPr>
                <w:color w:val="FF0000"/>
              </w:rPr>
            </w:pPr>
            <w:r>
              <w:rPr>
                <w:color w:val="FF0000"/>
              </w:rPr>
              <w:t>3.0000</w:t>
            </w:r>
          </w:p>
        </w:tc>
        <w:tc>
          <w:tcPr>
            <w:tcW w:w="6160" w:type="dxa"/>
          </w:tcPr>
          <w:p w14:paraId="0DDD6A7F">
            <w:pPr>
              <w:pStyle w:val="6"/>
              <w:jc w:val="both"/>
              <w:rPr>
                <w:color w:val="FF0000"/>
              </w:rPr>
            </w:pPr>
            <w:r>
              <w:rPr>
                <w:color w:val="FF0000"/>
              </w:rPr>
              <w:t>6-3拟用于开展本项目食品安全抽检工作，存放样品储存间必须具备冷冻（冷藏）能力，冷冻（冷藏）容积≥125立方米的得3分，其他不得分。注：①自有产权冷冻（冷藏）库地址应在所投采购包抽样区域内并与所提供资质认定证书的地址相符；租赁冷冻（冷藏）库地址应在所投采购包抽样区域内并与投标人资质认定证书的地址在同个县级行政区域；②提供冰箱/冰柜的购置发票复印件（含扫描件）、容积证明材料复印件（含扫描件）及照片；③提供冷库产权证（若冷库是租赁，应提供租赁冷库CMA资质认定证明和租赁合同,其中合同期覆盖本项目服务期限不少于2年，且合同内面积、容积与被租赁方产权证证上一致）、具有能证明上述容积量的冷库平面图复印件（含扫描件）、冷库照片等有效证明材料。未按上述要求提供证明资料的不得分。</w:t>
            </w:r>
          </w:p>
        </w:tc>
      </w:tr>
      <w:tr w14:paraId="0616E8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00" w:type="dxa"/>
          </w:tcPr>
          <w:p w14:paraId="358EBB5B">
            <w:pPr>
              <w:pStyle w:val="6"/>
              <w:jc w:val="both"/>
              <w:rPr>
                <w:color w:val="FF0000"/>
              </w:rPr>
            </w:pPr>
            <w:r>
              <w:rPr>
                <w:color w:val="FF0000"/>
              </w:rPr>
              <w:t>7.实验室仪器设备情况</w:t>
            </w:r>
          </w:p>
        </w:tc>
        <w:tc>
          <w:tcPr>
            <w:tcW w:w="1265" w:type="dxa"/>
          </w:tcPr>
          <w:p w14:paraId="7A36F148">
            <w:pPr>
              <w:pStyle w:val="6"/>
              <w:jc w:val="right"/>
              <w:rPr>
                <w:color w:val="FF0000"/>
              </w:rPr>
            </w:pPr>
            <w:r>
              <w:rPr>
                <w:color w:val="FF0000"/>
              </w:rPr>
              <w:t>3.0000</w:t>
            </w:r>
          </w:p>
        </w:tc>
        <w:tc>
          <w:tcPr>
            <w:tcW w:w="6160" w:type="dxa"/>
          </w:tcPr>
          <w:p w14:paraId="6A340EC5">
            <w:pPr>
              <w:pStyle w:val="6"/>
              <w:jc w:val="both"/>
              <w:rPr>
                <w:color w:val="FF0000"/>
              </w:rPr>
            </w:pPr>
            <w:r>
              <w:rPr>
                <w:color w:val="FF0000"/>
              </w:rPr>
              <w:t>7-1.投标人针对本项目拟配备的仪器设备，按以下2种情形分别得分： （1）自有设备：投标人拥有（只用于食品检验）液相色谱仪≥4台的得1分；投标人拥有（只用于食品检验）气相色谱仪≥4台的得1分；投标人拥有（只用于食品检验）气相色谱-质谱联用仪≥3台的得1分，其他不得分。 （2）长期租赁设备：投标人拥有（只用于食品检验）液相色谱仪≥4台的得0.2分；投标人拥有（只用于食品检验）气相色谱仪≥台的得0.2分；投标人拥有（只用于食品检验）气相色谱-质谱联用仪≥3台的得0.2分，其他不得分。 注：（1）自有设备：投标人需提供①相应仪器设备购置发票或其他证明资料的复印件（含扫描件）；②针对本项目拟配备的仪器设备只用于食品检验的承诺函；③设备照片及有效的检定或校准证书复印件（含扫描件）及符合性评价，未按上述要求提供证明资料的不得分。（2）租赁设备：投标人需提供①有效的设备租赁合同，租赁期限至少覆盖本项目合同服务期限；②针对本项目拟配备的仪器设备只用于食品检验的承诺函；③设备照片及有效的检定或校准证书复印件（含扫描件）及符合性评价。未按上述要求提供证明资料的不得分。（3）只要有租赁设备，均按第（2）中情形得分。</w:t>
            </w:r>
          </w:p>
        </w:tc>
      </w:tr>
      <w:tr w14:paraId="6B101F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00" w:type="dxa"/>
          </w:tcPr>
          <w:p w14:paraId="03428F2C">
            <w:pPr>
              <w:pStyle w:val="6"/>
              <w:jc w:val="both"/>
              <w:rPr>
                <w:color w:val="FF0000"/>
              </w:rPr>
            </w:pPr>
            <w:r>
              <w:rPr>
                <w:color w:val="FF0000"/>
              </w:rPr>
              <w:t>7.实验室仪器设备情况</w:t>
            </w:r>
          </w:p>
        </w:tc>
        <w:tc>
          <w:tcPr>
            <w:tcW w:w="1265" w:type="dxa"/>
          </w:tcPr>
          <w:p w14:paraId="501DC029">
            <w:pPr>
              <w:pStyle w:val="6"/>
              <w:jc w:val="right"/>
              <w:rPr>
                <w:color w:val="FF0000"/>
              </w:rPr>
            </w:pPr>
            <w:r>
              <w:rPr>
                <w:color w:val="FF0000"/>
              </w:rPr>
              <w:t>2.0000</w:t>
            </w:r>
          </w:p>
        </w:tc>
        <w:tc>
          <w:tcPr>
            <w:tcW w:w="6160" w:type="dxa"/>
          </w:tcPr>
          <w:p w14:paraId="657029D3">
            <w:pPr>
              <w:pStyle w:val="6"/>
              <w:jc w:val="both"/>
              <w:rPr>
                <w:color w:val="FF0000"/>
              </w:rPr>
            </w:pPr>
            <w:r>
              <w:rPr>
                <w:color w:val="FF0000"/>
              </w:rPr>
              <w:t>7-2.投标人针对本项目拟配备的仪器设备，按以下2种情形分别得分： （1）自有设备：投标人针对本项目拟配备（只用于食品检验）有原子吸收仪、原子荧光仪、电感耦合等离子体质谱仪、液相与原子荧光仪联机或离子色谱仪这4类仪器设备的得2分，每少一类的扣0.5分。（2）长期租赁设备：投标人针对本项目拟配备（只用于食品检验）有原子吸收仪、原子荧光仪、电感耦合等离子体质谱仪、液相与原子荧光仪联机或离子色谱仪这4类仪器设备的得0.4分，每少一类的扣0.1分。 注：（1）自有设备：投标人需提供①相应仪器设备购置发票或其他证明资料的复印件（含扫描件）；②针对本项目拟配备的仪器设备只用于食品检验的承诺函；③设备照片及有效的检定或校准证书复印件（含扫描件）及符合性评价，未按上述要求提供证明资料的不得分。（2）租赁设备：投标人需提供①有效的设备租赁合同，租赁期限至少覆盖本项目合同服务期限；②针对本项目拟配备的仪器设备只用于食品检验的承诺函；③设备照片及有效的检定或校准证书复印件（含扫描件）及符合性评价。未按上述要求提供证明资料的不得分。（3）只要有租赁设备，均按第（2）中情形得分。</w:t>
            </w:r>
          </w:p>
        </w:tc>
      </w:tr>
      <w:tr w14:paraId="07444C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00" w:type="dxa"/>
          </w:tcPr>
          <w:p w14:paraId="62468915">
            <w:pPr>
              <w:pStyle w:val="6"/>
              <w:jc w:val="both"/>
              <w:rPr>
                <w:color w:val="FF0000"/>
              </w:rPr>
            </w:pPr>
            <w:r>
              <w:rPr>
                <w:color w:val="FF0000"/>
              </w:rPr>
              <w:t>7.实验室仪器设备情况</w:t>
            </w:r>
          </w:p>
        </w:tc>
        <w:tc>
          <w:tcPr>
            <w:tcW w:w="1265" w:type="dxa"/>
          </w:tcPr>
          <w:p w14:paraId="0C80BEAB">
            <w:pPr>
              <w:pStyle w:val="6"/>
              <w:jc w:val="right"/>
              <w:rPr>
                <w:color w:val="FF0000"/>
              </w:rPr>
            </w:pPr>
            <w:r>
              <w:rPr>
                <w:color w:val="FF0000"/>
              </w:rPr>
              <w:t>3.0000</w:t>
            </w:r>
          </w:p>
        </w:tc>
        <w:tc>
          <w:tcPr>
            <w:tcW w:w="6160" w:type="dxa"/>
          </w:tcPr>
          <w:p w14:paraId="206DD1DA">
            <w:pPr>
              <w:pStyle w:val="6"/>
              <w:jc w:val="both"/>
              <w:rPr>
                <w:color w:val="FF0000"/>
              </w:rPr>
            </w:pPr>
            <w:r>
              <w:rPr>
                <w:color w:val="FF0000"/>
              </w:rPr>
              <w:t>7-3.投标人针对本项目拟配备的仪器设备，按以下2种情形分别得分： （1）自有设备：投标人针对本项目拟配备（只用于食品检验）的液相色谱-质谱联用仪4台得3分，其他不得分。 （2）长期租赁设备：投标人针对本项目拟配备（只用于食品检验）的液相色谱-质谱联用仪4台得0.2分，其他不得分。 注：（1）自有设备：投标人需提供①相应仪器设备购置发票或其他证明资料的复印件（含扫描件）；②针对本项目拟配备的仪器设备只用于食品检验的承诺函；③设备照片及有效的检定或校准证书复印件（含扫描件）及符合性评价，未按上述要求提供证明资料的不得分。（2）租赁设备：投标人需提供①有效的设备租赁合同，租赁期限至少覆盖本项目合同服务期限；②针对本项目拟配备的仪器设备只用于食品检验的承诺函；③设备照片及有效的检定或校准证书复印件（含扫描件及符合性评价。未按上述要求提供证明资料的不得分。（3）只要有租赁设备，均按第（2）中情形得分。</w:t>
            </w:r>
          </w:p>
        </w:tc>
      </w:tr>
      <w:tr w14:paraId="2190E7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00" w:type="dxa"/>
          </w:tcPr>
          <w:p w14:paraId="76BF3CD5">
            <w:pPr>
              <w:pStyle w:val="6"/>
              <w:jc w:val="both"/>
              <w:rPr>
                <w:color w:val="FF0000"/>
              </w:rPr>
            </w:pPr>
            <w:r>
              <w:rPr>
                <w:color w:val="FF0000"/>
              </w:rPr>
              <w:t>8、采样车辆及采样设备情况</w:t>
            </w:r>
          </w:p>
        </w:tc>
        <w:tc>
          <w:tcPr>
            <w:tcW w:w="1265" w:type="dxa"/>
          </w:tcPr>
          <w:p w14:paraId="50988395">
            <w:pPr>
              <w:pStyle w:val="6"/>
              <w:jc w:val="right"/>
              <w:rPr>
                <w:color w:val="FF0000"/>
              </w:rPr>
            </w:pPr>
            <w:r>
              <w:rPr>
                <w:color w:val="FF0000"/>
              </w:rPr>
              <w:t>3.0000</w:t>
            </w:r>
          </w:p>
        </w:tc>
        <w:tc>
          <w:tcPr>
            <w:tcW w:w="6160" w:type="dxa"/>
          </w:tcPr>
          <w:p w14:paraId="7399C5EF">
            <w:pPr>
              <w:pStyle w:val="6"/>
              <w:jc w:val="both"/>
              <w:rPr>
                <w:color w:val="FF0000"/>
              </w:rPr>
            </w:pPr>
            <w:r>
              <w:rPr>
                <w:color w:val="FF0000"/>
              </w:rPr>
              <w:t>投标人针对本项目拟配备具备5辆及以上采样车辆，其中至少3辆采样车辆需具备冷藏（冷冻）能力，冷藏（冷冻）车载冷藏（冷冻）设备(数量不限)容积量之和≥300L的得3分，其他不得分。 注：（1）自有设备：投标人需提供①有效行驶证复印件（含扫描件）（行驶证上的单位名称应与投标人的名称一致）；②提供冷藏冷冻设备购置及自有产权的证明资料，照片及车厢内部的图片（相关图片及资料应能证明该车辆及设备是投标人自有产权）；未按上述要求提供证明资料的不得分。（2）租赁设备：投标人需提供①有效的车辆租赁合同，租赁期限不得少于本项目服务期限；②提供冷藏冷冻设备的照片及车厢内部的图片。未按上述要求提供证明资料的不得分。</w:t>
            </w:r>
          </w:p>
        </w:tc>
      </w:tr>
      <w:tr w14:paraId="34A79B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00" w:type="dxa"/>
          </w:tcPr>
          <w:p w14:paraId="00E81721">
            <w:pPr>
              <w:pStyle w:val="6"/>
              <w:jc w:val="both"/>
              <w:rPr>
                <w:color w:val="FF0000"/>
              </w:rPr>
            </w:pPr>
            <w:r>
              <w:rPr>
                <w:color w:val="FF0000"/>
              </w:rPr>
              <w:t>9、实验室科研能力情况</w:t>
            </w:r>
          </w:p>
        </w:tc>
        <w:tc>
          <w:tcPr>
            <w:tcW w:w="1265" w:type="dxa"/>
          </w:tcPr>
          <w:p w14:paraId="5ECC5A32">
            <w:pPr>
              <w:pStyle w:val="6"/>
              <w:jc w:val="right"/>
              <w:rPr>
                <w:color w:val="FF0000"/>
              </w:rPr>
            </w:pPr>
            <w:r>
              <w:rPr>
                <w:color w:val="FF0000"/>
              </w:rPr>
              <w:t>3.0000</w:t>
            </w:r>
          </w:p>
        </w:tc>
        <w:tc>
          <w:tcPr>
            <w:tcW w:w="6160" w:type="dxa"/>
          </w:tcPr>
          <w:p w14:paraId="312D3FC4">
            <w:pPr>
              <w:pStyle w:val="6"/>
              <w:jc w:val="both"/>
              <w:rPr>
                <w:color w:val="FF0000"/>
              </w:rPr>
            </w:pPr>
            <w:r>
              <w:rPr>
                <w:color w:val="FF0000"/>
              </w:rPr>
              <w:t>投标人2021年1月1日至2023年12月31日，主持或参与制定食品国际或国家标准或食品科研类获国家级奖项或在SCI（美国科学引文索引）、EI（美国工程索引）源期刊论文上以第一单位或第一作者或通讯作者发表论文的、承担过省级食品安全相关研究项目或课题的，按下列4种情形得分（4种情形可独立累加得分，满分3分为止）：（1）主持或参与制定食品国际或国家标准，或相关标准技术委员会出具的参与起草的证明材料，每一份标准得1分；（2）食品科研类获省级及以上奖项，每一个奖项得1分；（3）在SCI（美国科学引文索引）、EI（美国工程索引）源期刊论文上，每发表一篇论文得1分；（4）独立承担过省级以上（含省级）行政管理部门（单位）食品安全相关研究项目或课题的，每一项得0.5分。 注：需提供制修订食品安全标准的正式文本复印件（含扫描件）；需提供食品科研类获奖凭证材料；需提供检索结果报告及论文正文文本复印件（含扫描件）；有研究课题的须提供相关部门的研究立项书或委托书，以及投标人研究课题结题报告、相关部门研究课题验收证明等材料复印件（含扫描件）；个人的还需提供人员投标截止时间前两个月内任意一个月（不含投标截止时间的当月）投标人为其缴纳的社会保险（非商业）凭据复印件。未按要求提供以上材料，该项不得分。</w:t>
            </w:r>
          </w:p>
        </w:tc>
      </w:tr>
      <w:tr w14:paraId="3F1EF6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00" w:type="dxa"/>
          </w:tcPr>
          <w:p w14:paraId="03A71C18">
            <w:pPr>
              <w:pStyle w:val="6"/>
              <w:jc w:val="both"/>
              <w:rPr>
                <w:color w:val="FF0000"/>
              </w:rPr>
            </w:pPr>
            <w:r>
              <w:rPr>
                <w:color w:val="FF0000"/>
              </w:rPr>
              <w:t>10、实验室检验检测能力情况</w:t>
            </w:r>
          </w:p>
        </w:tc>
        <w:tc>
          <w:tcPr>
            <w:tcW w:w="1265" w:type="dxa"/>
          </w:tcPr>
          <w:p w14:paraId="137B72D0">
            <w:pPr>
              <w:pStyle w:val="6"/>
              <w:jc w:val="right"/>
              <w:rPr>
                <w:color w:val="FF0000"/>
              </w:rPr>
            </w:pPr>
            <w:r>
              <w:rPr>
                <w:color w:val="FF0000"/>
              </w:rPr>
              <w:t>3.0000</w:t>
            </w:r>
          </w:p>
        </w:tc>
        <w:tc>
          <w:tcPr>
            <w:tcW w:w="6160" w:type="dxa"/>
          </w:tcPr>
          <w:p w14:paraId="1DF9BD16">
            <w:pPr>
              <w:pStyle w:val="6"/>
              <w:jc w:val="both"/>
              <w:rPr>
                <w:color w:val="FF0000"/>
              </w:rPr>
            </w:pPr>
            <w:r>
              <w:rPr>
                <w:color w:val="FF0000"/>
              </w:rPr>
              <w:t>10-1.投标人2021年1月1日至2023年12月31日参加过国家认监委、国家食品安全监管部门以及国家认可的有资质的机构组织的食品相关项目能力验证，项目应涵盖重金属、微生物/真菌毒素、农兽药残留、食品添加剂限量、非法添加物限量、品质/营养成分等6个领域且验证结果均为“满意”的得3分，每缺一个领域满意结果的扣0.5分，扣完为止。注：须提供国家认监委、国家食品安全监管部门以及国家认可的有资质的机构出具的证明材料复印件（含扫描件），否则不得分。</w:t>
            </w:r>
          </w:p>
        </w:tc>
      </w:tr>
      <w:tr w14:paraId="06331B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00" w:type="dxa"/>
          </w:tcPr>
          <w:p w14:paraId="40CDADEB">
            <w:pPr>
              <w:pStyle w:val="6"/>
              <w:jc w:val="both"/>
              <w:rPr>
                <w:color w:val="FF0000"/>
              </w:rPr>
            </w:pPr>
            <w:r>
              <w:rPr>
                <w:color w:val="FF0000"/>
              </w:rPr>
              <w:t>10、实验室检验检测能力情况</w:t>
            </w:r>
          </w:p>
        </w:tc>
        <w:tc>
          <w:tcPr>
            <w:tcW w:w="1265" w:type="dxa"/>
          </w:tcPr>
          <w:p w14:paraId="3CD2E12C">
            <w:pPr>
              <w:pStyle w:val="6"/>
              <w:jc w:val="right"/>
              <w:rPr>
                <w:color w:val="FF0000"/>
              </w:rPr>
            </w:pPr>
            <w:r>
              <w:rPr>
                <w:color w:val="FF0000"/>
              </w:rPr>
              <w:t>3.0000</w:t>
            </w:r>
          </w:p>
        </w:tc>
        <w:tc>
          <w:tcPr>
            <w:tcW w:w="6160" w:type="dxa"/>
          </w:tcPr>
          <w:p w14:paraId="405BB807">
            <w:pPr>
              <w:pStyle w:val="6"/>
              <w:jc w:val="both"/>
              <w:rPr>
                <w:color w:val="FF0000"/>
              </w:rPr>
            </w:pPr>
            <w:r>
              <w:rPr>
                <w:color w:val="FF0000"/>
              </w:rPr>
              <w:t>10-2.投标人2021年1月1日至2023年12月31日参加过国家认监委、国家食品安全监管部门以及国家认可的有资质的机构组织的食品相关项目能力验证，项目涵盖重金属、微生物/真菌毒素、农兽药残留、食品添加剂限量、非法添加物限量、品质/营养成分6个领域获得满意结果总数：总数≥18次的得3分；18次＞总数≥12次的得2分；12次＞次数≥6次的得1分，其他不得分。注：须提供国家认监委、国家食品安全监管部门以及国家认可的有资质的机构出具的证明材料复印件（含扫描件），否则不得分。</w:t>
            </w:r>
          </w:p>
        </w:tc>
      </w:tr>
      <w:tr w14:paraId="6C3DCB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00" w:type="dxa"/>
          </w:tcPr>
          <w:p w14:paraId="79721C58">
            <w:pPr>
              <w:pStyle w:val="6"/>
              <w:jc w:val="both"/>
              <w:rPr>
                <w:color w:val="FF0000"/>
              </w:rPr>
            </w:pPr>
            <w:r>
              <w:rPr>
                <w:color w:val="FF0000"/>
              </w:rPr>
              <w:t>10、实验室检验检测能力情况</w:t>
            </w:r>
          </w:p>
        </w:tc>
        <w:tc>
          <w:tcPr>
            <w:tcW w:w="1265" w:type="dxa"/>
          </w:tcPr>
          <w:p w14:paraId="66DABA2E">
            <w:pPr>
              <w:pStyle w:val="6"/>
              <w:jc w:val="right"/>
              <w:rPr>
                <w:color w:val="FF0000"/>
              </w:rPr>
            </w:pPr>
            <w:r>
              <w:rPr>
                <w:color w:val="FF0000"/>
              </w:rPr>
              <w:t>3.0000</w:t>
            </w:r>
          </w:p>
        </w:tc>
        <w:tc>
          <w:tcPr>
            <w:tcW w:w="6160" w:type="dxa"/>
          </w:tcPr>
          <w:p w14:paraId="2E68CB27">
            <w:pPr>
              <w:pStyle w:val="6"/>
              <w:jc w:val="both"/>
              <w:rPr>
                <w:color w:val="FF0000"/>
              </w:rPr>
            </w:pPr>
            <w:r>
              <w:rPr>
                <w:color w:val="FF0000"/>
              </w:rPr>
              <w:t>10-3.投标人获得CNAS 证书，并且在有效期内，包含有食品检测中重金属、微生物/真菌毒素、农兽药残留、食品添加剂限量、非法添加物限量、品质/营养成分全部6领域项目的得3分；具备其中3至5个领域项目的得2分；具备1至2个领域项目的得1分。 注:投标人需提供CNAS证书复印件(含扫描件)，及上述食品检测领域的证书附表页面，否则不得分。</w:t>
            </w:r>
          </w:p>
        </w:tc>
      </w:tr>
      <w:tr w14:paraId="128B34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00" w:type="dxa"/>
          </w:tcPr>
          <w:p w14:paraId="64D398FA">
            <w:pPr>
              <w:pStyle w:val="6"/>
              <w:jc w:val="both"/>
              <w:rPr>
                <w:color w:val="FF0000"/>
              </w:rPr>
            </w:pPr>
            <w:r>
              <w:rPr>
                <w:color w:val="FF0000"/>
              </w:rPr>
              <w:t>11、内审及管理评审情况</w:t>
            </w:r>
          </w:p>
        </w:tc>
        <w:tc>
          <w:tcPr>
            <w:tcW w:w="1265" w:type="dxa"/>
          </w:tcPr>
          <w:p w14:paraId="4BE453DE">
            <w:pPr>
              <w:pStyle w:val="6"/>
              <w:jc w:val="right"/>
              <w:rPr>
                <w:color w:val="FF0000"/>
              </w:rPr>
            </w:pPr>
            <w:r>
              <w:rPr>
                <w:color w:val="FF0000"/>
              </w:rPr>
              <w:t>1.0000</w:t>
            </w:r>
          </w:p>
        </w:tc>
        <w:tc>
          <w:tcPr>
            <w:tcW w:w="6160" w:type="dxa"/>
          </w:tcPr>
          <w:p w14:paraId="52F59B7B">
            <w:pPr>
              <w:pStyle w:val="6"/>
              <w:jc w:val="both"/>
              <w:rPr>
                <w:color w:val="FF0000"/>
              </w:rPr>
            </w:pPr>
            <w:r>
              <w:rPr>
                <w:color w:val="FF0000"/>
              </w:rPr>
              <w:t>11-1.2023年度完成内审，年度内审项目覆盖所有的管理要素，并形成内审报告，得0.5分；年度内审项目全部合格或者内审中的不合格项均已得到整改并有验证记录，评委认为有效，得0.5分。注：须提供年度内审符合条款要求的承诺书。年度内审项目全部合格的须提供相关证明材料，未提供的不得分。本项目可累计计分，满分1分。</w:t>
            </w:r>
          </w:p>
        </w:tc>
      </w:tr>
      <w:tr w14:paraId="049A42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00" w:type="dxa"/>
          </w:tcPr>
          <w:p w14:paraId="68B1C48E">
            <w:pPr>
              <w:pStyle w:val="6"/>
              <w:jc w:val="both"/>
              <w:rPr>
                <w:color w:val="FF0000"/>
              </w:rPr>
            </w:pPr>
            <w:r>
              <w:rPr>
                <w:color w:val="FF0000"/>
              </w:rPr>
              <w:t>11、内审及管理评审情况</w:t>
            </w:r>
          </w:p>
        </w:tc>
        <w:tc>
          <w:tcPr>
            <w:tcW w:w="1265" w:type="dxa"/>
          </w:tcPr>
          <w:p w14:paraId="23F2D143">
            <w:pPr>
              <w:pStyle w:val="6"/>
              <w:jc w:val="right"/>
              <w:rPr>
                <w:color w:val="FF0000"/>
              </w:rPr>
            </w:pPr>
            <w:r>
              <w:rPr>
                <w:color w:val="FF0000"/>
              </w:rPr>
              <w:t>1.0000</w:t>
            </w:r>
          </w:p>
        </w:tc>
        <w:tc>
          <w:tcPr>
            <w:tcW w:w="6160" w:type="dxa"/>
          </w:tcPr>
          <w:p w14:paraId="570AD37E">
            <w:pPr>
              <w:pStyle w:val="6"/>
              <w:jc w:val="both"/>
              <w:rPr>
                <w:color w:val="FF0000"/>
              </w:rPr>
            </w:pPr>
            <w:r>
              <w:rPr>
                <w:color w:val="FF0000"/>
              </w:rPr>
              <w:t>11-2.2023年度完成管理评审，管理评审由检验机构主持，管理评审符合准则及体系文件要求，有完整的管理评审输入和管理评审报告，得0.5分；其中2022年度决议得到落实，得0.5分。注：须提供年度管理评审符合条款要求的承诺书。本项目可累计计分，满分1分。</w:t>
            </w:r>
          </w:p>
        </w:tc>
      </w:tr>
    </w:tbl>
    <w:p w14:paraId="252F0DF9">
      <w:pPr>
        <w:pStyle w:val="6"/>
        <w:jc w:val="both"/>
        <w:rPr>
          <w:color w:val="FF0000"/>
        </w:rPr>
      </w:pPr>
      <w:r>
        <w:rPr>
          <w:color w:val="FF0000"/>
        </w:rPr>
        <w:t>商务项（F3×A3）满分为10.0000分</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89"/>
        <w:gridCol w:w="1296"/>
        <w:gridCol w:w="6137"/>
      </w:tblGrid>
      <w:tr w14:paraId="6964C6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0" w:type="dxa"/>
          </w:tcPr>
          <w:p w14:paraId="7D671C0A">
            <w:pPr>
              <w:pStyle w:val="6"/>
              <w:jc w:val="both"/>
              <w:rPr>
                <w:color w:val="FF0000"/>
              </w:rPr>
            </w:pPr>
            <w:r>
              <w:rPr>
                <w:color w:val="FF0000"/>
              </w:rPr>
              <w:t xml:space="preserve"> 项目</w:t>
            </w:r>
          </w:p>
        </w:tc>
        <w:tc>
          <w:tcPr>
            <w:tcW w:w="1296" w:type="dxa"/>
          </w:tcPr>
          <w:p w14:paraId="3F94123A">
            <w:pPr>
              <w:pStyle w:val="6"/>
              <w:jc w:val="both"/>
              <w:rPr>
                <w:color w:val="FF0000"/>
              </w:rPr>
            </w:pPr>
            <w:r>
              <w:rPr>
                <w:color w:val="FF0000"/>
              </w:rPr>
              <w:t xml:space="preserve"> 分值</w:t>
            </w:r>
          </w:p>
        </w:tc>
        <w:tc>
          <w:tcPr>
            <w:tcW w:w="6139" w:type="dxa"/>
          </w:tcPr>
          <w:p w14:paraId="19B11F2D">
            <w:pPr>
              <w:pStyle w:val="6"/>
              <w:jc w:val="both"/>
              <w:rPr>
                <w:color w:val="FF0000"/>
              </w:rPr>
            </w:pPr>
            <w:r>
              <w:rPr>
                <w:color w:val="FF0000"/>
              </w:rPr>
              <w:t xml:space="preserve"> 描述</w:t>
            </w:r>
          </w:p>
        </w:tc>
      </w:tr>
      <w:tr w14:paraId="150B13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0" w:type="dxa"/>
          </w:tcPr>
          <w:p w14:paraId="1B69B855">
            <w:pPr>
              <w:pStyle w:val="6"/>
              <w:jc w:val="both"/>
              <w:rPr>
                <w:color w:val="FF0000"/>
              </w:rPr>
            </w:pPr>
            <w:r>
              <w:rPr>
                <w:color w:val="FF0000"/>
              </w:rPr>
              <w:t>1.承担食品抽样检验工作任务及类似项目情况</w:t>
            </w:r>
          </w:p>
        </w:tc>
        <w:tc>
          <w:tcPr>
            <w:tcW w:w="1296" w:type="dxa"/>
          </w:tcPr>
          <w:p w14:paraId="5D3109AD">
            <w:pPr>
              <w:pStyle w:val="6"/>
              <w:jc w:val="right"/>
              <w:rPr>
                <w:color w:val="FF0000"/>
              </w:rPr>
            </w:pPr>
            <w:r>
              <w:rPr>
                <w:color w:val="FF0000"/>
              </w:rPr>
              <w:t>3.0000</w:t>
            </w:r>
          </w:p>
        </w:tc>
        <w:tc>
          <w:tcPr>
            <w:tcW w:w="6139" w:type="dxa"/>
          </w:tcPr>
          <w:p w14:paraId="59824026">
            <w:pPr>
              <w:pStyle w:val="6"/>
              <w:jc w:val="both"/>
              <w:rPr>
                <w:color w:val="FF0000"/>
              </w:rPr>
            </w:pPr>
            <w:r>
              <w:rPr>
                <w:color w:val="FF0000"/>
              </w:rPr>
              <w:t>投标人近3年（自2021年1月1日起，以合同签订日期为准）承担过相关行政管理部门（单位）食品抽检监测业务得的3分。上述相应任务（以签订的采购合同数量计）存在问题，被相关行政管理部门（单位）通报或处罚的采购包，不计入上述评分范围。注：需同时提供中标/成交公告(提供相关网站中标/成交公告的下载网页并注明网址)、中标/成交通知书复印件（含扫描件）、采购合同文本复印件（含扫描件），以及用户评价报告文本复印件（含扫描件），未同时提供以上证明材料的不得分。如属于资格遴选招标性质的，提供的佐证材料按实际情况评判。</w:t>
            </w:r>
          </w:p>
        </w:tc>
      </w:tr>
      <w:tr w14:paraId="0EE6C2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0" w:type="dxa"/>
          </w:tcPr>
          <w:p w14:paraId="2A162D7D">
            <w:pPr>
              <w:pStyle w:val="6"/>
              <w:jc w:val="both"/>
              <w:rPr>
                <w:color w:val="FF0000"/>
              </w:rPr>
            </w:pPr>
            <w:r>
              <w:rPr>
                <w:color w:val="FF0000"/>
              </w:rPr>
              <w:t>2.重点实验室情况</w:t>
            </w:r>
          </w:p>
        </w:tc>
        <w:tc>
          <w:tcPr>
            <w:tcW w:w="1296" w:type="dxa"/>
          </w:tcPr>
          <w:p w14:paraId="3EB27449">
            <w:pPr>
              <w:pStyle w:val="6"/>
              <w:jc w:val="right"/>
              <w:rPr>
                <w:color w:val="FF0000"/>
              </w:rPr>
            </w:pPr>
            <w:r>
              <w:rPr>
                <w:color w:val="FF0000"/>
              </w:rPr>
              <w:t>2.0000</w:t>
            </w:r>
          </w:p>
        </w:tc>
        <w:tc>
          <w:tcPr>
            <w:tcW w:w="6139" w:type="dxa"/>
          </w:tcPr>
          <w:p w14:paraId="3BA351AB">
            <w:pPr>
              <w:pStyle w:val="6"/>
              <w:jc w:val="both"/>
              <w:rPr>
                <w:color w:val="FF0000"/>
              </w:rPr>
            </w:pPr>
            <w:r>
              <w:rPr>
                <w:color w:val="FF0000"/>
              </w:rPr>
              <w:t>投标人取得省部级及以上食品相关检验检测（监测）中心或食品重点实验室资质的得2分。注：需提供上述相关部门（单位）出具的证明材料复印件（含扫描件），否则不得分。</w:t>
            </w:r>
          </w:p>
        </w:tc>
      </w:tr>
      <w:tr w14:paraId="763A7F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0" w:type="dxa"/>
          </w:tcPr>
          <w:p w14:paraId="12AD17E9">
            <w:pPr>
              <w:pStyle w:val="6"/>
              <w:jc w:val="both"/>
              <w:rPr>
                <w:color w:val="FF0000"/>
              </w:rPr>
            </w:pPr>
            <w:r>
              <w:rPr>
                <w:color w:val="FF0000"/>
              </w:rPr>
              <w:t>3.应急响应能力</w:t>
            </w:r>
          </w:p>
        </w:tc>
        <w:tc>
          <w:tcPr>
            <w:tcW w:w="1296" w:type="dxa"/>
          </w:tcPr>
          <w:p w14:paraId="32DC463A">
            <w:pPr>
              <w:pStyle w:val="6"/>
              <w:jc w:val="right"/>
              <w:rPr>
                <w:color w:val="FF0000"/>
              </w:rPr>
            </w:pPr>
            <w:r>
              <w:rPr>
                <w:color w:val="FF0000"/>
              </w:rPr>
              <w:t>3.0000</w:t>
            </w:r>
          </w:p>
        </w:tc>
        <w:tc>
          <w:tcPr>
            <w:tcW w:w="6139" w:type="dxa"/>
          </w:tcPr>
          <w:p w14:paraId="66835917">
            <w:pPr>
              <w:pStyle w:val="6"/>
              <w:jc w:val="both"/>
              <w:rPr>
                <w:color w:val="FF0000"/>
              </w:rPr>
            </w:pPr>
            <w:r>
              <w:rPr>
                <w:color w:val="FF0000"/>
              </w:rPr>
              <w:t>投标人接到采购人应急任务时，应及时响应，根据投标人到达采购人单位（福州市华林路147号）的时间，按下列情况得分：时长≤4.5小时的得3分；4.5小时＜时长≤5.5小时的得2分； 时长＞5.5小时的得1分。注：①考虑样品的特殊性，抽取的样品运输时间以汽车运输时间计算；②提供以百度地图或高德地图等电子地图测算截图（投标人须提供 CMA 资质认证证书上的地址到采购人单位的时间截图）；③提供对样品不变质措施及抽样响应时间做出明确承诺，否则不得分。</w:t>
            </w:r>
          </w:p>
        </w:tc>
      </w:tr>
      <w:tr w14:paraId="636127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0" w:type="dxa"/>
          </w:tcPr>
          <w:p w14:paraId="6C602A6E">
            <w:pPr>
              <w:pStyle w:val="6"/>
              <w:jc w:val="both"/>
              <w:rPr>
                <w:color w:val="FF0000"/>
              </w:rPr>
            </w:pPr>
            <w:r>
              <w:rPr>
                <w:color w:val="FF0000"/>
              </w:rPr>
              <w:t>4.实验室标准物质和标准菌株情况</w:t>
            </w:r>
          </w:p>
        </w:tc>
        <w:tc>
          <w:tcPr>
            <w:tcW w:w="1296" w:type="dxa"/>
          </w:tcPr>
          <w:p w14:paraId="36A78EC0">
            <w:pPr>
              <w:pStyle w:val="6"/>
              <w:jc w:val="right"/>
              <w:rPr>
                <w:color w:val="FF0000"/>
              </w:rPr>
            </w:pPr>
            <w:r>
              <w:rPr>
                <w:color w:val="FF0000"/>
              </w:rPr>
              <w:t>2.0000</w:t>
            </w:r>
          </w:p>
        </w:tc>
        <w:tc>
          <w:tcPr>
            <w:tcW w:w="6139" w:type="dxa"/>
          </w:tcPr>
          <w:p w14:paraId="38374AFB">
            <w:pPr>
              <w:pStyle w:val="6"/>
              <w:jc w:val="both"/>
              <w:rPr>
                <w:color w:val="FF0000"/>
              </w:rPr>
            </w:pPr>
            <w:r>
              <w:rPr>
                <w:color w:val="FF0000"/>
              </w:rPr>
              <w:t>实验室须具有开展资质认定证书附表中食品检验项目所必须的全部标准物质和标准菌株且均在有效期内的基础上，所有的标准物质100%有有效证书或通过验证得2分；标准物质和标准菌株有90%(含）-100%（不含)有有效证书或通过验证的得1分；标准物质和标准菌株有80%(含）-90%（不含)有有效证书或通过验证的得0.5分；标准物质和标准菌株低于80%（不含）不得分。注：提供所投采购包中，实验室购买的技术项中第5项所要求的仪器设备使用到的标准物质及标准菌株的有效购物凭证复印件（含扫描件）及进出库记录，现有标准及标准菌株保存的照片，标准物质和标准菌株自查表（除部分打斜杠的项目，详见附件）、承诺书，如还有其他相关佐证材料的，可一并提供。</w:t>
            </w:r>
          </w:p>
        </w:tc>
      </w:tr>
    </w:tbl>
    <w:p w14:paraId="7AC5FBD8">
      <w:pPr>
        <w:pStyle w:val="6"/>
        <w:jc w:val="both"/>
        <w:rPr>
          <w:color w:val="FF0000"/>
        </w:rPr>
      </w:pPr>
      <w:r>
        <w:rPr>
          <w:color w:val="FF0000"/>
        </w:rPr>
        <w:t>※除本章第6.3条第（3）款规定情形和落实政府采购政策需进行的价格扣除情形外，不能对投标人的投标报价进行任何调整。</w:t>
      </w:r>
    </w:p>
    <w:p w14:paraId="7121930B">
      <w:pPr>
        <w:pStyle w:val="6"/>
        <w:jc w:val="both"/>
        <w:rPr>
          <w:color w:val="FF0000"/>
        </w:rPr>
      </w:pPr>
      <w:r>
        <w:rPr>
          <w:color w:val="FF0000"/>
        </w:rPr>
        <w:t>（3）中标候选人排列规则顺序如下：</w:t>
      </w:r>
    </w:p>
    <w:p w14:paraId="3CD0AA0B">
      <w:pPr>
        <w:pStyle w:val="6"/>
        <w:jc w:val="both"/>
        <w:rPr>
          <w:color w:val="FF0000"/>
        </w:rPr>
      </w:pPr>
      <w:r>
        <w:rPr>
          <w:color w:val="FF0000"/>
        </w:rPr>
        <w:t>a.按照评标总得分（FA）由高到低顺序排列。</w:t>
      </w:r>
    </w:p>
    <w:p w14:paraId="1549B4B4">
      <w:pPr>
        <w:pStyle w:val="6"/>
        <w:jc w:val="both"/>
        <w:rPr>
          <w:color w:val="FF0000"/>
        </w:rPr>
      </w:pPr>
      <w:r>
        <w:rPr>
          <w:color w:val="FF0000"/>
        </w:rPr>
        <w:t>b.评标总得分（FA）相同的，按照评标价（即价格扣除后的投标报价）由低到高顺序排列。</w:t>
      </w:r>
    </w:p>
    <w:p w14:paraId="2B2A976B">
      <w:pPr>
        <w:pStyle w:val="6"/>
        <w:jc w:val="both"/>
        <w:rPr>
          <w:color w:val="FF0000"/>
        </w:rPr>
      </w:pPr>
      <w:r>
        <w:rPr>
          <w:color w:val="FF0000"/>
        </w:rPr>
        <w:t>c.评标总得分（FA）且评标价（即价格扣除后的投标报价）相同的并列。</w:t>
      </w:r>
    </w:p>
    <w:p w14:paraId="5E8D70EB">
      <w:pPr>
        <w:pStyle w:val="6"/>
        <w:jc w:val="both"/>
        <w:rPr>
          <w:color w:val="FF0000"/>
        </w:rPr>
      </w:pPr>
      <w:r>
        <w:rPr>
          <w:color w:val="FF0000"/>
        </w:rPr>
        <w:t>采购包3：综合评分法</w:t>
      </w:r>
    </w:p>
    <w:p w14:paraId="07CA0D71">
      <w:pPr>
        <w:pStyle w:val="6"/>
        <w:jc w:val="both"/>
        <w:rPr>
          <w:color w:val="FF0000"/>
        </w:rPr>
      </w:pPr>
      <w:r>
        <w:rPr>
          <w:color w:val="FF0000"/>
        </w:rPr>
        <w:t>（1）投标文件满足招标文件全部实质性要求，且按照评审因素的量化指标评审得分（即评标总得分）最高的投标人为中标候选人。</w:t>
      </w:r>
    </w:p>
    <w:p w14:paraId="6B61523D">
      <w:pPr>
        <w:pStyle w:val="6"/>
        <w:jc w:val="both"/>
        <w:rPr>
          <w:color w:val="FF0000"/>
        </w:rPr>
      </w:pPr>
      <w:r>
        <w:rPr>
          <w:color w:val="FF0000"/>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2EA45020">
      <w:pPr>
        <w:pStyle w:val="6"/>
        <w:jc w:val="both"/>
        <w:rPr>
          <w:color w:val="FF0000"/>
        </w:rPr>
      </w:pPr>
      <w:r>
        <w:rPr>
          <w:color w:val="FF0000"/>
        </w:rPr>
        <w:t>各项评审因素的设置如下：</w:t>
      </w:r>
    </w:p>
    <w:p w14:paraId="33727D9C">
      <w:pPr>
        <w:pStyle w:val="6"/>
        <w:jc w:val="both"/>
        <w:rPr>
          <w:color w:val="FF0000"/>
        </w:rPr>
      </w:pPr>
      <w:r>
        <w:rPr>
          <w:color w:val="FF0000"/>
        </w:rPr>
        <w:t>价格项（F1×A1）满分为12.0000分</w:t>
      </w:r>
    </w:p>
    <w:p w14:paraId="4EB9A840">
      <w:pPr>
        <w:pStyle w:val="6"/>
        <w:jc w:val="both"/>
        <w:rPr>
          <w:color w:val="FF0000"/>
        </w:rPr>
      </w:pPr>
      <w:r>
        <w:rPr>
          <w:color w:val="FF0000"/>
        </w:rPr>
        <w:t>F1指价格项评审因素得分＝（评标基准价/投标报价）×100×价格项评审因素所占的权重（注：满足招标文件要求且投标价格最低的投标报价为评标基准价。）最低报价不是中标的唯一依据。因落实政府采购政策进行价格调整的，以调整后的价格计算评标基准价和投标报价。</w:t>
      </w:r>
    </w:p>
    <w:p w14:paraId="0B6047C6">
      <w:pPr>
        <w:pStyle w:val="6"/>
        <w:jc w:val="both"/>
        <w:rPr>
          <w:color w:val="FF0000"/>
        </w:rPr>
      </w:pPr>
      <w:r>
        <w:rPr>
          <w:color w:val="FF0000"/>
        </w:rPr>
        <w:t>价格扣除的规则如下：</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57"/>
        <w:gridCol w:w="1543"/>
        <w:gridCol w:w="1104"/>
        <w:gridCol w:w="4489"/>
      </w:tblGrid>
      <w:tr w14:paraId="6700D5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57" w:type="dxa"/>
          </w:tcPr>
          <w:p w14:paraId="1332E84E">
            <w:pPr>
              <w:pStyle w:val="6"/>
              <w:jc w:val="both"/>
              <w:rPr>
                <w:color w:val="FF0000"/>
              </w:rPr>
            </w:pPr>
            <w:r>
              <w:rPr>
                <w:color w:val="FF0000"/>
              </w:rPr>
              <w:t xml:space="preserve"> 项目</w:t>
            </w:r>
          </w:p>
        </w:tc>
        <w:tc>
          <w:tcPr>
            <w:tcW w:w="1543" w:type="dxa"/>
          </w:tcPr>
          <w:p w14:paraId="3F133BA9">
            <w:pPr>
              <w:pStyle w:val="6"/>
              <w:jc w:val="both"/>
              <w:rPr>
                <w:color w:val="FF0000"/>
              </w:rPr>
            </w:pPr>
            <w:r>
              <w:rPr>
                <w:color w:val="FF0000"/>
              </w:rPr>
              <w:t xml:space="preserve"> 适用对象</w:t>
            </w:r>
          </w:p>
        </w:tc>
        <w:tc>
          <w:tcPr>
            <w:tcW w:w="1104" w:type="dxa"/>
          </w:tcPr>
          <w:p w14:paraId="65A8A2D7">
            <w:pPr>
              <w:pStyle w:val="6"/>
              <w:jc w:val="both"/>
              <w:rPr>
                <w:color w:val="FF0000"/>
              </w:rPr>
            </w:pPr>
            <w:r>
              <w:rPr>
                <w:color w:val="FF0000"/>
              </w:rPr>
              <w:t xml:space="preserve"> 比例</w:t>
            </w:r>
          </w:p>
        </w:tc>
        <w:tc>
          <w:tcPr>
            <w:tcW w:w="4489" w:type="dxa"/>
          </w:tcPr>
          <w:p w14:paraId="09505428">
            <w:pPr>
              <w:pStyle w:val="6"/>
              <w:jc w:val="both"/>
              <w:rPr>
                <w:color w:val="FF0000"/>
              </w:rPr>
            </w:pPr>
            <w:r>
              <w:rPr>
                <w:color w:val="FF0000"/>
              </w:rPr>
              <w:t xml:space="preserve"> 描述</w:t>
            </w:r>
          </w:p>
        </w:tc>
      </w:tr>
      <w:tr w14:paraId="4A54E2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57" w:type="dxa"/>
          </w:tcPr>
          <w:p w14:paraId="6AD9B479">
            <w:pPr>
              <w:pStyle w:val="6"/>
              <w:jc w:val="both"/>
              <w:rPr>
                <w:color w:val="FF0000"/>
              </w:rPr>
            </w:pPr>
            <w:r>
              <w:rPr>
                <w:color w:val="FF0000"/>
              </w:rPr>
              <w:t>小型、微型企业，监狱企业，残疾人福利性单位</w:t>
            </w:r>
          </w:p>
        </w:tc>
        <w:tc>
          <w:tcPr>
            <w:tcW w:w="1543" w:type="dxa"/>
          </w:tcPr>
          <w:p w14:paraId="3C51752B">
            <w:pPr>
              <w:pStyle w:val="6"/>
              <w:jc w:val="both"/>
              <w:rPr>
                <w:color w:val="FF0000"/>
              </w:rPr>
            </w:pPr>
            <w:r>
              <w:rPr>
                <w:color w:val="FF0000"/>
              </w:rPr>
              <w:t>投标人或者联合体均为小型、微型企业</w:t>
            </w:r>
          </w:p>
        </w:tc>
        <w:tc>
          <w:tcPr>
            <w:tcW w:w="1104" w:type="dxa"/>
          </w:tcPr>
          <w:p w14:paraId="7B00981D">
            <w:pPr>
              <w:pStyle w:val="6"/>
              <w:jc w:val="right"/>
              <w:rPr>
                <w:color w:val="FF0000"/>
              </w:rPr>
            </w:pPr>
            <w:r>
              <w:rPr>
                <w:color w:val="FF0000"/>
              </w:rPr>
              <w:t>15.0000%</w:t>
            </w:r>
          </w:p>
        </w:tc>
        <w:tc>
          <w:tcPr>
            <w:tcW w:w="4489" w:type="dxa"/>
          </w:tcPr>
          <w:p w14:paraId="4698D36A">
            <w:pPr>
              <w:pStyle w:val="6"/>
              <w:jc w:val="both"/>
              <w:rPr>
                <w:color w:val="FF0000"/>
              </w:rPr>
            </w:pPr>
            <w:r>
              <w:rPr>
                <w:color w:val="FF0000"/>
              </w:rPr>
              <w:t>1、评审时，对符合《政府采购促进中小企业发展管理办法》（财库﹝2020﹞46号）及《福建省财政厅关于进一步加大政府采购支持中小企业力度的通知》（闽财规〔2022〕13号）规定的小微企业报价给予价格扣除【货物和服务项目为15%；工程项目为5%；对于联合协议或者分包意向协议约定小微企业的合同份额占到合同总金额30%以上的，对联合体或者大中型企业的报价扣除比例为5%（工程项目为2%）】，用扣除后的价格参加评审。投标人须提供合格的中小企业声明函（格式详见第七章），否则不予价格扣除。 2、根据财政部、司法部联合印发《关于政府采购支持监狱企业发展有关问题的通知》（财库【2014】68号）文件规定，凡监狱企业参加政府采购活动视同小型、微型企业，享受评审价格扣除的政府采购优惠政策。此次若有监狱企业参加投标的其报价享受小微企业同等比例的价格扣除，但必须提供由省级以上监狱管理局、戒毒管理局（含新疆生产建设兵团）出具的属于监狱企业的证明文件，否则评审时不予价格扣除优惠。 3、根据财政部、民政部、中国残联文件（财库[2017]141号）及福建省财政厅、福建省民政厅、福建省残疾人联合会联合发布的《关于进一步落实政府采购支持残疾人就业政策的通知》、福建省财政厅《关于残疾人福利性单位参加政府 采购活动价格扣除的通知》，凡符合上述文件要求条件的残疾人福利性单位在参加政府采购活动时视同小型、微型企业，享受预留份额、评审中价格扣除等促进中小企业发展的政府采购政策。此次若有参加投标的对残疾人福利性单位报价部分给予小微企业同等比例的扣除（对残疾人福利性单位与其他组织组成联合体参与政府采购活动的，残疾人福利性单位的协议合同金额占总合同金额30%以上的，货物和服务项目对联合体或者大中型企业的报价扣除比例为5%，但必须提供《残疾人福利性单位声明函》（格式详见第七章），对于残疾人福利性单位参与货物项目的，必须标明具体哪些货物是其本单位制造的货物，或者是由其他残疾人福利性单位制造的货物（不包括使用非残疾人福利性单位注册商标的货物），仅有标明部分的货物才能启动价格扣除，并对声明的真实性负责，否则评审时不予价格扣除优惠。 4、具体详见招标文件第三章、第七章规定，上述规定与政府采购相关法律、法规、制度等有冲突的，以现行法律、法规、制度等执行。 5、本本项目为服务类采购项目，采购标的对应的中小企业划分标准所属行业为其他未列明行业。</w:t>
            </w:r>
          </w:p>
        </w:tc>
      </w:tr>
    </w:tbl>
    <w:p w14:paraId="2AF5F134">
      <w:pPr>
        <w:pStyle w:val="6"/>
        <w:jc w:val="both"/>
        <w:rPr>
          <w:color w:val="FF0000"/>
        </w:rPr>
      </w:pPr>
      <w:r>
        <w:rPr>
          <w:color w:val="FF0000"/>
        </w:rPr>
        <w:t>优先类节能产品、环境标志产品的价格扣除规则如下</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68"/>
        <w:gridCol w:w="1543"/>
        <w:gridCol w:w="5593"/>
      </w:tblGrid>
      <w:tr w14:paraId="76AB88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68" w:type="dxa"/>
          </w:tcPr>
          <w:p w14:paraId="614A5F1C">
            <w:pPr>
              <w:pStyle w:val="6"/>
              <w:jc w:val="both"/>
              <w:rPr>
                <w:color w:val="FF0000"/>
              </w:rPr>
            </w:pPr>
            <w:r>
              <w:rPr>
                <w:color w:val="FF0000"/>
              </w:rPr>
              <w:t xml:space="preserve"> 项目</w:t>
            </w:r>
          </w:p>
        </w:tc>
        <w:tc>
          <w:tcPr>
            <w:tcW w:w="1543" w:type="dxa"/>
          </w:tcPr>
          <w:p w14:paraId="4B6BF08F">
            <w:pPr>
              <w:pStyle w:val="6"/>
              <w:jc w:val="both"/>
              <w:rPr>
                <w:color w:val="FF0000"/>
              </w:rPr>
            </w:pPr>
            <w:r>
              <w:rPr>
                <w:color w:val="FF0000"/>
              </w:rPr>
              <w:t xml:space="preserve"> 比例</w:t>
            </w:r>
          </w:p>
        </w:tc>
        <w:tc>
          <w:tcPr>
            <w:tcW w:w="5593" w:type="dxa"/>
          </w:tcPr>
          <w:p w14:paraId="43966E7A">
            <w:pPr>
              <w:pStyle w:val="6"/>
              <w:jc w:val="both"/>
              <w:rPr>
                <w:color w:val="FF0000"/>
              </w:rPr>
            </w:pPr>
            <w:r>
              <w:rPr>
                <w:color w:val="FF0000"/>
              </w:rPr>
              <w:t xml:space="preserve"> 方法</w:t>
            </w:r>
          </w:p>
        </w:tc>
      </w:tr>
      <w:tr w14:paraId="43289A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68" w:type="dxa"/>
          </w:tcPr>
          <w:p w14:paraId="2874EA97">
            <w:pPr>
              <w:pStyle w:val="6"/>
              <w:jc w:val="both"/>
              <w:rPr>
                <w:color w:val="FF0000"/>
              </w:rPr>
            </w:pPr>
            <w:r>
              <w:rPr>
                <w:color w:val="FF0000"/>
              </w:rPr>
              <w:t>节能、环境标志产品</w:t>
            </w:r>
          </w:p>
        </w:tc>
        <w:tc>
          <w:tcPr>
            <w:tcW w:w="1543" w:type="dxa"/>
          </w:tcPr>
          <w:p w14:paraId="03FC4D8D">
            <w:pPr>
              <w:pStyle w:val="6"/>
              <w:jc w:val="right"/>
              <w:rPr>
                <w:color w:val="FF0000"/>
              </w:rPr>
            </w:pPr>
            <w:r>
              <w:rPr>
                <w:color w:val="FF0000"/>
              </w:rPr>
              <w:t>10.0000%</w:t>
            </w:r>
          </w:p>
        </w:tc>
        <w:tc>
          <w:tcPr>
            <w:tcW w:w="5593" w:type="dxa"/>
          </w:tcPr>
          <w:p w14:paraId="3D2B60EF">
            <w:pPr>
              <w:pStyle w:val="6"/>
              <w:jc w:val="both"/>
              <w:rPr>
                <w:color w:val="FF0000"/>
              </w:rPr>
            </w:pPr>
            <w:r>
              <w:rPr>
                <w:color w:val="FF0000"/>
              </w:rPr>
              <w:t>1、同一采购包内，对节能产品、环境标志产品政府采购品目清单范围内，实施优先采购的产品，给予产品价格报价10%的扣除，用扣除后的价格参加评审。采购标的同时包含其它非优先采购产品的，应当在采购文件中要求供应商对优先采购产品和非优先采购产品进行分项报价，非优先采购产品的报价不得享受给予节能产品、环境标志产品的价格扣除优惠。2、同一优先采购产品中各认证证书不重复计算价格扣除。强制类节能产品不进行价格扣除。3、对于同时属于节能、环境标志的产品，应当优先于只获得其中一项认证的产品。投标人在投标时必须对属于节能、环境标志产品单独在节能(非强制类)、环境标志产品统计表中填写，并提供产品的证明资料复印件附在报价部分(电子证明资料应上传在对应评分模块)且加盖投标人公章。未单独分项报价或未按规定提供产品的证明资料的不给予扣除。投标产品属于节能、环境标志产品的，可享受相关的鼓励优惠政策。若节能、环境标志产品仅是构成投标产品的部件、组件或零件的，则该投标产品不享受鼓励优惠政策。评标委员会审查此项响应性只根据投标文件本身的内容，而不寻求其他的外部证据。</w:t>
            </w:r>
          </w:p>
        </w:tc>
      </w:tr>
    </w:tbl>
    <w:p w14:paraId="2C37888B">
      <w:pPr>
        <w:pStyle w:val="6"/>
        <w:jc w:val="both"/>
        <w:rPr>
          <w:color w:val="FF0000"/>
        </w:rPr>
      </w:pPr>
      <w:r>
        <w:rPr>
          <w:color w:val="FF0000"/>
        </w:rPr>
        <w:t>其他：无</w:t>
      </w:r>
    </w:p>
    <w:p w14:paraId="02CCF383">
      <w:pPr>
        <w:pStyle w:val="6"/>
        <w:jc w:val="both"/>
        <w:rPr>
          <w:color w:val="FF0000"/>
        </w:rPr>
      </w:pPr>
      <w:r>
        <w:rPr>
          <w:color w:val="FF0000"/>
        </w:rPr>
        <w:t>技术项（F2×A2）满分为78.0000分</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79"/>
        <w:gridCol w:w="1511"/>
        <w:gridCol w:w="5625"/>
      </w:tblGrid>
      <w:tr w14:paraId="51DF73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79" w:type="dxa"/>
          </w:tcPr>
          <w:p w14:paraId="4DDE465F">
            <w:pPr>
              <w:pStyle w:val="6"/>
              <w:jc w:val="both"/>
              <w:rPr>
                <w:color w:val="FF0000"/>
              </w:rPr>
            </w:pPr>
            <w:r>
              <w:rPr>
                <w:color w:val="FF0000"/>
              </w:rPr>
              <w:t xml:space="preserve"> 项目</w:t>
            </w:r>
          </w:p>
        </w:tc>
        <w:tc>
          <w:tcPr>
            <w:tcW w:w="1511" w:type="dxa"/>
          </w:tcPr>
          <w:p w14:paraId="07ACEB92">
            <w:pPr>
              <w:pStyle w:val="6"/>
              <w:jc w:val="both"/>
              <w:rPr>
                <w:color w:val="FF0000"/>
              </w:rPr>
            </w:pPr>
            <w:r>
              <w:rPr>
                <w:color w:val="FF0000"/>
              </w:rPr>
              <w:t xml:space="preserve"> 分值</w:t>
            </w:r>
          </w:p>
        </w:tc>
        <w:tc>
          <w:tcPr>
            <w:tcW w:w="5625" w:type="dxa"/>
          </w:tcPr>
          <w:p w14:paraId="6921302A">
            <w:pPr>
              <w:pStyle w:val="6"/>
              <w:jc w:val="both"/>
              <w:rPr>
                <w:color w:val="FF0000"/>
              </w:rPr>
            </w:pPr>
            <w:r>
              <w:rPr>
                <w:color w:val="FF0000"/>
              </w:rPr>
              <w:t xml:space="preserve"> 描述</w:t>
            </w:r>
          </w:p>
        </w:tc>
      </w:tr>
      <w:tr w14:paraId="202EF3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79" w:type="dxa"/>
          </w:tcPr>
          <w:p w14:paraId="141299B5">
            <w:pPr>
              <w:pStyle w:val="6"/>
              <w:jc w:val="both"/>
              <w:rPr>
                <w:color w:val="FF0000"/>
              </w:rPr>
            </w:pPr>
            <w:r>
              <w:rPr>
                <w:color w:val="FF0000"/>
              </w:rPr>
              <w:t>1、技术和服务响应情况</w:t>
            </w:r>
          </w:p>
        </w:tc>
        <w:tc>
          <w:tcPr>
            <w:tcW w:w="1511" w:type="dxa"/>
          </w:tcPr>
          <w:p w14:paraId="3432CFD3">
            <w:pPr>
              <w:pStyle w:val="6"/>
              <w:jc w:val="right"/>
              <w:rPr>
                <w:color w:val="FF0000"/>
              </w:rPr>
            </w:pPr>
            <w:r>
              <w:rPr>
                <w:color w:val="FF0000"/>
              </w:rPr>
              <w:t>3.0000</w:t>
            </w:r>
          </w:p>
        </w:tc>
        <w:tc>
          <w:tcPr>
            <w:tcW w:w="5625" w:type="dxa"/>
          </w:tcPr>
          <w:p w14:paraId="45F7A2E0">
            <w:pPr>
              <w:pStyle w:val="6"/>
              <w:jc w:val="both"/>
              <w:rPr>
                <w:color w:val="FF0000"/>
              </w:rPr>
            </w:pPr>
            <w:r>
              <w:rPr>
                <w:color w:val="FF0000"/>
              </w:rPr>
              <w:t>根据各投标人所投服务对《第五章招标内容及要求》“二、技术和服务要求”中的各项技术要求的响应、承诺情况并结合相关佐证材料（如有要求）由评委进行评分：完全满足招标文件技术参数要求的得3分。标注★的参数为不允许负偏离的实质性要求，有出现负偏离的按投标无效处理,未标注符号的技术参数每负偏离一项扣1.5分，正偏离不加分，扣完为止。【标注★的参数（序号1至序号9共9项）、未标注符号的技术参数（序号10、序号11共2项）】。 注：1.投标人须在投标文件中提供“投标人承诺所有投标材料均真实有效。中标后在任务实施过程中，采购人可对中标人实施监督核查，一旦发现中标人存在虚假应标材料，采购人有权终止合同，并追究中标人相关法律责任。”的承诺书，承诺书格式自拟，未提供承诺书的将视为无效投标。2.对第五章“二、技术和服务要求”中的条款2，投标人需提供相应仪器设备购置发票或其他证明资料的复印件（含扫描件）和真实性承诺书，未提供本承诺书的将视为无效投标。</w:t>
            </w:r>
          </w:p>
        </w:tc>
      </w:tr>
      <w:tr w14:paraId="679BA2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79" w:type="dxa"/>
          </w:tcPr>
          <w:p w14:paraId="3FDB7935">
            <w:pPr>
              <w:pStyle w:val="6"/>
              <w:jc w:val="both"/>
              <w:rPr>
                <w:color w:val="FF0000"/>
              </w:rPr>
            </w:pPr>
            <w:r>
              <w:rPr>
                <w:color w:val="FF0000"/>
              </w:rPr>
              <w:t>2、检验检测能力</w:t>
            </w:r>
          </w:p>
        </w:tc>
        <w:tc>
          <w:tcPr>
            <w:tcW w:w="1511" w:type="dxa"/>
          </w:tcPr>
          <w:p w14:paraId="7AEAB8EE">
            <w:pPr>
              <w:pStyle w:val="6"/>
              <w:jc w:val="right"/>
              <w:rPr>
                <w:color w:val="FF0000"/>
              </w:rPr>
            </w:pPr>
            <w:r>
              <w:rPr>
                <w:color w:val="FF0000"/>
              </w:rPr>
              <w:t>20.0000</w:t>
            </w:r>
          </w:p>
        </w:tc>
        <w:tc>
          <w:tcPr>
            <w:tcW w:w="5625" w:type="dxa"/>
          </w:tcPr>
          <w:p w14:paraId="1E8CFBC0">
            <w:pPr>
              <w:pStyle w:val="6"/>
              <w:jc w:val="both"/>
              <w:rPr>
                <w:color w:val="FF0000"/>
              </w:rPr>
            </w:pPr>
            <w:r>
              <w:rPr>
                <w:color w:val="FF0000"/>
              </w:rPr>
              <w:t>根据投标人获得的食品检验资质产品及项目，按照《国家食品安全监督抽检实施细则（2024年版）》规定的检验项目、检测方法及检验依据能够完全满足所投采购包的检验项目的得20分，每负偏离1项扣1分，扣完为止。（按同一个采购包内负偏出现的次数扣分，例如铅项目负偏，应当按该采购包铅项目的实际个数累计扣分；采购包自查表中“细则规定方法”这一栏中打“/”的项目若负偏离，不扣分）。注：须提供营业执照复印件（含扫描件）（或事业单位法人证书）、检验检测机构资质认定证书及授权检测能力附表复印件（含扫描件）、检验项目自查表（详见附件），如还有其他相关佐证材料的，可一并提供。以上材料缺一不可，否则不得分。</w:t>
            </w:r>
          </w:p>
        </w:tc>
      </w:tr>
      <w:tr w14:paraId="279F51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79" w:type="dxa"/>
          </w:tcPr>
          <w:p w14:paraId="2D9C6B39">
            <w:pPr>
              <w:pStyle w:val="6"/>
              <w:jc w:val="both"/>
              <w:rPr>
                <w:color w:val="FF0000"/>
              </w:rPr>
            </w:pPr>
            <w:r>
              <w:rPr>
                <w:color w:val="FF0000"/>
              </w:rPr>
              <w:t>3、工作方案</w:t>
            </w:r>
          </w:p>
        </w:tc>
        <w:tc>
          <w:tcPr>
            <w:tcW w:w="1511" w:type="dxa"/>
          </w:tcPr>
          <w:p w14:paraId="56F5F9FE">
            <w:pPr>
              <w:pStyle w:val="6"/>
              <w:jc w:val="right"/>
              <w:rPr>
                <w:color w:val="FF0000"/>
              </w:rPr>
            </w:pPr>
            <w:r>
              <w:rPr>
                <w:color w:val="FF0000"/>
              </w:rPr>
              <w:t>3.0000</w:t>
            </w:r>
          </w:p>
        </w:tc>
        <w:tc>
          <w:tcPr>
            <w:tcW w:w="5625" w:type="dxa"/>
          </w:tcPr>
          <w:p w14:paraId="0775A96B">
            <w:pPr>
              <w:pStyle w:val="6"/>
              <w:jc w:val="both"/>
              <w:rPr>
                <w:color w:val="FF0000"/>
              </w:rPr>
            </w:pPr>
            <w:r>
              <w:rPr>
                <w:color w:val="FF0000"/>
              </w:rPr>
              <w:t>根据投标人针对所投采购包抽检任务的工作方案应包含但不限于：①组织实施的方式（包括抽检监测时间安排、整体工作进度、抽样人员安排、异议处理的程序、异议联络人员名单等）；②抽样方案（包括采样点分布、生产企业覆盖率、抽样样品中高端品种数量等、样品的采集方式、保存运输方法）；③检测方案（包括检验项目、检验依据、检测方法、报告判定原则、结果报送要求、异议及后处理、备份样品处置规范、检验过程的质量控制体系及方法，统计分析报告纲要、工作纪律、应急预案等）进行评分：抽检任务的工作方案所包含的要点齐全无缺漏项、内容与要点相符、内容完善且能够适用于本项目的得3分；方案所包含的要点齐全、内容与要点相符、但仅有纲要内容简略，未展开阐述的得2分；方案所包含的要点不够齐全、且仅有纲要内容的得1分；未提供或内容存在错误的不得分。</w:t>
            </w:r>
          </w:p>
        </w:tc>
      </w:tr>
      <w:tr w14:paraId="6E79FC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79" w:type="dxa"/>
          </w:tcPr>
          <w:p w14:paraId="4E920D04">
            <w:pPr>
              <w:pStyle w:val="6"/>
              <w:jc w:val="both"/>
              <w:rPr>
                <w:color w:val="FF0000"/>
              </w:rPr>
            </w:pPr>
            <w:r>
              <w:rPr>
                <w:color w:val="FF0000"/>
              </w:rPr>
              <w:t>4.既往工作质量</w:t>
            </w:r>
          </w:p>
        </w:tc>
        <w:tc>
          <w:tcPr>
            <w:tcW w:w="1511" w:type="dxa"/>
          </w:tcPr>
          <w:p w14:paraId="6AD3E916">
            <w:pPr>
              <w:pStyle w:val="6"/>
              <w:jc w:val="right"/>
              <w:rPr>
                <w:color w:val="FF0000"/>
              </w:rPr>
            </w:pPr>
            <w:r>
              <w:rPr>
                <w:color w:val="FF0000"/>
              </w:rPr>
              <w:t>7.0000</w:t>
            </w:r>
          </w:p>
        </w:tc>
        <w:tc>
          <w:tcPr>
            <w:tcW w:w="5625" w:type="dxa"/>
          </w:tcPr>
          <w:p w14:paraId="0E860DCA">
            <w:pPr>
              <w:pStyle w:val="6"/>
              <w:jc w:val="both"/>
              <w:rPr>
                <w:color w:val="FF0000"/>
              </w:rPr>
            </w:pPr>
            <w:r>
              <w:rPr>
                <w:color w:val="FF0000"/>
              </w:rPr>
              <w:t>投标人依法依规落实2023年1月1日以来相关行政管理部门食品抽样检验任务：①未受到相关行政管理部门通报批评(涉及责令改正、约谈、暂停委托、不再委托、行政处罚以及行政管理部门通报的同类性质问题)的得1分；②未违反合同约定受到相关行政管理部门处罚(涉及责令改正、约谈、暂停委托、不再委托、行政处罚以及行政管理部门通报的同类性质问题)的得1分；③未存在实施相关行政管理部门抽检任务过程出现较严重问题(抽样检验出现重大差错导致不良后果、出具不实检验检测报告、虚假检验检测报告以及行政管理部门通报的同类性质问题)的得1分；④未存在无正当理由拒绝相关行政管理部门有关技术咨询、专家论证、应急服务以及其他工作配合的得1分；⑤未存在因抽样检验问题导致相关行政管理部门司法败诉的得1分；⑥相关行政管理部门抽检数据质量抽查问题率低于2.70%的得2分。注：投标人需提供自评材料并对其真实性进行承诺；一旦发现存在虚假，采购人有权利终止合同，并追究相关法律责任。</w:t>
            </w:r>
          </w:p>
        </w:tc>
      </w:tr>
      <w:tr w14:paraId="1BEBDE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79" w:type="dxa"/>
          </w:tcPr>
          <w:p w14:paraId="52A8B2F0">
            <w:pPr>
              <w:pStyle w:val="6"/>
              <w:jc w:val="both"/>
              <w:rPr>
                <w:color w:val="FF0000"/>
              </w:rPr>
            </w:pPr>
            <w:r>
              <w:rPr>
                <w:color w:val="FF0000"/>
              </w:rPr>
              <w:t>5.项目人员配备</w:t>
            </w:r>
          </w:p>
        </w:tc>
        <w:tc>
          <w:tcPr>
            <w:tcW w:w="1511" w:type="dxa"/>
          </w:tcPr>
          <w:p w14:paraId="572E64F5">
            <w:pPr>
              <w:pStyle w:val="6"/>
              <w:jc w:val="right"/>
              <w:rPr>
                <w:color w:val="FF0000"/>
              </w:rPr>
            </w:pPr>
            <w:r>
              <w:rPr>
                <w:color w:val="FF0000"/>
              </w:rPr>
              <w:t>3.0000</w:t>
            </w:r>
          </w:p>
        </w:tc>
        <w:tc>
          <w:tcPr>
            <w:tcW w:w="5625" w:type="dxa"/>
          </w:tcPr>
          <w:p w14:paraId="64243636">
            <w:pPr>
              <w:pStyle w:val="6"/>
              <w:jc w:val="both"/>
              <w:rPr>
                <w:color w:val="FF0000"/>
              </w:rPr>
            </w:pPr>
            <w:r>
              <w:rPr>
                <w:color w:val="FF0000"/>
              </w:rPr>
              <w:t>5-1.投标人针对本项目拟配备的专职食品抽样检验人员上岗证书，按以下2种情形分别得分：（1）投标人针对本项目拟配备的专职抽样人员（专职抽样人员不得同时是食品检测人员）上岗证书≥20本得1分；其余不得分。（2）投标人针对本项目拟配备的具备专职从事食品检验检测人员上岗证书（不含管理人员、抽样人员）总数≥30本的得2分，其余不得分。注：需提供以上人员上岗证书汇总表并注明人员类别（上岗证书需附上专业履历表和相关培训证明）、所有人员投标截止时间前两个月内任意一个月（不含投标截止时间的当月）投标人为其缴纳的社会保险（非商业）凭据复印件（含扫描件）。未按要求提供以上材料，此项不得分。以上2种累计满分3分。</w:t>
            </w:r>
          </w:p>
        </w:tc>
      </w:tr>
      <w:tr w14:paraId="07E25E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79" w:type="dxa"/>
          </w:tcPr>
          <w:p w14:paraId="4FE497FC">
            <w:pPr>
              <w:pStyle w:val="6"/>
              <w:jc w:val="both"/>
              <w:rPr>
                <w:color w:val="FF0000"/>
              </w:rPr>
            </w:pPr>
            <w:r>
              <w:rPr>
                <w:color w:val="FF0000"/>
              </w:rPr>
              <w:t>5.项目人员配备</w:t>
            </w:r>
          </w:p>
        </w:tc>
        <w:tc>
          <w:tcPr>
            <w:tcW w:w="1511" w:type="dxa"/>
          </w:tcPr>
          <w:p w14:paraId="0E4868F2">
            <w:pPr>
              <w:pStyle w:val="6"/>
              <w:jc w:val="right"/>
              <w:rPr>
                <w:color w:val="FF0000"/>
              </w:rPr>
            </w:pPr>
            <w:r>
              <w:rPr>
                <w:color w:val="FF0000"/>
              </w:rPr>
              <w:t>3.0000</w:t>
            </w:r>
          </w:p>
        </w:tc>
        <w:tc>
          <w:tcPr>
            <w:tcW w:w="5625" w:type="dxa"/>
          </w:tcPr>
          <w:p w14:paraId="0AA4DA28">
            <w:pPr>
              <w:pStyle w:val="6"/>
              <w:jc w:val="both"/>
              <w:rPr>
                <w:color w:val="FF0000"/>
              </w:rPr>
            </w:pPr>
            <w:r>
              <w:rPr>
                <w:color w:val="FF0000"/>
              </w:rPr>
              <w:t>5-2.投标人针对本项目拟配备的人员技术职称，按以下3种情形分别得分：（1）投标人针对本项目拟配备的食品检验检测技术负责人或质量负责人具有高级技术职称，且从事本专业检验工作满3年的得0.5分。（2）投标人针对本项目拟配备的食品检验检测授权签字人具有高级技术职称，且从事本专业检验工作满3年的得0.5分。（3）投标人针对本项目拟配备的食品检验检测人员（除本项目拟配备的食品检验检测技术负责人,质量负责人和授权签字人外）具有中级以上（含中级）技术职称的人员上岗证书数不少于食品检测人员总上岗证书数量的30%的得2分。 注：需提供以上人员职称证书复印件（含扫描件）及工作经历证明材料，上岗证书汇总表并注明人员类别（上岗证书需附上专业履历表和相关培训证明）、职称证书复印件（含扫描件）、所有人员投标截止时间前两个月内任意一个月（不含投标截止时间的当月）投标人为其缴纳的社会保险（非商业）凭据复印件（含扫描件）。未按要求提供以上材料，此项不得分。以上3种累计满分3分。</w:t>
            </w:r>
          </w:p>
        </w:tc>
      </w:tr>
      <w:tr w14:paraId="047B6C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79" w:type="dxa"/>
          </w:tcPr>
          <w:p w14:paraId="45CDB573">
            <w:pPr>
              <w:pStyle w:val="6"/>
              <w:jc w:val="both"/>
              <w:rPr>
                <w:color w:val="FF0000"/>
              </w:rPr>
            </w:pPr>
            <w:r>
              <w:rPr>
                <w:color w:val="FF0000"/>
              </w:rPr>
              <w:t>5.项目人员配备</w:t>
            </w:r>
          </w:p>
        </w:tc>
        <w:tc>
          <w:tcPr>
            <w:tcW w:w="1511" w:type="dxa"/>
          </w:tcPr>
          <w:p w14:paraId="39D046A7">
            <w:pPr>
              <w:pStyle w:val="6"/>
              <w:jc w:val="right"/>
              <w:rPr>
                <w:color w:val="FF0000"/>
              </w:rPr>
            </w:pPr>
            <w:r>
              <w:rPr>
                <w:color w:val="FF0000"/>
              </w:rPr>
              <w:t>2.0000</w:t>
            </w:r>
          </w:p>
        </w:tc>
        <w:tc>
          <w:tcPr>
            <w:tcW w:w="5625" w:type="dxa"/>
          </w:tcPr>
          <w:p w14:paraId="780605D8">
            <w:pPr>
              <w:pStyle w:val="6"/>
              <w:jc w:val="both"/>
              <w:rPr>
                <w:color w:val="FF0000"/>
              </w:rPr>
            </w:pPr>
            <w:r>
              <w:rPr>
                <w:color w:val="FF0000"/>
              </w:rPr>
              <w:t>5-3.投标人针对本项目拟配备的人员是食品安全相关专家库成员，按以下情形得分：投标人有纳入省级及以上行政管理部门（单位）的食品安全相关的专家库成员的得2分。 注：需提供上述有效证明材料复印件（含扫描件）及人员投标截止时间前两个月内任意一个月（不含投标截止时间的当月）投标人为其缴纳的社会保险（非商业）凭据复印件（含扫描件），否则不得分。</w:t>
            </w:r>
          </w:p>
        </w:tc>
      </w:tr>
      <w:tr w14:paraId="5F24B5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79" w:type="dxa"/>
          </w:tcPr>
          <w:p w14:paraId="772C64A1">
            <w:pPr>
              <w:pStyle w:val="6"/>
              <w:jc w:val="both"/>
              <w:rPr>
                <w:color w:val="FF0000"/>
              </w:rPr>
            </w:pPr>
            <w:r>
              <w:rPr>
                <w:color w:val="FF0000"/>
              </w:rPr>
              <w:t>5.项目人员配备</w:t>
            </w:r>
          </w:p>
        </w:tc>
        <w:tc>
          <w:tcPr>
            <w:tcW w:w="1511" w:type="dxa"/>
          </w:tcPr>
          <w:p w14:paraId="504C8C77">
            <w:pPr>
              <w:pStyle w:val="6"/>
              <w:jc w:val="right"/>
              <w:rPr>
                <w:color w:val="FF0000"/>
              </w:rPr>
            </w:pPr>
            <w:r>
              <w:rPr>
                <w:color w:val="FF0000"/>
              </w:rPr>
              <w:t>3.0000</w:t>
            </w:r>
          </w:p>
        </w:tc>
        <w:tc>
          <w:tcPr>
            <w:tcW w:w="5625" w:type="dxa"/>
          </w:tcPr>
          <w:p w14:paraId="3A0DD3C5">
            <w:pPr>
              <w:pStyle w:val="6"/>
              <w:jc w:val="both"/>
              <w:rPr>
                <w:color w:val="FF0000"/>
              </w:rPr>
            </w:pPr>
            <w:r>
              <w:rPr>
                <w:color w:val="FF0000"/>
              </w:rPr>
              <w:t>5-4.投标人针对本项目拟配备的从事食品检验工作满2年及以上人员，按以下2种情形分别得分：（1）投标人拥有食品领域中级技术职称（含）以上的人员上岗证书数量达10本（含）以上的得1.5分；（2）投标人拥有食品领域高级技术职称（含）以上的人员上岗证书数量达5本（含）以上的得1.5分。注：需提供以上人员上岗证书汇总表（需注明人员类别）聘用证明文件及主要工作简历；从事食品检验工作满两年（含）及以上的中级以上（含中级）技术职称人员须提供职称复印件（含扫描件）；以及能体现食品领域的证明材料，如以上材料不能体现食品领域，则还需提供毕业证、学位证、科研成果等证明材料 。以上所有人员需提供投标截止时间前两个月内任意一个月（不含投标截止时间的当月）投标人为其缴纳的社会保险（非商业）凭据复印件（含扫描件）。未按要求提供以上材料，此项不得分。本项目可累计计分，满分3分。</w:t>
            </w:r>
          </w:p>
        </w:tc>
      </w:tr>
      <w:tr w14:paraId="2382D7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79" w:type="dxa"/>
          </w:tcPr>
          <w:p w14:paraId="06741B28">
            <w:pPr>
              <w:pStyle w:val="6"/>
              <w:jc w:val="both"/>
              <w:rPr>
                <w:color w:val="FF0000"/>
              </w:rPr>
            </w:pPr>
            <w:r>
              <w:rPr>
                <w:color w:val="FF0000"/>
              </w:rPr>
              <w:t>6.实验场所</w:t>
            </w:r>
          </w:p>
        </w:tc>
        <w:tc>
          <w:tcPr>
            <w:tcW w:w="1511" w:type="dxa"/>
          </w:tcPr>
          <w:p w14:paraId="56A37B06">
            <w:pPr>
              <w:pStyle w:val="6"/>
              <w:jc w:val="right"/>
              <w:rPr>
                <w:color w:val="FF0000"/>
              </w:rPr>
            </w:pPr>
            <w:r>
              <w:rPr>
                <w:color w:val="FF0000"/>
              </w:rPr>
              <w:t>3.0000</w:t>
            </w:r>
          </w:p>
        </w:tc>
        <w:tc>
          <w:tcPr>
            <w:tcW w:w="5625" w:type="dxa"/>
          </w:tcPr>
          <w:p w14:paraId="67D40B74">
            <w:pPr>
              <w:pStyle w:val="6"/>
              <w:jc w:val="both"/>
              <w:rPr>
                <w:color w:val="FF0000"/>
              </w:rPr>
            </w:pPr>
            <w:r>
              <w:rPr>
                <w:color w:val="FF0000"/>
              </w:rPr>
              <w:t>6-1.拟用于开展本项目食品安全抽检工作实验室面积，投标人实验用房（不含实验配套、管理、保障用房）建筑面积≥2500平方米得3分，其他不得分。注：需提供实验用房的房产证复印件（含扫描件）或所有权证明文件或者有效期从投标日起不低于两年的长期房屋租赁合同复印件（含扫描件）及平面图等相关证明材料。未按上述要求提供证明资料的不得分。</w:t>
            </w:r>
          </w:p>
        </w:tc>
      </w:tr>
      <w:tr w14:paraId="71193C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79" w:type="dxa"/>
          </w:tcPr>
          <w:p w14:paraId="7E461720">
            <w:pPr>
              <w:pStyle w:val="6"/>
              <w:jc w:val="both"/>
              <w:rPr>
                <w:color w:val="FF0000"/>
              </w:rPr>
            </w:pPr>
            <w:r>
              <w:rPr>
                <w:color w:val="FF0000"/>
              </w:rPr>
              <w:t>6.实验场所</w:t>
            </w:r>
          </w:p>
        </w:tc>
        <w:tc>
          <w:tcPr>
            <w:tcW w:w="1511" w:type="dxa"/>
          </w:tcPr>
          <w:p w14:paraId="66DD5D81">
            <w:pPr>
              <w:pStyle w:val="6"/>
              <w:jc w:val="right"/>
              <w:rPr>
                <w:color w:val="FF0000"/>
              </w:rPr>
            </w:pPr>
            <w:r>
              <w:rPr>
                <w:color w:val="FF0000"/>
              </w:rPr>
              <w:t>3.0000</w:t>
            </w:r>
          </w:p>
        </w:tc>
        <w:tc>
          <w:tcPr>
            <w:tcW w:w="5625" w:type="dxa"/>
          </w:tcPr>
          <w:p w14:paraId="4D54872B">
            <w:pPr>
              <w:pStyle w:val="6"/>
              <w:jc w:val="both"/>
              <w:rPr>
                <w:color w:val="FF0000"/>
              </w:rPr>
            </w:pPr>
            <w:r>
              <w:rPr>
                <w:color w:val="FF0000"/>
              </w:rPr>
              <w:t>6-2.拟用于开展本项目食品安全抽检工作样品储存间面积≥200平方米的得3分，其他不得分。注：①自有产权储存间地址应与投标人资质认定证书的地址相符；租赁储存间地址应与投标人资质认定证书的地址在同个县级行政区域；②提供产权证（租赁合同）、具有能证明上述面积量的平面图复印件（含扫描件）、储存间照片等有效证明材料。未按上述要求提供证明资料的不得分。</w:t>
            </w:r>
          </w:p>
        </w:tc>
      </w:tr>
      <w:tr w14:paraId="3FDCB2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79" w:type="dxa"/>
          </w:tcPr>
          <w:p w14:paraId="517B11F9">
            <w:pPr>
              <w:pStyle w:val="6"/>
              <w:jc w:val="both"/>
              <w:rPr>
                <w:color w:val="FF0000"/>
              </w:rPr>
            </w:pPr>
            <w:r>
              <w:rPr>
                <w:color w:val="FF0000"/>
              </w:rPr>
              <w:t>6.实验场所</w:t>
            </w:r>
          </w:p>
        </w:tc>
        <w:tc>
          <w:tcPr>
            <w:tcW w:w="1511" w:type="dxa"/>
          </w:tcPr>
          <w:p w14:paraId="3CB7BB4D">
            <w:pPr>
              <w:pStyle w:val="6"/>
              <w:jc w:val="right"/>
              <w:rPr>
                <w:color w:val="FF0000"/>
              </w:rPr>
            </w:pPr>
            <w:r>
              <w:rPr>
                <w:color w:val="FF0000"/>
              </w:rPr>
              <w:t>3.0000</w:t>
            </w:r>
          </w:p>
        </w:tc>
        <w:tc>
          <w:tcPr>
            <w:tcW w:w="5625" w:type="dxa"/>
          </w:tcPr>
          <w:p w14:paraId="14DEDABE">
            <w:pPr>
              <w:pStyle w:val="6"/>
              <w:jc w:val="both"/>
              <w:rPr>
                <w:color w:val="FF0000"/>
              </w:rPr>
            </w:pPr>
            <w:r>
              <w:rPr>
                <w:color w:val="FF0000"/>
              </w:rPr>
              <w:t>6-3拟用于开展本项目食品安全抽检工作，存放样品储存间必须具备冷冻（冷藏）能力，冷冻（冷藏）容积≥125立方米的得3分，其他不得分。注：①自有产权冷冻（冷藏）库地址应在所投采购包抽样区域内并与所提供资质认定证书的地址相符；租赁冷冻（冷藏）库地址应在所投采购包抽样区域内并与投标人资质认定证书的地址在同个县级行政区域；②提供冰箱/冰柜的购置发票复印件（含扫描件）、容积证明材料复印件（含扫描件）及照片；③提供冷库产权证（若冷库是租赁，应提供租赁冷库CMA资质认定证明和租赁合同,其中合同期覆盖本项目服务期限不少于2年，且合同内面积、容积与被租赁方产权证证上一致）、具有能证明上述容积量的冷库平面图复印件（含扫描件）、冷库照片等有效证明材料。未按上述要求提供证明资料的不得分。</w:t>
            </w:r>
          </w:p>
        </w:tc>
      </w:tr>
      <w:tr w14:paraId="0BCD6B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79" w:type="dxa"/>
          </w:tcPr>
          <w:p w14:paraId="393B74A1">
            <w:pPr>
              <w:pStyle w:val="6"/>
              <w:jc w:val="both"/>
              <w:rPr>
                <w:color w:val="FF0000"/>
              </w:rPr>
            </w:pPr>
            <w:r>
              <w:rPr>
                <w:color w:val="FF0000"/>
              </w:rPr>
              <w:t>7.实验室仪器设备情况</w:t>
            </w:r>
          </w:p>
        </w:tc>
        <w:tc>
          <w:tcPr>
            <w:tcW w:w="1511" w:type="dxa"/>
          </w:tcPr>
          <w:p w14:paraId="2436A586">
            <w:pPr>
              <w:pStyle w:val="6"/>
              <w:jc w:val="right"/>
              <w:rPr>
                <w:color w:val="FF0000"/>
              </w:rPr>
            </w:pPr>
            <w:r>
              <w:rPr>
                <w:color w:val="FF0000"/>
              </w:rPr>
              <w:t>3.0000</w:t>
            </w:r>
          </w:p>
        </w:tc>
        <w:tc>
          <w:tcPr>
            <w:tcW w:w="5625" w:type="dxa"/>
          </w:tcPr>
          <w:p w14:paraId="3A1470D0">
            <w:pPr>
              <w:pStyle w:val="6"/>
              <w:jc w:val="both"/>
              <w:rPr>
                <w:color w:val="FF0000"/>
              </w:rPr>
            </w:pPr>
            <w:r>
              <w:rPr>
                <w:color w:val="FF0000"/>
              </w:rPr>
              <w:t>7-1.投标人针对本项目拟配备的仪器设备，按以下2种情形分别得分： （1）自有设备：投标人拥有（只用于食品检验）液相色谱仪≥4台的得1分；投标人拥有（只用于食品检验）气相色谱仪≥4台的得1分；投标人拥有（只用于食品检验）气相色谱-质谱联用仪≥3台的得1分，其他不得分。 （2）长期租赁设备：投标人拥有（只用于食品检验）液相色谱仪≥4台的得0.2分；投标人拥有（只用于食品检验）气相色谱仪≥台的得0.2分；投标人拥有（只用于食品检验）气相色谱-质谱联用仪≥3台的得0.2分，其他不得分。 注：（1）自有设备：投标人需提供①相应仪器设备购置发票或其他证明资料的复印件（含扫描件）；②针对本项目拟配备的仪器设备只用于食品检验的承诺函；③设备照片及有效的检定或校准证书复印件（含扫描件）及符合性评价，未按上述要求提供证明资料的不得分。（2）租赁设备：投标人需提供①有效的设备租赁合同，租赁期限至少覆盖本项目合同服务期限；②针对本项目拟配备的仪器设备只用于食品检验的承诺函；③设备照片及有效的检定或校准证书复印件（含扫描件）及符合性评价。未按上述要求提供证明资料的不得分。（3）只要有租赁设备，均按第（2）中情形得分。</w:t>
            </w:r>
          </w:p>
        </w:tc>
      </w:tr>
      <w:tr w14:paraId="7D6C13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79" w:type="dxa"/>
          </w:tcPr>
          <w:p w14:paraId="69B1DC07">
            <w:pPr>
              <w:pStyle w:val="6"/>
              <w:jc w:val="both"/>
              <w:rPr>
                <w:color w:val="FF0000"/>
              </w:rPr>
            </w:pPr>
            <w:r>
              <w:rPr>
                <w:color w:val="FF0000"/>
              </w:rPr>
              <w:t>7.实验室仪器设备情况</w:t>
            </w:r>
          </w:p>
        </w:tc>
        <w:tc>
          <w:tcPr>
            <w:tcW w:w="1511" w:type="dxa"/>
          </w:tcPr>
          <w:p w14:paraId="41843337">
            <w:pPr>
              <w:pStyle w:val="6"/>
              <w:jc w:val="right"/>
              <w:rPr>
                <w:color w:val="FF0000"/>
              </w:rPr>
            </w:pPr>
            <w:r>
              <w:rPr>
                <w:color w:val="FF0000"/>
              </w:rPr>
              <w:t>2.0000</w:t>
            </w:r>
          </w:p>
        </w:tc>
        <w:tc>
          <w:tcPr>
            <w:tcW w:w="5625" w:type="dxa"/>
          </w:tcPr>
          <w:p w14:paraId="7C3A1ABE">
            <w:pPr>
              <w:pStyle w:val="6"/>
              <w:jc w:val="both"/>
              <w:rPr>
                <w:color w:val="FF0000"/>
              </w:rPr>
            </w:pPr>
            <w:r>
              <w:rPr>
                <w:color w:val="FF0000"/>
              </w:rPr>
              <w:t>7-2.投标人针对本项目拟配备的仪器设备，按以下2种情形分别得分： （1）自有设备：投标人针对本项目拟配备（只用于食品检验）有原子吸收仪、原子荧光仪、电感耦合等离子体质谱仪、液相与原子荧光仪联机或离子色谱仪这4类仪器设备的得2分，每少一类的扣0.5分。（2）长期租赁设备：投标人针对本项目拟配备（只用于食品检验）有原子吸收仪、原子荧光仪、电感耦合等离子体质谱仪、液相与原子荧光仪联机或离子色谱仪这4类仪器设备的得0.4分，每少一类的扣0.1分。 注：（1）自有设备：投标人需提供①相应仪器设备购置发票或其他证明资料的复印件（含扫描件）；②针对本项目拟配备的仪器设备只用于食品检验的承诺函；③设备照片及有效的检定或校准证书复印件（含扫描件）及符合性评价，未按上述要求提供证明资料的不得分。（2）租赁设备：投标人需提供①有效的设备租赁合同，租赁期限至少覆盖本项目合同服务期限；②针对本项目拟配备的仪器设备只用于食品检验的承诺函；③设备照片及有效的检定或校准证书复印件（含扫描件）及符合性评价。未按上述要求提供证明资料的不得分。（3）只要有租赁设备，均按第（2）中情形得分。</w:t>
            </w:r>
          </w:p>
        </w:tc>
      </w:tr>
      <w:tr w14:paraId="5ABD3E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79" w:type="dxa"/>
          </w:tcPr>
          <w:p w14:paraId="18894031">
            <w:pPr>
              <w:pStyle w:val="6"/>
              <w:jc w:val="both"/>
              <w:rPr>
                <w:color w:val="FF0000"/>
              </w:rPr>
            </w:pPr>
            <w:r>
              <w:rPr>
                <w:color w:val="FF0000"/>
              </w:rPr>
              <w:t>7.实验室仪器设备情况</w:t>
            </w:r>
          </w:p>
        </w:tc>
        <w:tc>
          <w:tcPr>
            <w:tcW w:w="1511" w:type="dxa"/>
          </w:tcPr>
          <w:p w14:paraId="7DCA3E99">
            <w:pPr>
              <w:pStyle w:val="6"/>
              <w:jc w:val="right"/>
              <w:rPr>
                <w:color w:val="FF0000"/>
              </w:rPr>
            </w:pPr>
            <w:r>
              <w:rPr>
                <w:color w:val="FF0000"/>
              </w:rPr>
              <w:t>3.0000</w:t>
            </w:r>
          </w:p>
        </w:tc>
        <w:tc>
          <w:tcPr>
            <w:tcW w:w="5625" w:type="dxa"/>
          </w:tcPr>
          <w:p w14:paraId="6F24FBDE">
            <w:pPr>
              <w:pStyle w:val="6"/>
              <w:jc w:val="both"/>
              <w:rPr>
                <w:color w:val="FF0000"/>
              </w:rPr>
            </w:pPr>
            <w:r>
              <w:rPr>
                <w:color w:val="FF0000"/>
              </w:rPr>
              <w:t>7-3.投标人针对本项目拟配备的仪器设备，按以下2种情形分别得分： （1）自有设备：投标人针对本项目拟配备（只用于食品检验）的液相色谱-质谱联用仪4台得3分，其他不得分。 （2）长期租赁设备：投标人针对本项目拟配备（只用于食品检验）的液相色谱-质谱联用仪4台得0.2分，其他不得分。 注：（1）自有设备：投标人需提供①相应仪器设备购置发票或其他证明资料的复印件（含扫描件）；②针对本项目拟配备的仪器设备只用于食品检验的承诺函；③设备照片及有效的检定或校准证书复印件（含扫描件）及符合性评价，未按上述要求提供证明资料的不得分。（2）租赁设备：投标人需提供①有效的设备租赁合同，租赁期限至少覆盖本项目合同服务期限；②针对本项目拟配备的仪器设备只用于食品检验的承诺函；③设备照片及有效的检定或校准证书复印件（含扫描件及符合性评价。未按上述要求提供证明资料的不得分。（3）只要有租赁设备，均按第（2）中情形得分。</w:t>
            </w:r>
          </w:p>
        </w:tc>
      </w:tr>
      <w:tr w14:paraId="67EE93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79" w:type="dxa"/>
          </w:tcPr>
          <w:p w14:paraId="568A855F">
            <w:pPr>
              <w:pStyle w:val="6"/>
              <w:jc w:val="both"/>
              <w:rPr>
                <w:color w:val="FF0000"/>
              </w:rPr>
            </w:pPr>
            <w:r>
              <w:rPr>
                <w:color w:val="FF0000"/>
              </w:rPr>
              <w:t>8、采样车辆及采样设备情况</w:t>
            </w:r>
          </w:p>
        </w:tc>
        <w:tc>
          <w:tcPr>
            <w:tcW w:w="1511" w:type="dxa"/>
          </w:tcPr>
          <w:p w14:paraId="4882349B">
            <w:pPr>
              <w:pStyle w:val="6"/>
              <w:jc w:val="right"/>
              <w:rPr>
                <w:color w:val="FF0000"/>
              </w:rPr>
            </w:pPr>
            <w:r>
              <w:rPr>
                <w:color w:val="FF0000"/>
              </w:rPr>
              <w:t>3.0000</w:t>
            </w:r>
          </w:p>
        </w:tc>
        <w:tc>
          <w:tcPr>
            <w:tcW w:w="5625" w:type="dxa"/>
          </w:tcPr>
          <w:p w14:paraId="62F19B38">
            <w:pPr>
              <w:pStyle w:val="6"/>
              <w:jc w:val="both"/>
              <w:rPr>
                <w:color w:val="FF0000"/>
              </w:rPr>
            </w:pPr>
            <w:r>
              <w:rPr>
                <w:color w:val="FF0000"/>
              </w:rPr>
              <w:t>投标人针对本项目拟配备具备5辆及以上采样车辆，其中至少3辆采样车辆需具备冷藏（冷冻）能力，冷藏（冷冻）车载冷藏（冷冻）设备(数量不限)容积量之和≥300L的得3分，其他不得分。 注：（1）自有设备：投标人需提供①有效行驶证复印件（含扫描件）（行驶证上的单位名称应与投标人的名称一致）；②提供冷藏冷冻设备购置及自有产权的证明资料，照片及车厢内部的图片（相关图片及资料应能证明该车辆及设备是投标人自有产权）；未按上述要求提供证明资料的不得分。（2）租赁设备：投标人需提供①有效的车辆租赁合同，租赁期限不得少于本项目服务期限；②提供冷藏冷冻设备的照片及车厢内部的图片。未按上述要求提供证明资料的不得分。</w:t>
            </w:r>
          </w:p>
        </w:tc>
      </w:tr>
      <w:tr w14:paraId="455DA8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79" w:type="dxa"/>
          </w:tcPr>
          <w:p w14:paraId="76141BD9">
            <w:pPr>
              <w:pStyle w:val="6"/>
              <w:jc w:val="both"/>
              <w:rPr>
                <w:color w:val="FF0000"/>
              </w:rPr>
            </w:pPr>
            <w:r>
              <w:rPr>
                <w:color w:val="FF0000"/>
              </w:rPr>
              <w:t>9、实验室科研能力情况</w:t>
            </w:r>
          </w:p>
        </w:tc>
        <w:tc>
          <w:tcPr>
            <w:tcW w:w="1511" w:type="dxa"/>
          </w:tcPr>
          <w:p w14:paraId="407B91E5">
            <w:pPr>
              <w:pStyle w:val="6"/>
              <w:jc w:val="right"/>
              <w:rPr>
                <w:color w:val="FF0000"/>
              </w:rPr>
            </w:pPr>
            <w:r>
              <w:rPr>
                <w:color w:val="FF0000"/>
              </w:rPr>
              <w:t>3.0000</w:t>
            </w:r>
          </w:p>
        </w:tc>
        <w:tc>
          <w:tcPr>
            <w:tcW w:w="5625" w:type="dxa"/>
          </w:tcPr>
          <w:p w14:paraId="1A6D8D77">
            <w:pPr>
              <w:pStyle w:val="6"/>
              <w:jc w:val="both"/>
              <w:rPr>
                <w:color w:val="FF0000"/>
              </w:rPr>
            </w:pPr>
            <w:r>
              <w:rPr>
                <w:color w:val="FF0000"/>
              </w:rPr>
              <w:t>投标人2021年1月1日至2023年12月31日，主持或参与制定食品国际或国家标准或食品科研类获国家级奖项或在SCI（美国科学引文索引）、EI（美国工程索引）源期刊论文上以第一单位或第一作者或通讯作者发表论文的、承担过省级食品安全相关研究项目或课题的，按下列4种情形得分（4种情形可独立累加得分，满分3分为止）：（1）主持或参与制定食品国际或国家标准，或相关标准技术委员会出具的参与起草的证明材料，每一份标准得1分；（2）食品科研类获省级及以上奖项，每一个奖项得1分；（3）在SCI（美国科学引文索引）、EI（美国工程索引）源期刊论文上，每发表一篇论文得1分；（4）独立承担过省级以上（含省级）行政管理部门（单位）食品安全相关研究项目或课题的，每一项得0.5分。 注：需提供制修订食品安全标准的正式文本复印件（含扫描件）；需提供食品科研类获奖凭证材料；需提供检索结果报告及论文正文文本复印件（含扫描件）；有研究课题的须提供相关部门的研究立项书或委托书，以及投标人研究课题结题报告、相关部门研究课题验收证明等材料复印件（含扫描件）；个人的还需提供人员投标截止时间前两个月内任意一个月（不含投标截止时间的当月）投标人为其缴纳的社会保险（非商业）凭据复印件。未按要求提供以上材料，该项不得分。</w:t>
            </w:r>
          </w:p>
        </w:tc>
      </w:tr>
      <w:tr w14:paraId="0848F6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79" w:type="dxa"/>
          </w:tcPr>
          <w:p w14:paraId="250F98DB">
            <w:pPr>
              <w:pStyle w:val="6"/>
              <w:jc w:val="both"/>
              <w:rPr>
                <w:color w:val="FF0000"/>
              </w:rPr>
            </w:pPr>
            <w:r>
              <w:rPr>
                <w:color w:val="FF0000"/>
              </w:rPr>
              <w:t>10、实验室检验检测能力情况</w:t>
            </w:r>
          </w:p>
        </w:tc>
        <w:tc>
          <w:tcPr>
            <w:tcW w:w="1511" w:type="dxa"/>
          </w:tcPr>
          <w:p w14:paraId="3CA498CD">
            <w:pPr>
              <w:pStyle w:val="6"/>
              <w:jc w:val="right"/>
              <w:rPr>
                <w:color w:val="FF0000"/>
              </w:rPr>
            </w:pPr>
            <w:r>
              <w:rPr>
                <w:color w:val="FF0000"/>
              </w:rPr>
              <w:t>3.0000</w:t>
            </w:r>
          </w:p>
        </w:tc>
        <w:tc>
          <w:tcPr>
            <w:tcW w:w="5625" w:type="dxa"/>
          </w:tcPr>
          <w:p w14:paraId="67726ADB">
            <w:pPr>
              <w:pStyle w:val="6"/>
              <w:jc w:val="both"/>
              <w:rPr>
                <w:color w:val="FF0000"/>
              </w:rPr>
            </w:pPr>
            <w:r>
              <w:rPr>
                <w:color w:val="FF0000"/>
              </w:rPr>
              <w:t>10-1.投标人2021年1月1日至2023年12月31日参加过国家认监委、国家食品安全监管部门以及国家认可的有资质的机构组织的食品相关项目能力验证，项目应涵盖重金属、微生物/真菌毒素、农兽药残留、食品添加剂限量、非法添加物限量、品质/营养成分等6个领域且验证结果均为“满意”的得3分，每缺一个领域满意结果的扣0.5分，扣完为止。注：须提供国家认监委、国家食品安全监管部门以及国家认可的有资质的机构出具的证明材料复印件（含扫描件），否则不得分。</w:t>
            </w:r>
          </w:p>
        </w:tc>
      </w:tr>
      <w:tr w14:paraId="15110C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79" w:type="dxa"/>
          </w:tcPr>
          <w:p w14:paraId="44FFAECE">
            <w:pPr>
              <w:pStyle w:val="6"/>
              <w:jc w:val="both"/>
              <w:rPr>
                <w:color w:val="FF0000"/>
              </w:rPr>
            </w:pPr>
            <w:r>
              <w:rPr>
                <w:color w:val="FF0000"/>
              </w:rPr>
              <w:t>10、实验室检验检测能力情况</w:t>
            </w:r>
          </w:p>
        </w:tc>
        <w:tc>
          <w:tcPr>
            <w:tcW w:w="1511" w:type="dxa"/>
          </w:tcPr>
          <w:p w14:paraId="3DD2F24E">
            <w:pPr>
              <w:pStyle w:val="6"/>
              <w:jc w:val="right"/>
              <w:rPr>
                <w:color w:val="FF0000"/>
              </w:rPr>
            </w:pPr>
            <w:r>
              <w:rPr>
                <w:color w:val="FF0000"/>
              </w:rPr>
              <w:t>3.0000</w:t>
            </w:r>
          </w:p>
        </w:tc>
        <w:tc>
          <w:tcPr>
            <w:tcW w:w="5625" w:type="dxa"/>
          </w:tcPr>
          <w:p w14:paraId="4BE02465">
            <w:pPr>
              <w:pStyle w:val="6"/>
              <w:jc w:val="both"/>
              <w:rPr>
                <w:color w:val="FF0000"/>
              </w:rPr>
            </w:pPr>
            <w:r>
              <w:rPr>
                <w:color w:val="FF0000"/>
              </w:rPr>
              <w:t>10-2.投标人2021年1月1日至2023年12月31日参加过国家认监委、国家食品安全监管部门以及国家认可的有资质的机构组织的食品相关项目能力验证，项目涵盖重金属、微生物/真菌毒素、农兽药残留、食品添加剂限量、非法添加物限量、品质/营养成分6个领域获得满意结果总数：总数≥18次的得3分；18次＞总数≥12次的得2分；12次＞次数≥6次的得1分，其他不得分。注：须提供国家认监委、国家食品安全监管部门以及国家认可的有资质的机构出具的证明材料复印件（含扫描件），否则不得分。</w:t>
            </w:r>
          </w:p>
        </w:tc>
      </w:tr>
      <w:tr w14:paraId="7EE691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79" w:type="dxa"/>
          </w:tcPr>
          <w:p w14:paraId="58A0FD9C">
            <w:pPr>
              <w:pStyle w:val="6"/>
              <w:jc w:val="both"/>
              <w:rPr>
                <w:color w:val="FF0000"/>
              </w:rPr>
            </w:pPr>
            <w:r>
              <w:rPr>
                <w:color w:val="FF0000"/>
              </w:rPr>
              <w:t>10、实验室检验检测能力情况</w:t>
            </w:r>
          </w:p>
        </w:tc>
        <w:tc>
          <w:tcPr>
            <w:tcW w:w="1511" w:type="dxa"/>
          </w:tcPr>
          <w:p w14:paraId="3C7A814F">
            <w:pPr>
              <w:pStyle w:val="6"/>
              <w:jc w:val="right"/>
              <w:rPr>
                <w:color w:val="FF0000"/>
              </w:rPr>
            </w:pPr>
            <w:r>
              <w:rPr>
                <w:color w:val="FF0000"/>
              </w:rPr>
              <w:t>3.0000</w:t>
            </w:r>
          </w:p>
        </w:tc>
        <w:tc>
          <w:tcPr>
            <w:tcW w:w="5625" w:type="dxa"/>
          </w:tcPr>
          <w:p w14:paraId="5161E123">
            <w:pPr>
              <w:pStyle w:val="6"/>
              <w:jc w:val="both"/>
              <w:rPr>
                <w:color w:val="FF0000"/>
              </w:rPr>
            </w:pPr>
            <w:r>
              <w:rPr>
                <w:color w:val="FF0000"/>
              </w:rPr>
              <w:t>10-3.投标人获得CNAS 证书，并且在有效期内，包含有食品检测中重金属、微生物/真菌毒素、农兽药残留、食品添加剂限量、非法添加物限量、品质/营养成分全部6领域项目的得3分；具备其中3至5个领域项目的得2分；具备1至2个领域项目的得1分。 注:投标人需提供CNAS证书复印件(含扫描件)，及上述食品检测领域的证书附表页面，否则不得分。</w:t>
            </w:r>
          </w:p>
        </w:tc>
      </w:tr>
      <w:tr w14:paraId="00DFD4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79" w:type="dxa"/>
          </w:tcPr>
          <w:p w14:paraId="17353A17">
            <w:pPr>
              <w:pStyle w:val="6"/>
              <w:jc w:val="both"/>
              <w:rPr>
                <w:color w:val="FF0000"/>
              </w:rPr>
            </w:pPr>
            <w:r>
              <w:rPr>
                <w:color w:val="FF0000"/>
              </w:rPr>
              <w:t>11、内审及管理评审情况</w:t>
            </w:r>
          </w:p>
        </w:tc>
        <w:tc>
          <w:tcPr>
            <w:tcW w:w="1511" w:type="dxa"/>
          </w:tcPr>
          <w:p w14:paraId="7E1AF38C">
            <w:pPr>
              <w:pStyle w:val="6"/>
              <w:jc w:val="right"/>
              <w:rPr>
                <w:color w:val="FF0000"/>
              </w:rPr>
            </w:pPr>
            <w:r>
              <w:rPr>
                <w:color w:val="FF0000"/>
              </w:rPr>
              <w:t>1.0000</w:t>
            </w:r>
          </w:p>
        </w:tc>
        <w:tc>
          <w:tcPr>
            <w:tcW w:w="5625" w:type="dxa"/>
          </w:tcPr>
          <w:p w14:paraId="5ED31EFF">
            <w:pPr>
              <w:pStyle w:val="6"/>
              <w:jc w:val="both"/>
              <w:rPr>
                <w:color w:val="FF0000"/>
              </w:rPr>
            </w:pPr>
            <w:r>
              <w:rPr>
                <w:color w:val="FF0000"/>
              </w:rPr>
              <w:t>11-1.2023年度完成内审，年度内审项目覆盖所有的管理要素，并形成内审报告，得0.5分；年度内审项目全部合格或者内审中的不合格项均已得到整改并有验证记录，评委认为有效，得0.5分。注：须提供年度内审符合条款要求的承诺书。年度内审项目全部合格的须提供相关证明材料，未提供的不得分。本项目可累计计分，满分1分。</w:t>
            </w:r>
          </w:p>
        </w:tc>
      </w:tr>
      <w:tr w14:paraId="3FF2CB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79" w:type="dxa"/>
          </w:tcPr>
          <w:p w14:paraId="56338C88">
            <w:pPr>
              <w:pStyle w:val="6"/>
              <w:jc w:val="both"/>
              <w:rPr>
                <w:color w:val="FF0000"/>
              </w:rPr>
            </w:pPr>
            <w:r>
              <w:rPr>
                <w:color w:val="FF0000"/>
              </w:rPr>
              <w:t>11、内审及管理评审情况</w:t>
            </w:r>
          </w:p>
        </w:tc>
        <w:tc>
          <w:tcPr>
            <w:tcW w:w="1511" w:type="dxa"/>
          </w:tcPr>
          <w:p w14:paraId="2AFE1193">
            <w:pPr>
              <w:pStyle w:val="6"/>
              <w:jc w:val="right"/>
              <w:rPr>
                <w:color w:val="FF0000"/>
              </w:rPr>
            </w:pPr>
            <w:r>
              <w:rPr>
                <w:color w:val="FF0000"/>
              </w:rPr>
              <w:t>1.0000</w:t>
            </w:r>
          </w:p>
        </w:tc>
        <w:tc>
          <w:tcPr>
            <w:tcW w:w="5625" w:type="dxa"/>
          </w:tcPr>
          <w:p w14:paraId="7E32E8D3">
            <w:pPr>
              <w:pStyle w:val="6"/>
              <w:jc w:val="both"/>
              <w:rPr>
                <w:color w:val="FF0000"/>
              </w:rPr>
            </w:pPr>
            <w:r>
              <w:rPr>
                <w:color w:val="FF0000"/>
              </w:rPr>
              <w:t>11-2.2023年度完成管理评审，管理评审由检验机构主持，管理评审符合准则及体系文件要求，有完整的管理评审输入和管理评审报告，得0.5分；其中2022年度决议得到落实，得0.5分。注：须提供年度管理评审符合条款要求的承诺书。本项目可累计计分，满分1分。</w:t>
            </w:r>
          </w:p>
        </w:tc>
      </w:tr>
    </w:tbl>
    <w:p w14:paraId="26592289">
      <w:pPr>
        <w:pStyle w:val="6"/>
        <w:jc w:val="both"/>
        <w:rPr>
          <w:color w:val="FF0000"/>
        </w:rPr>
      </w:pPr>
      <w:r>
        <w:rPr>
          <w:color w:val="FF0000"/>
        </w:rPr>
        <w:t>商务项（F3×A3）满分为10.0000分</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9"/>
        <w:gridCol w:w="1489"/>
        <w:gridCol w:w="5644"/>
      </w:tblGrid>
      <w:tr w14:paraId="5FB845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90" w:type="dxa"/>
          </w:tcPr>
          <w:p w14:paraId="2F0B0573">
            <w:pPr>
              <w:pStyle w:val="6"/>
              <w:jc w:val="both"/>
              <w:rPr>
                <w:color w:val="FF0000"/>
              </w:rPr>
            </w:pPr>
            <w:r>
              <w:rPr>
                <w:color w:val="FF0000"/>
              </w:rPr>
              <w:t xml:space="preserve"> 项目</w:t>
            </w:r>
          </w:p>
        </w:tc>
        <w:tc>
          <w:tcPr>
            <w:tcW w:w="1489" w:type="dxa"/>
          </w:tcPr>
          <w:p w14:paraId="589EA515">
            <w:pPr>
              <w:pStyle w:val="6"/>
              <w:jc w:val="both"/>
              <w:rPr>
                <w:color w:val="FF0000"/>
              </w:rPr>
            </w:pPr>
            <w:r>
              <w:rPr>
                <w:color w:val="FF0000"/>
              </w:rPr>
              <w:t xml:space="preserve"> 分值</w:t>
            </w:r>
          </w:p>
        </w:tc>
        <w:tc>
          <w:tcPr>
            <w:tcW w:w="5646" w:type="dxa"/>
          </w:tcPr>
          <w:p w14:paraId="655C31D5">
            <w:pPr>
              <w:pStyle w:val="6"/>
              <w:jc w:val="both"/>
              <w:rPr>
                <w:color w:val="FF0000"/>
              </w:rPr>
            </w:pPr>
            <w:r>
              <w:rPr>
                <w:color w:val="FF0000"/>
              </w:rPr>
              <w:t xml:space="preserve"> 描述</w:t>
            </w:r>
          </w:p>
        </w:tc>
      </w:tr>
      <w:tr w14:paraId="054F55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90" w:type="dxa"/>
          </w:tcPr>
          <w:p w14:paraId="09110C73">
            <w:pPr>
              <w:pStyle w:val="6"/>
              <w:jc w:val="both"/>
              <w:rPr>
                <w:color w:val="FF0000"/>
              </w:rPr>
            </w:pPr>
            <w:r>
              <w:rPr>
                <w:color w:val="FF0000"/>
              </w:rPr>
              <w:t>1.承担食品抽样检验工作任务及类似项目情况</w:t>
            </w:r>
          </w:p>
        </w:tc>
        <w:tc>
          <w:tcPr>
            <w:tcW w:w="1489" w:type="dxa"/>
          </w:tcPr>
          <w:p w14:paraId="3DD5DCBE">
            <w:pPr>
              <w:pStyle w:val="6"/>
              <w:jc w:val="right"/>
              <w:rPr>
                <w:color w:val="FF0000"/>
              </w:rPr>
            </w:pPr>
            <w:r>
              <w:rPr>
                <w:color w:val="FF0000"/>
              </w:rPr>
              <w:t>3.0000</w:t>
            </w:r>
          </w:p>
        </w:tc>
        <w:tc>
          <w:tcPr>
            <w:tcW w:w="5646" w:type="dxa"/>
          </w:tcPr>
          <w:p w14:paraId="5690E331">
            <w:pPr>
              <w:pStyle w:val="6"/>
              <w:jc w:val="both"/>
              <w:rPr>
                <w:color w:val="FF0000"/>
              </w:rPr>
            </w:pPr>
            <w:r>
              <w:rPr>
                <w:color w:val="FF0000"/>
              </w:rPr>
              <w:t>投标人近3年（自2021年1月1日起，以合同签订日期为准）承担过相关行政管理部门（单位）食品抽检监测业务得的3分。上述相应任务（以签订的采购合同数量计）存在问题，被相关行政管理部门（单位）通报或处罚的采购包，不计入上述评分范围。注：需同时提供中标/成交公告(提供相关网站中标/成交公告的下载网页并注明网址)、中标/成交通知书复印件（含扫描件）、采购合同文本复印件（含扫描件），以及用户评价报告文本复印件（含扫描件），未同时提供以上证明材料的不得分。如属于资格遴选招标性质的，提供的佐证材料按实际情况评判。</w:t>
            </w:r>
          </w:p>
        </w:tc>
      </w:tr>
      <w:tr w14:paraId="279433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90" w:type="dxa"/>
          </w:tcPr>
          <w:p w14:paraId="291904A8">
            <w:pPr>
              <w:pStyle w:val="6"/>
              <w:jc w:val="both"/>
              <w:rPr>
                <w:color w:val="FF0000"/>
              </w:rPr>
            </w:pPr>
            <w:r>
              <w:rPr>
                <w:color w:val="FF0000"/>
              </w:rPr>
              <w:t>2.重点实验室情况</w:t>
            </w:r>
          </w:p>
        </w:tc>
        <w:tc>
          <w:tcPr>
            <w:tcW w:w="1489" w:type="dxa"/>
          </w:tcPr>
          <w:p w14:paraId="4231C0CD">
            <w:pPr>
              <w:pStyle w:val="6"/>
              <w:jc w:val="right"/>
              <w:rPr>
                <w:color w:val="FF0000"/>
              </w:rPr>
            </w:pPr>
            <w:r>
              <w:rPr>
                <w:color w:val="FF0000"/>
              </w:rPr>
              <w:t>2.0000</w:t>
            </w:r>
          </w:p>
        </w:tc>
        <w:tc>
          <w:tcPr>
            <w:tcW w:w="5646" w:type="dxa"/>
          </w:tcPr>
          <w:p w14:paraId="3C1DD989">
            <w:pPr>
              <w:pStyle w:val="6"/>
              <w:jc w:val="both"/>
              <w:rPr>
                <w:color w:val="FF0000"/>
              </w:rPr>
            </w:pPr>
            <w:r>
              <w:rPr>
                <w:color w:val="FF0000"/>
              </w:rPr>
              <w:t>投标人取得省部级及以上食品相关检验检测（监测）中心或食品重点实验室资质的得2分。注：需提供上述相关部门（单位）出具的证明材料复印件（含扫描件），否则不得分。</w:t>
            </w:r>
          </w:p>
        </w:tc>
      </w:tr>
      <w:tr w14:paraId="2B0EBF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90" w:type="dxa"/>
          </w:tcPr>
          <w:p w14:paraId="6F6B3BF4">
            <w:pPr>
              <w:pStyle w:val="6"/>
              <w:jc w:val="both"/>
              <w:rPr>
                <w:color w:val="FF0000"/>
              </w:rPr>
            </w:pPr>
            <w:r>
              <w:rPr>
                <w:color w:val="FF0000"/>
              </w:rPr>
              <w:t>3.应急响应能力</w:t>
            </w:r>
          </w:p>
        </w:tc>
        <w:tc>
          <w:tcPr>
            <w:tcW w:w="1489" w:type="dxa"/>
          </w:tcPr>
          <w:p w14:paraId="6DB3459E">
            <w:pPr>
              <w:pStyle w:val="6"/>
              <w:jc w:val="right"/>
              <w:rPr>
                <w:color w:val="FF0000"/>
              </w:rPr>
            </w:pPr>
            <w:r>
              <w:rPr>
                <w:color w:val="FF0000"/>
              </w:rPr>
              <w:t>3.0000</w:t>
            </w:r>
          </w:p>
        </w:tc>
        <w:tc>
          <w:tcPr>
            <w:tcW w:w="5646" w:type="dxa"/>
          </w:tcPr>
          <w:p w14:paraId="7993CC1F">
            <w:pPr>
              <w:pStyle w:val="6"/>
              <w:jc w:val="both"/>
              <w:rPr>
                <w:color w:val="FF0000"/>
              </w:rPr>
            </w:pPr>
            <w:r>
              <w:rPr>
                <w:color w:val="FF0000"/>
              </w:rPr>
              <w:t>投标人接到采购人应急任务时，应及时响应，根据投标人到达采购人单位（福州市华林路147号）的时间，按下列情况得分：时长≤4.5小时的得3分；4.5小时＜时长≤5.5小时的得2分； 时长＞5.5小时的得1分。注：①考虑样品的特殊性，抽取的样品运输时间以汽车运输时间计算；②提供以百度地图或高德地图等电子地图测算截图（投标人须提供 CMA 资质认证证书上的地址到采购人单位的时间截图）；③提供对样品不变质措施及抽样响应时间做出明确承诺，否则不得分。</w:t>
            </w:r>
          </w:p>
        </w:tc>
      </w:tr>
      <w:tr w14:paraId="5C01FE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90" w:type="dxa"/>
          </w:tcPr>
          <w:p w14:paraId="733BA26F">
            <w:pPr>
              <w:pStyle w:val="6"/>
              <w:jc w:val="both"/>
              <w:rPr>
                <w:color w:val="FF0000"/>
              </w:rPr>
            </w:pPr>
            <w:r>
              <w:rPr>
                <w:color w:val="FF0000"/>
              </w:rPr>
              <w:t>4.实验室标准物质和标准菌株情况</w:t>
            </w:r>
          </w:p>
        </w:tc>
        <w:tc>
          <w:tcPr>
            <w:tcW w:w="1489" w:type="dxa"/>
          </w:tcPr>
          <w:p w14:paraId="606C982C">
            <w:pPr>
              <w:pStyle w:val="6"/>
              <w:jc w:val="right"/>
              <w:rPr>
                <w:color w:val="FF0000"/>
              </w:rPr>
            </w:pPr>
            <w:r>
              <w:rPr>
                <w:color w:val="FF0000"/>
              </w:rPr>
              <w:t>2.0000</w:t>
            </w:r>
          </w:p>
        </w:tc>
        <w:tc>
          <w:tcPr>
            <w:tcW w:w="5646" w:type="dxa"/>
          </w:tcPr>
          <w:p w14:paraId="7BEBFE99">
            <w:pPr>
              <w:pStyle w:val="6"/>
              <w:jc w:val="both"/>
              <w:rPr>
                <w:color w:val="FF0000"/>
              </w:rPr>
            </w:pPr>
            <w:r>
              <w:rPr>
                <w:color w:val="FF0000"/>
              </w:rPr>
              <w:t>实验室须具有开展资质认定证书附表中食品检验项目所必须的全部标准物质和标准菌株且均在有效期内的基础上，所有的标准物质100%有有效证书或通过验证得2分；标准物质和标准菌株有90%(含）-100%（不含)有有效证书或通过验证的得1分；标准物质和标准菌株有80%(含）-90%（不含)有有效证书或通过验证的得0.5分；标准物质和标准菌株低于80%（不含）不得分。注：提供所投采购包中，实验室购买的技术项中第5项所要求的仪器设备使用到的标准物质及标准菌株的有效购物凭证复印件（含扫描件）及进出库记录，现有标准及标准菌株保存的照片，标准物质和标准菌株自查表（除部分打斜杠的项目，详见附件）、承诺书，如还有其他相关佐证材料的，可一并提供。</w:t>
            </w:r>
          </w:p>
        </w:tc>
      </w:tr>
    </w:tbl>
    <w:p w14:paraId="1FBB7D78">
      <w:pPr>
        <w:pStyle w:val="6"/>
        <w:jc w:val="both"/>
        <w:rPr>
          <w:color w:val="FF0000"/>
        </w:rPr>
      </w:pPr>
      <w:r>
        <w:rPr>
          <w:color w:val="FF0000"/>
        </w:rPr>
        <w:t>※除本章第6.3条第（3）款规定情形和落实政府采购政策需进行的价格扣除情形外，不能对投标人的投标报价进行任何调整。</w:t>
      </w:r>
    </w:p>
    <w:p w14:paraId="2A3ECFAC">
      <w:pPr>
        <w:pStyle w:val="6"/>
        <w:jc w:val="both"/>
        <w:rPr>
          <w:color w:val="FF0000"/>
        </w:rPr>
      </w:pPr>
      <w:r>
        <w:rPr>
          <w:color w:val="FF0000"/>
        </w:rPr>
        <w:t>（3）中标候选人排列规则顺序如下：</w:t>
      </w:r>
    </w:p>
    <w:p w14:paraId="70106304">
      <w:pPr>
        <w:pStyle w:val="6"/>
        <w:jc w:val="both"/>
        <w:rPr>
          <w:color w:val="FF0000"/>
        </w:rPr>
      </w:pPr>
      <w:r>
        <w:rPr>
          <w:color w:val="FF0000"/>
        </w:rPr>
        <w:t>a.按照评标总得分（FA）由高到低顺序排列。</w:t>
      </w:r>
    </w:p>
    <w:p w14:paraId="246B6C2D">
      <w:pPr>
        <w:pStyle w:val="6"/>
        <w:jc w:val="both"/>
        <w:rPr>
          <w:color w:val="FF0000"/>
        </w:rPr>
      </w:pPr>
      <w:r>
        <w:rPr>
          <w:color w:val="FF0000"/>
        </w:rPr>
        <w:t>b.评标总得分（FA）相同的，按照评标价（即价格扣除后的投标报价）由低到高顺序排列。</w:t>
      </w:r>
    </w:p>
    <w:p w14:paraId="718E883F">
      <w:pPr>
        <w:pStyle w:val="6"/>
        <w:jc w:val="both"/>
        <w:rPr>
          <w:color w:val="FF0000"/>
        </w:rPr>
      </w:pPr>
      <w:r>
        <w:rPr>
          <w:color w:val="FF0000"/>
        </w:rPr>
        <w:t>c.评标总得分（FA）且评标价（即价格扣除后的投标报价）相同的并列。</w:t>
      </w:r>
    </w:p>
    <w:p w14:paraId="028D457D">
      <w:pPr>
        <w:pStyle w:val="6"/>
        <w:ind w:firstLine="480"/>
        <w:jc w:val="both"/>
        <w:rPr>
          <w:color w:val="FF0000"/>
        </w:rPr>
      </w:pPr>
      <w:r>
        <w:rPr>
          <w:color w:val="FF0000"/>
        </w:rPr>
        <w:t>8、其他规定</w:t>
      </w:r>
    </w:p>
    <w:p w14:paraId="69F35A62">
      <w:pPr>
        <w:pStyle w:val="6"/>
        <w:ind w:firstLine="480"/>
        <w:jc w:val="both"/>
        <w:rPr>
          <w:color w:val="FF0000"/>
        </w:rPr>
      </w:pPr>
      <w:r>
        <w:rPr>
          <w:color w:val="FF0000"/>
        </w:rPr>
        <w:t>8.1评标应全程保密且不得透露给任一投标人或与评标工作无关的人员。</w:t>
      </w:r>
    </w:p>
    <w:p w14:paraId="25333113">
      <w:pPr>
        <w:pStyle w:val="6"/>
        <w:ind w:firstLine="480"/>
        <w:jc w:val="both"/>
        <w:rPr>
          <w:color w:val="FF0000"/>
        </w:rPr>
      </w:pPr>
      <w:r>
        <w:rPr>
          <w:color w:val="FF0000"/>
        </w:rPr>
        <w:t>8.2评标将进行全程实时录音录像，录音录像资料随采购文件一并存档。</w:t>
      </w:r>
    </w:p>
    <w:p w14:paraId="718D3EAA">
      <w:pPr>
        <w:pStyle w:val="6"/>
        <w:ind w:firstLine="480"/>
        <w:jc w:val="both"/>
        <w:rPr>
          <w:color w:val="FF0000"/>
        </w:rPr>
      </w:pPr>
      <w:r>
        <w:rPr>
          <w:color w:val="FF0000"/>
        </w:rPr>
        <w:t>8.3若投标人有任何试图干扰具体评标事务，影响评标委员会独立履行职责的行为，其投标无效且不予退还投标保证金或通过投标保函进行索赔。情节严重的，由财政部门列入不良行为记录。</w:t>
      </w:r>
    </w:p>
    <w:p w14:paraId="3579AE0B">
      <w:pPr>
        <w:pStyle w:val="6"/>
        <w:ind w:firstLine="480"/>
        <w:jc w:val="both"/>
        <w:rPr>
          <w:color w:val="FF0000"/>
        </w:rPr>
      </w:pPr>
      <w:r>
        <w:rPr>
          <w:color w:val="FF0000"/>
        </w:rPr>
        <w:t>8.4其他：无</w:t>
      </w:r>
    </w:p>
    <w:p w14:paraId="7E1B6D52">
      <w:pPr>
        <w:pStyle w:val="6"/>
      </w:pPr>
      <w:r>
        <w:t xml:space="preserve"> </w:t>
      </w:r>
      <w:r>
        <w:br w:type="textWrapping"/>
      </w:r>
      <w:r>
        <w:br w:type="page"/>
      </w:r>
    </w:p>
    <w:p w14:paraId="23D29BB5">
      <w:pPr>
        <w:pStyle w:val="6"/>
        <w:jc w:val="center"/>
        <w:outlineLvl w:val="1"/>
        <w:rPr>
          <w:color w:val="FF0000"/>
        </w:rPr>
      </w:pPr>
      <w:r>
        <w:rPr>
          <w:b/>
          <w:color w:val="FF0000"/>
          <w:sz w:val="36"/>
        </w:rPr>
        <w:t>第五章 招标内容及要求</w:t>
      </w:r>
    </w:p>
    <w:p w14:paraId="30E6DC33">
      <w:pPr>
        <w:pStyle w:val="6"/>
        <w:spacing w:line="360" w:lineRule="auto"/>
        <w:jc w:val="both"/>
        <w:outlineLvl w:val="2"/>
        <w:rPr>
          <w:rFonts w:hint="eastAsia" w:ascii="宋体" w:hAnsi="宋体" w:eastAsia="宋体" w:cs="宋体"/>
          <w:color w:val="FF0000"/>
          <w:sz w:val="20"/>
          <w:szCs w:val="20"/>
        </w:rPr>
      </w:pPr>
      <w:r>
        <w:rPr>
          <w:rFonts w:hint="eastAsia" w:ascii="宋体" w:hAnsi="宋体" w:eastAsia="宋体" w:cs="宋体"/>
          <w:b/>
          <w:color w:val="FF0000"/>
          <w:sz w:val="20"/>
          <w:szCs w:val="20"/>
        </w:rPr>
        <w:t>一、项目概况（采购标的）</w:t>
      </w:r>
    </w:p>
    <w:p w14:paraId="16B0B292">
      <w:pPr>
        <w:pStyle w:val="6"/>
        <w:ind w:firstLine="480"/>
        <w:jc w:val="both"/>
        <w:rPr>
          <w:rFonts w:hint="default" w:ascii="Times New Roman" w:hAnsi="Times New Roman" w:eastAsia="宋体" w:cs="Times New Roman"/>
          <w:color w:val="0000FF"/>
          <w:sz w:val="20"/>
          <w:szCs w:val="20"/>
          <w:highlight w:val="none"/>
        </w:rPr>
      </w:pPr>
      <w:r>
        <w:rPr>
          <w:rFonts w:hint="default" w:ascii="Times New Roman" w:hAnsi="Times New Roman" w:eastAsia="宋体" w:cs="Times New Roman"/>
          <w:color w:val="0000FF"/>
          <w:sz w:val="20"/>
          <w:szCs w:val="20"/>
          <w:highlight w:val="none"/>
        </w:rPr>
        <w:t>（一）项目概况：</w:t>
      </w:r>
    </w:p>
    <w:p w14:paraId="00709A95">
      <w:pPr>
        <w:pStyle w:val="6"/>
        <w:ind w:firstLine="480"/>
        <w:jc w:val="both"/>
        <w:rPr>
          <w:rFonts w:hint="default" w:ascii="Times New Roman" w:hAnsi="Times New Roman" w:eastAsia="宋体" w:cs="Times New Roman"/>
          <w:b w:val="0"/>
          <w:bCs w:val="0"/>
          <w:color w:val="0000FF"/>
          <w:sz w:val="20"/>
          <w:szCs w:val="20"/>
          <w:highlight w:val="none"/>
        </w:rPr>
      </w:pPr>
      <w:r>
        <w:rPr>
          <w:rFonts w:hint="default" w:ascii="Times New Roman" w:hAnsi="Times New Roman" w:eastAsia="宋体" w:cs="Times New Roman"/>
          <w:b w:val="0"/>
          <w:bCs w:val="0"/>
          <w:color w:val="0000FF"/>
          <w:sz w:val="20"/>
          <w:szCs w:val="20"/>
          <w:highlight w:val="none"/>
        </w:rPr>
        <w:t>本项目为20</w:t>
      </w:r>
      <w:r>
        <w:rPr>
          <w:rFonts w:hint="eastAsia" w:ascii="Times New Roman" w:hAnsi="Times New Roman" w:cs="Times New Roman"/>
          <w:b w:val="0"/>
          <w:bCs w:val="0"/>
          <w:color w:val="0000FF"/>
          <w:sz w:val="20"/>
          <w:szCs w:val="20"/>
          <w:highlight w:val="none"/>
          <w:lang w:val="en-US" w:eastAsia="zh-CN"/>
        </w:rPr>
        <w:t>24</w:t>
      </w:r>
      <w:r>
        <w:rPr>
          <w:rFonts w:hint="default" w:ascii="Times New Roman" w:hAnsi="Times New Roman" w:eastAsia="宋体" w:cs="Times New Roman"/>
          <w:b w:val="0"/>
          <w:bCs w:val="0"/>
          <w:color w:val="0000FF"/>
          <w:sz w:val="20"/>
          <w:szCs w:val="20"/>
          <w:highlight w:val="none"/>
        </w:rPr>
        <w:t>年省匹配食品安全监督抽检任务，服务范围涵盖全省各区域，抽样样品100%覆盖在产全省食品获证生产企业的产品,涉及的范围面大，批次多，时效性要求较高。潜在投标人须具有履行本项目抽检所必需的设备和专业技术能力。潜在投标人除了需要具备充足的专业工作人员，一定数量的专用检测仪器设备以外，还需满足抽检任务密集期的采购需求。</w:t>
      </w:r>
    </w:p>
    <w:p w14:paraId="159C08BB">
      <w:pPr>
        <w:pStyle w:val="6"/>
        <w:ind w:firstLine="480"/>
        <w:jc w:val="both"/>
        <w:rPr>
          <w:rFonts w:hint="default" w:ascii="Times New Roman" w:hAnsi="Times New Roman" w:eastAsia="宋体" w:cs="Times New Roman"/>
          <w:b w:val="0"/>
          <w:bCs w:val="0"/>
          <w:color w:val="0000FF"/>
          <w:sz w:val="20"/>
          <w:szCs w:val="20"/>
          <w:highlight w:val="none"/>
        </w:rPr>
      </w:pPr>
      <w:r>
        <w:rPr>
          <w:rFonts w:hint="default" w:ascii="Times New Roman" w:hAnsi="Times New Roman" w:eastAsia="宋体" w:cs="Times New Roman"/>
          <w:b w:val="0"/>
          <w:bCs w:val="0"/>
          <w:color w:val="0000FF"/>
          <w:sz w:val="20"/>
          <w:szCs w:val="20"/>
          <w:highlight w:val="none"/>
        </w:rPr>
        <w:t>抽检任务密集期的工作量将陡增，要求潜在投标人须储备一定规模的设备及场地以满足采购需求。包括但不限于具备充足的大批量运输工具、充足的实验用途的场所、具备大批量的样品冷藏能力以及样品存放空间、具备同时大批量完成送检样品检测的能力。同时考虑到样品送检的质量、时效性及检测结果的准确性，要求送检的时间、到样品接收地点的在途时间要尽可能的缩短。以确保本次招标食品安全监督抽检任务能及时保质保量的完成。</w:t>
      </w:r>
    </w:p>
    <w:p w14:paraId="060D9D96">
      <w:pPr>
        <w:pStyle w:val="6"/>
        <w:numPr>
          <w:ilvl w:val="0"/>
          <w:numId w:val="0"/>
        </w:numPr>
        <w:ind w:firstLine="480" w:firstLineChars="0"/>
        <w:jc w:val="both"/>
        <w:rPr>
          <w:rFonts w:hint="default" w:ascii="Times New Roman" w:hAnsi="Times New Roman" w:eastAsia="宋体" w:cs="Times New Roman"/>
          <w:color w:val="0000FF"/>
          <w:sz w:val="20"/>
          <w:szCs w:val="20"/>
          <w:highlight w:val="none"/>
        </w:rPr>
      </w:pPr>
      <w:r>
        <w:rPr>
          <w:rFonts w:hint="eastAsia" w:ascii="Times New Roman" w:hAnsi="Times New Roman" w:eastAsia="宋体" w:cs="Times New Roman"/>
          <w:color w:val="0000FF"/>
          <w:sz w:val="20"/>
          <w:szCs w:val="20"/>
          <w:lang w:val="en-US" w:eastAsia="zh-Hans"/>
        </w:rPr>
        <w:t>（二）</w:t>
      </w:r>
      <w:r>
        <w:rPr>
          <w:rFonts w:hint="default" w:ascii="Times New Roman" w:hAnsi="Times New Roman" w:eastAsia="宋体" w:cs="Times New Roman"/>
          <w:color w:val="0000FF"/>
          <w:sz w:val="20"/>
          <w:szCs w:val="20"/>
          <w:highlight w:val="none"/>
        </w:rPr>
        <w:t>采购一览表</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43"/>
        <w:gridCol w:w="4186"/>
        <w:gridCol w:w="1573"/>
        <w:gridCol w:w="1823"/>
      </w:tblGrid>
      <w:tr w14:paraId="5018D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2" w:hRule="atLeast"/>
        </w:trPr>
        <w:tc>
          <w:tcPr>
            <w:tcW w:w="1243" w:type="dxa"/>
            <w:noWrap w:val="0"/>
            <w:tcMar>
              <w:top w:w="15" w:type="dxa"/>
              <w:left w:w="15" w:type="dxa"/>
              <w:right w:w="15" w:type="dxa"/>
            </w:tcMar>
            <w:vAlign w:val="center"/>
          </w:tcPr>
          <w:p w14:paraId="746B1C7C">
            <w:pPr>
              <w:keepNext w:val="0"/>
              <w:keepLines w:val="0"/>
              <w:widowControl/>
              <w:suppressLineNumbers w:val="0"/>
              <w:jc w:val="center"/>
              <w:textAlignment w:val="center"/>
              <w:rPr>
                <w:rFonts w:hint="eastAsia" w:ascii="宋体" w:hAnsi="宋体" w:eastAsia="宋体" w:cs="宋体"/>
                <w:color w:val="0000FF"/>
                <w:sz w:val="20"/>
                <w:szCs w:val="20"/>
              </w:rPr>
            </w:pPr>
            <w:r>
              <w:rPr>
                <w:rFonts w:hint="eastAsia" w:ascii="Times New Roman" w:hAnsi="Times New Roman" w:cs="Times New Roman"/>
                <w:b/>
                <w:bCs/>
                <w:color w:val="0000FF"/>
                <w:sz w:val="20"/>
                <w:szCs w:val="20"/>
                <w:highlight w:val="none"/>
                <w:lang w:val="en-US" w:eastAsia="zh-CN"/>
              </w:rPr>
              <w:t>采购包</w:t>
            </w:r>
            <w:r>
              <w:rPr>
                <w:rFonts w:hint="eastAsia" w:ascii="宋体" w:hAnsi="宋体" w:eastAsia="宋体" w:cs="宋体"/>
                <w:b/>
                <w:i w:val="0"/>
                <w:color w:val="0000FF"/>
                <w:kern w:val="0"/>
                <w:sz w:val="20"/>
                <w:szCs w:val="20"/>
                <w:u w:val="none"/>
                <w:lang w:val="en-US" w:eastAsia="zh-CN" w:bidi="ar"/>
              </w:rPr>
              <w:t>号</w:t>
            </w:r>
          </w:p>
        </w:tc>
        <w:tc>
          <w:tcPr>
            <w:tcW w:w="4186" w:type="dxa"/>
            <w:noWrap w:val="0"/>
            <w:tcMar>
              <w:top w:w="15" w:type="dxa"/>
              <w:left w:w="15" w:type="dxa"/>
              <w:right w:w="15" w:type="dxa"/>
            </w:tcMar>
            <w:vAlign w:val="center"/>
          </w:tcPr>
          <w:p w14:paraId="0E9821FD">
            <w:pPr>
              <w:keepNext w:val="0"/>
              <w:keepLines w:val="0"/>
              <w:widowControl/>
              <w:suppressLineNumbers w:val="0"/>
              <w:jc w:val="center"/>
              <w:textAlignment w:val="center"/>
              <w:rPr>
                <w:rFonts w:hint="eastAsia" w:ascii="宋体" w:hAnsi="宋体" w:eastAsia="宋体" w:cs="宋体"/>
                <w:b/>
                <w:i w:val="0"/>
                <w:color w:val="0000FF"/>
                <w:sz w:val="20"/>
                <w:szCs w:val="20"/>
                <w:u w:val="none"/>
              </w:rPr>
            </w:pPr>
            <w:r>
              <w:rPr>
                <w:rFonts w:hint="eastAsia" w:ascii="宋体" w:hAnsi="宋体" w:eastAsia="宋体" w:cs="宋体"/>
                <w:b/>
                <w:i w:val="0"/>
                <w:color w:val="0000FF"/>
                <w:kern w:val="0"/>
                <w:sz w:val="20"/>
                <w:szCs w:val="20"/>
                <w:u w:val="none"/>
                <w:lang w:val="en-US" w:eastAsia="zh-CN" w:bidi="ar"/>
              </w:rPr>
              <w:t>食品类别</w:t>
            </w:r>
          </w:p>
        </w:tc>
        <w:tc>
          <w:tcPr>
            <w:tcW w:w="1573" w:type="dxa"/>
            <w:noWrap w:val="0"/>
            <w:tcMar>
              <w:top w:w="15" w:type="dxa"/>
              <w:left w:w="15" w:type="dxa"/>
              <w:right w:w="15" w:type="dxa"/>
            </w:tcMar>
            <w:vAlign w:val="center"/>
          </w:tcPr>
          <w:p w14:paraId="164F0134">
            <w:pPr>
              <w:keepNext w:val="0"/>
              <w:keepLines w:val="0"/>
              <w:widowControl/>
              <w:suppressLineNumbers w:val="0"/>
              <w:jc w:val="center"/>
              <w:textAlignment w:val="center"/>
              <w:rPr>
                <w:rFonts w:hint="eastAsia" w:ascii="宋体" w:hAnsi="宋体" w:eastAsia="宋体" w:cs="宋体"/>
                <w:b/>
                <w:i w:val="0"/>
                <w:color w:val="0000FF"/>
                <w:sz w:val="20"/>
                <w:szCs w:val="20"/>
                <w:u w:val="none"/>
              </w:rPr>
            </w:pPr>
            <w:r>
              <w:rPr>
                <w:rFonts w:hint="eastAsia" w:ascii="宋体" w:hAnsi="宋体" w:eastAsia="宋体" w:cs="宋体"/>
                <w:b/>
                <w:i w:val="0"/>
                <w:color w:val="0000FF"/>
                <w:kern w:val="0"/>
                <w:sz w:val="20"/>
                <w:szCs w:val="20"/>
                <w:u w:val="none"/>
                <w:lang w:val="en-US" w:eastAsia="zh-CN" w:bidi="ar"/>
              </w:rPr>
              <w:t>合计（批次）</w:t>
            </w:r>
          </w:p>
        </w:tc>
        <w:tc>
          <w:tcPr>
            <w:tcW w:w="1823" w:type="dxa"/>
            <w:noWrap w:val="0"/>
            <w:tcMar>
              <w:top w:w="15" w:type="dxa"/>
              <w:left w:w="15" w:type="dxa"/>
              <w:right w:w="15" w:type="dxa"/>
            </w:tcMar>
            <w:vAlign w:val="center"/>
          </w:tcPr>
          <w:p w14:paraId="58DA7FF3">
            <w:pPr>
              <w:jc w:val="center"/>
              <w:rPr>
                <w:rFonts w:hint="eastAsia" w:ascii="宋体" w:hAnsi="宋体" w:eastAsia="宋体" w:cs="宋体"/>
                <w:i w:val="0"/>
                <w:color w:val="0000FF"/>
                <w:sz w:val="20"/>
                <w:szCs w:val="20"/>
                <w:u w:val="none"/>
                <w:lang w:eastAsia="zh-CN"/>
              </w:rPr>
            </w:pPr>
            <w:r>
              <w:rPr>
                <w:rFonts w:hint="eastAsia" w:ascii="宋体" w:hAnsi="宋体" w:eastAsia="宋体" w:cs="宋体"/>
                <w:b/>
                <w:i w:val="0"/>
                <w:color w:val="0000FF"/>
                <w:kern w:val="0"/>
                <w:sz w:val="20"/>
                <w:szCs w:val="20"/>
                <w:u w:val="none"/>
                <w:lang w:val="en-US" w:eastAsia="zh-CN" w:bidi="ar"/>
              </w:rPr>
              <w:t>预算（元）</w:t>
            </w:r>
          </w:p>
        </w:tc>
      </w:tr>
      <w:tr w14:paraId="1D3DD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45" w:hRule="atLeast"/>
        </w:trPr>
        <w:tc>
          <w:tcPr>
            <w:tcW w:w="1243" w:type="dxa"/>
            <w:noWrap w:val="0"/>
            <w:tcMar>
              <w:top w:w="15" w:type="dxa"/>
              <w:left w:w="15" w:type="dxa"/>
              <w:right w:w="15" w:type="dxa"/>
            </w:tcMar>
            <w:vAlign w:val="center"/>
          </w:tcPr>
          <w:p w14:paraId="4021077E">
            <w:pPr>
              <w:keepNext w:val="0"/>
              <w:keepLines w:val="0"/>
              <w:widowControl/>
              <w:suppressLineNumbers w:val="0"/>
              <w:jc w:val="center"/>
              <w:textAlignment w:val="center"/>
              <w:rPr>
                <w:rFonts w:hint="eastAsia" w:ascii="宋体" w:hAnsi="宋体" w:eastAsia="宋体" w:cs="宋体"/>
                <w:color w:val="0000FF"/>
                <w:sz w:val="20"/>
                <w:szCs w:val="20"/>
              </w:rPr>
            </w:pPr>
            <w:r>
              <w:rPr>
                <w:rFonts w:hint="eastAsia" w:ascii="宋体" w:hAnsi="宋体" w:eastAsia="宋体" w:cs="宋体"/>
                <w:i w:val="0"/>
                <w:color w:val="0000FF"/>
                <w:kern w:val="0"/>
                <w:sz w:val="20"/>
                <w:szCs w:val="20"/>
                <w:u w:val="none"/>
                <w:lang w:val="en-US" w:eastAsia="zh-CN" w:bidi="ar"/>
              </w:rPr>
              <w:t>1</w:t>
            </w:r>
          </w:p>
        </w:tc>
        <w:tc>
          <w:tcPr>
            <w:tcW w:w="4186" w:type="dxa"/>
            <w:vMerge w:val="restart"/>
            <w:noWrap w:val="0"/>
            <w:tcMar>
              <w:top w:w="15" w:type="dxa"/>
              <w:left w:w="15" w:type="dxa"/>
              <w:right w:w="15" w:type="dxa"/>
            </w:tcMar>
            <w:vAlign w:val="center"/>
          </w:tcPr>
          <w:p w14:paraId="4008AB38">
            <w:pPr>
              <w:keepNext w:val="0"/>
              <w:keepLines w:val="0"/>
              <w:widowControl/>
              <w:suppressLineNumbers w:val="0"/>
              <w:jc w:val="center"/>
              <w:textAlignment w:val="center"/>
              <w:rPr>
                <w:rFonts w:hint="eastAsia" w:ascii="宋体" w:hAnsi="宋体" w:eastAsia="宋体" w:cs="宋体"/>
                <w:i w:val="0"/>
                <w:color w:val="0000FF"/>
                <w:sz w:val="20"/>
                <w:szCs w:val="20"/>
                <w:u w:val="none"/>
              </w:rPr>
            </w:pPr>
            <w:r>
              <w:rPr>
                <w:rFonts w:hint="eastAsia" w:ascii="宋体" w:hAnsi="宋体" w:eastAsia="宋体" w:cs="宋体"/>
                <w:i w:val="0"/>
                <w:color w:val="0000FF"/>
                <w:sz w:val="20"/>
                <w:szCs w:val="20"/>
                <w:u w:val="none"/>
              </w:rPr>
              <w:t>粮食加工品、食用油、油脂及其制品、调味品、肉制品、乳制品、饮料、方便食品、饼干、罐头、冷冻饮品、速冻食品、薯类和膨化食品、糖果制品、茶叶及相关制品、酒类、蔬菜制品、水果制品、炒货食品及坚果制品、蛋制品、可可及焙烤咖啡产品、食糖、水产制品、淀粉及淀粉制品、糕点、豆制品、蜂产品、特殊膳食食品、餐饮食品（非食用农产品）、食品添加剂、食用农产品</w:t>
            </w:r>
          </w:p>
        </w:tc>
        <w:tc>
          <w:tcPr>
            <w:tcW w:w="1573" w:type="dxa"/>
            <w:noWrap w:val="0"/>
            <w:tcMar>
              <w:top w:w="15" w:type="dxa"/>
              <w:left w:w="15" w:type="dxa"/>
              <w:right w:w="15" w:type="dxa"/>
            </w:tcMar>
            <w:vAlign w:val="center"/>
          </w:tcPr>
          <w:p w14:paraId="10518964">
            <w:pPr>
              <w:keepNext w:val="0"/>
              <w:keepLines w:val="0"/>
              <w:widowControl/>
              <w:suppressLineNumbers w:val="0"/>
              <w:jc w:val="center"/>
              <w:textAlignment w:val="center"/>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
              </w:rPr>
              <w:t>1030</w:t>
            </w:r>
          </w:p>
        </w:tc>
        <w:tc>
          <w:tcPr>
            <w:tcW w:w="1823" w:type="dxa"/>
            <w:noWrap w:val="0"/>
            <w:tcMar>
              <w:top w:w="15" w:type="dxa"/>
              <w:left w:w="15" w:type="dxa"/>
              <w:right w:w="15" w:type="dxa"/>
            </w:tcMar>
            <w:vAlign w:val="center"/>
          </w:tcPr>
          <w:p w14:paraId="3019AB40">
            <w:pPr>
              <w:keepNext w:val="0"/>
              <w:keepLines w:val="0"/>
              <w:widowControl/>
              <w:suppressLineNumbers w:val="0"/>
              <w:jc w:val="center"/>
              <w:textAlignment w:val="center"/>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
              </w:rPr>
              <w:t>2057970.9</w:t>
            </w:r>
          </w:p>
        </w:tc>
      </w:tr>
      <w:tr w14:paraId="41110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38" w:hRule="atLeast"/>
        </w:trPr>
        <w:tc>
          <w:tcPr>
            <w:tcW w:w="1243" w:type="dxa"/>
            <w:noWrap w:val="0"/>
            <w:tcMar>
              <w:top w:w="15" w:type="dxa"/>
              <w:left w:w="15" w:type="dxa"/>
              <w:right w:w="15" w:type="dxa"/>
            </w:tcMar>
            <w:vAlign w:val="center"/>
          </w:tcPr>
          <w:p w14:paraId="54372893">
            <w:pPr>
              <w:keepNext w:val="0"/>
              <w:keepLines w:val="0"/>
              <w:widowControl/>
              <w:suppressLineNumbers w:val="0"/>
              <w:jc w:val="center"/>
              <w:textAlignment w:val="center"/>
              <w:rPr>
                <w:rFonts w:hint="eastAsia" w:ascii="宋体" w:hAnsi="宋体" w:eastAsia="宋体" w:cs="宋体"/>
                <w:color w:val="0000FF"/>
                <w:sz w:val="20"/>
                <w:szCs w:val="20"/>
              </w:rPr>
            </w:pPr>
            <w:r>
              <w:rPr>
                <w:rFonts w:hint="eastAsia" w:ascii="宋体" w:hAnsi="宋体" w:eastAsia="宋体" w:cs="宋体"/>
                <w:i w:val="0"/>
                <w:color w:val="0000FF"/>
                <w:kern w:val="0"/>
                <w:sz w:val="20"/>
                <w:szCs w:val="20"/>
                <w:u w:val="none"/>
                <w:lang w:val="en-US" w:eastAsia="zh-CN" w:bidi="ar"/>
              </w:rPr>
              <w:t>2</w:t>
            </w:r>
          </w:p>
        </w:tc>
        <w:tc>
          <w:tcPr>
            <w:tcW w:w="4186" w:type="dxa"/>
            <w:vMerge w:val="continue"/>
            <w:noWrap w:val="0"/>
            <w:tcMar>
              <w:top w:w="15" w:type="dxa"/>
              <w:left w:w="15" w:type="dxa"/>
              <w:right w:w="15" w:type="dxa"/>
            </w:tcMar>
            <w:vAlign w:val="center"/>
          </w:tcPr>
          <w:p w14:paraId="7EC2740D">
            <w:pPr>
              <w:jc w:val="center"/>
              <w:rPr>
                <w:rFonts w:hint="eastAsia" w:ascii="宋体" w:hAnsi="宋体" w:eastAsia="宋体" w:cs="宋体"/>
                <w:i w:val="0"/>
                <w:color w:val="0000FF"/>
                <w:sz w:val="20"/>
                <w:szCs w:val="20"/>
                <w:u w:val="none"/>
              </w:rPr>
            </w:pPr>
          </w:p>
        </w:tc>
        <w:tc>
          <w:tcPr>
            <w:tcW w:w="1573" w:type="dxa"/>
            <w:noWrap w:val="0"/>
            <w:tcMar>
              <w:top w:w="15" w:type="dxa"/>
              <w:left w:w="15" w:type="dxa"/>
              <w:right w:w="15" w:type="dxa"/>
            </w:tcMar>
            <w:vAlign w:val="center"/>
          </w:tcPr>
          <w:p w14:paraId="650BFFE3">
            <w:pPr>
              <w:keepNext w:val="0"/>
              <w:keepLines w:val="0"/>
              <w:widowControl/>
              <w:suppressLineNumbers w:val="0"/>
              <w:jc w:val="center"/>
              <w:textAlignment w:val="center"/>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
              </w:rPr>
              <w:t>1031</w:t>
            </w:r>
          </w:p>
        </w:tc>
        <w:tc>
          <w:tcPr>
            <w:tcW w:w="1823" w:type="dxa"/>
            <w:noWrap w:val="0"/>
            <w:tcMar>
              <w:top w:w="15" w:type="dxa"/>
              <w:left w:w="15" w:type="dxa"/>
              <w:right w:w="15" w:type="dxa"/>
            </w:tcMar>
            <w:vAlign w:val="center"/>
          </w:tcPr>
          <w:p w14:paraId="241A7DD6">
            <w:pPr>
              <w:keepNext w:val="0"/>
              <w:keepLines w:val="0"/>
              <w:widowControl/>
              <w:suppressLineNumbers w:val="0"/>
              <w:jc w:val="center"/>
              <w:textAlignment w:val="center"/>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
              </w:rPr>
              <w:t>2064556.88</w:t>
            </w:r>
          </w:p>
        </w:tc>
      </w:tr>
      <w:tr w14:paraId="5A1D1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60" w:hRule="atLeast"/>
        </w:trPr>
        <w:tc>
          <w:tcPr>
            <w:tcW w:w="1243" w:type="dxa"/>
            <w:noWrap w:val="0"/>
            <w:tcMar>
              <w:top w:w="15" w:type="dxa"/>
              <w:left w:w="15" w:type="dxa"/>
              <w:right w:w="15" w:type="dxa"/>
            </w:tcMar>
            <w:vAlign w:val="center"/>
          </w:tcPr>
          <w:p w14:paraId="1C1577C7">
            <w:pPr>
              <w:keepNext w:val="0"/>
              <w:keepLines w:val="0"/>
              <w:widowControl/>
              <w:suppressLineNumbers w:val="0"/>
              <w:jc w:val="center"/>
              <w:textAlignment w:val="center"/>
              <w:rPr>
                <w:rFonts w:hint="eastAsia" w:ascii="宋体" w:hAnsi="宋体" w:eastAsia="宋体" w:cs="宋体"/>
                <w:color w:val="0000FF"/>
                <w:sz w:val="20"/>
                <w:szCs w:val="20"/>
              </w:rPr>
            </w:pPr>
            <w:r>
              <w:rPr>
                <w:rFonts w:hint="eastAsia" w:ascii="宋体" w:hAnsi="宋体" w:eastAsia="宋体" w:cs="宋体"/>
                <w:i w:val="0"/>
                <w:color w:val="0000FF"/>
                <w:kern w:val="0"/>
                <w:sz w:val="20"/>
                <w:szCs w:val="20"/>
                <w:u w:val="none"/>
                <w:lang w:val="en-US" w:eastAsia="zh-CN" w:bidi="ar"/>
              </w:rPr>
              <w:t>3</w:t>
            </w:r>
          </w:p>
        </w:tc>
        <w:tc>
          <w:tcPr>
            <w:tcW w:w="4186" w:type="dxa"/>
            <w:vMerge w:val="continue"/>
            <w:noWrap w:val="0"/>
            <w:tcMar>
              <w:top w:w="15" w:type="dxa"/>
              <w:left w:w="15" w:type="dxa"/>
              <w:right w:w="15" w:type="dxa"/>
            </w:tcMar>
            <w:vAlign w:val="center"/>
          </w:tcPr>
          <w:p w14:paraId="0D2DE2EB">
            <w:pPr>
              <w:jc w:val="center"/>
              <w:rPr>
                <w:rFonts w:hint="eastAsia" w:ascii="宋体" w:hAnsi="宋体" w:eastAsia="宋体" w:cs="宋体"/>
                <w:i w:val="0"/>
                <w:color w:val="0000FF"/>
                <w:sz w:val="20"/>
                <w:szCs w:val="20"/>
                <w:u w:val="none"/>
              </w:rPr>
            </w:pPr>
          </w:p>
        </w:tc>
        <w:tc>
          <w:tcPr>
            <w:tcW w:w="1573" w:type="dxa"/>
            <w:noWrap w:val="0"/>
            <w:tcMar>
              <w:top w:w="15" w:type="dxa"/>
              <w:left w:w="15" w:type="dxa"/>
              <w:right w:w="15" w:type="dxa"/>
            </w:tcMar>
            <w:vAlign w:val="center"/>
          </w:tcPr>
          <w:p w14:paraId="06D2FCE2">
            <w:pPr>
              <w:keepNext w:val="0"/>
              <w:keepLines w:val="0"/>
              <w:widowControl/>
              <w:suppressLineNumbers w:val="0"/>
              <w:jc w:val="center"/>
              <w:textAlignment w:val="center"/>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
              </w:rPr>
              <w:t>1032</w:t>
            </w:r>
          </w:p>
        </w:tc>
        <w:tc>
          <w:tcPr>
            <w:tcW w:w="1823" w:type="dxa"/>
            <w:noWrap w:val="0"/>
            <w:tcMar>
              <w:top w:w="15" w:type="dxa"/>
              <w:left w:w="15" w:type="dxa"/>
              <w:right w:w="15" w:type="dxa"/>
            </w:tcMar>
            <w:vAlign w:val="center"/>
          </w:tcPr>
          <w:p w14:paraId="3EAB2540">
            <w:pPr>
              <w:keepNext w:val="0"/>
              <w:keepLines w:val="0"/>
              <w:widowControl/>
              <w:suppressLineNumbers w:val="0"/>
              <w:jc w:val="center"/>
              <w:textAlignment w:val="center"/>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
              </w:rPr>
              <w:t>2068066.08</w:t>
            </w:r>
          </w:p>
        </w:tc>
      </w:tr>
      <w:tr w14:paraId="539EA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trPr>
        <w:tc>
          <w:tcPr>
            <w:tcW w:w="5429" w:type="dxa"/>
            <w:gridSpan w:val="2"/>
            <w:noWrap w:val="0"/>
            <w:tcMar>
              <w:top w:w="15" w:type="dxa"/>
              <w:left w:w="15" w:type="dxa"/>
              <w:right w:w="15" w:type="dxa"/>
            </w:tcMar>
            <w:vAlign w:val="center"/>
          </w:tcPr>
          <w:p w14:paraId="12EEAD74">
            <w:pPr>
              <w:jc w:val="center"/>
              <w:rPr>
                <w:rFonts w:hint="eastAsia" w:ascii="宋体" w:hAnsi="宋体" w:eastAsia="宋体" w:cs="宋体"/>
                <w:b/>
                <w:bCs w:val="0"/>
                <w:i w:val="0"/>
                <w:color w:val="0000FF"/>
                <w:sz w:val="20"/>
                <w:szCs w:val="20"/>
                <w:u w:val="none"/>
              </w:rPr>
            </w:pPr>
            <w:r>
              <w:rPr>
                <w:rFonts w:hint="eastAsia" w:ascii="宋体" w:hAnsi="宋体" w:eastAsia="宋体" w:cs="宋体"/>
                <w:b/>
                <w:bCs w:val="0"/>
                <w:i w:val="0"/>
                <w:color w:val="0000FF"/>
                <w:kern w:val="0"/>
                <w:sz w:val="20"/>
                <w:szCs w:val="20"/>
                <w:u w:val="none"/>
                <w:lang w:val="en-US" w:eastAsia="zh-CN" w:bidi="ar"/>
              </w:rPr>
              <w:t>合计</w:t>
            </w:r>
          </w:p>
        </w:tc>
        <w:tc>
          <w:tcPr>
            <w:tcW w:w="1573" w:type="dxa"/>
            <w:noWrap w:val="0"/>
            <w:tcMar>
              <w:top w:w="15" w:type="dxa"/>
              <w:left w:w="15" w:type="dxa"/>
              <w:right w:w="15" w:type="dxa"/>
            </w:tcMar>
            <w:vAlign w:val="center"/>
          </w:tcPr>
          <w:p w14:paraId="1E6221AC">
            <w:pPr>
              <w:keepNext w:val="0"/>
              <w:keepLines w:val="0"/>
              <w:widowControl/>
              <w:suppressLineNumbers w:val="0"/>
              <w:jc w:val="center"/>
              <w:textAlignment w:val="center"/>
              <w:rPr>
                <w:rFonts w:hint="eastAsia" w:ascii="宋体" w:hAnsi="宋体" w:eastAsia="宋体" w:cs="宋体"/>
                <w:b/>
                <w:bCs/>
                <w:i w:val="0"/>
                <w:color w:val="0000FF"/>
                <w:sz w:val="20"/>
                <w:szCs w:val="20"/>
                <w:u w:val="none"/>
              </w:rPr>
            </w:pPr>
            <w:r>
              <w:rPr>
                <w:rFonts w:hint="eastAsia" w:ascii="宋体" w:hAnsi="宋体" w:eastAsia="宋体" w:cs="宋体"/>
                <w:b/>
                <w:bCs/>
                <w:i w:val="0"/>
                <w:color w:val="0000FF"/>
                <w:kern w:val="0"/>
                <w:sz w:val="20"/>
                <w:szCs w:val="20"/>
                <w:u w:val="none"/>
                <w:lang w:val="en-US" w:eastAsia="zh-CN" w:bidi="ar"/>
              </w:rPr>
              <w:t>3093</w:t>
            </w:r>
          </w:p>
        </w:tc>
        <w:tc>
          <w:tcPr>
            <w:tcW w:w="1823" w:type="dxa"/>
            <w:noWrap w:val="0"/>
            <w:tcMar>
              <w:top w:w="15" w:type="dxa"/>
              <w:left w:w="15" w:type="dxa"/>
              <w:right w:w="15" w:type="dxa"/>
            </w:tcMar>
            <w:vAlign w:val="center"/>
          </w:tcPr>
          <w:p w14:paraId="06FCF3F8">
            <w:pPr>
              <w:keepNext w:val="0"/>
              <w:keepLines w:val="0"/>
              <w:widowControl/>
              <w:suppressLineNumbers w:val="0"/>
              <w:jc w:val="center"/>
              <w:textAlignment w:val="center"/>
              <w:rPr>
                <w:rFonts w:hint="eastAsia" w:ascii="宋体" w:hAnsi="宋体" w:eastAsia="宋体" w:cs="宋体"/>
                <w:b/>
                <w:bCs/>
                <w:i w:val="0"/>
                <w:color w:val="0000FF"/>
                <w:sz w:val="20"/>
                <w:szCs w:val="20"/>
                <w:u w:val="none"/>
              </w:rPr>
            </w:pPr>
            <w:r>
              <w:rPr>
                <w:rFonts w:hint="eastAsia" w:ascii="宋体" w:hAnsi="宋体" w:eastAsia="宋体" w:cs="宋体"/>
                <w:b/>
                <w:i w:val="0"/>
                <w:color w:val="0000FF"/>
                <w:kern w:val="0"/>
                <w:sz w:val="20"/>
                <w:szCs w:val="20"/>
                <w:u w:val="none"/>
                <w:lang w:val="en-US" w:eastAsia="zh-CN" w:bidi="ar"/>
              </w:rPr>
              <w:t>6190593.86</w:t>
            </w:r>
          </w:p>
        </w:tc>
      </w:tr>
    </w:tbl>
    <w:p w14:paraId="66E72547">
      <w:pPr>
        <w:pStyle w:val="6"/>
        <w:numPr>
          <w:ilvl w:val="0"/>
          <w:numId w:val="0"/>
        </w:numPr>
        <w:jc w:val="both"/>
        <w:rPr>
          <w:rFonts w:hint="default" w:ascii="Times New Roman" w:hAnsi="Times New Roman" w:eastAsia="宋体" w:cs="Times New Roman"/>
          <w:color w:val="0000FF"/>
          <w:sz w:val="20"/>
          <w:szCs w:val="20"/>
          <w:highlight w:val="none"/>
        </w:rPr>
      </w:pPr>
    </w:p>
    <w:p w14:paraId="027F0479">
      <w:pPr>
        <w:pStyle w:val="6"/>
        <w:numPr>
          <w:ilvl w:val="0"/>
          <w:numId w:val="0"/>
        </w:numPr>
        <w:jc w:val="both"/>
        <w:rPr>
          <w:rFonts w:hint="default" w:ascii="Times New Roman" w:hAnsi="Times New Roman" w:eastAsia="宋体" w:cs="Times New Roman"/>
          <w:b/>
          <w:bCs/>
          <w:color w:val="0000FF"/>
          <w:sz w:val="20"/>
          <w:szCs w:val="20"/>
          <w:highlight w:val="none"/>
        </w:rPr>
      </w:pPr>
      <w:r>
        <w:rPr>
          <w:rFonts w:hint="default" w:ascii="Times New Roman" w:hAnsi="Times New Roman" w:eastAsia="宋体" w:cs="Times New Roman"/>
          <w:b/>
          <w:bCs/>
          <w:color w:val="0000FF"/>
          <w:sz w:val="20"/>
          <w:szCs w:val="20"/>
          <w:highlight w:val="none"/>
        </w:rPr>
        <w:t>*特别提醒：技术商务部分中不得出现报价部分的全部或部分的投标报价信息（或组成资料），否则符合性审查不合格。</w:t>
      </w:r>
    </w:p>
    <w:p w14:paraId="6FC50C9A">
      <w:pPr>
        <w:pStyle w:val="6"/>
        <w:numPr>
          <w:ilvl w:val="0"/>
          <w:numId w:val="0"/>
        </w:numPr>
        <w:jc w:val="both"/>
        <w:rPr>
          <w:rFonts w:hint="default" w:ascii="Times New Roman" w:hAnsi="Times New Roman" w:eastAsia="宋体" w:cs="Times New Roman"/>
          <w:b/>
          <w:bCs/>
          <w:color w:val="0000FF"/>
          <w:sz w:val="20"/>
          <w:szCs w:val="20"/>
          <w:highlight w:val="none"/>
        </w:rPr>
      </w:pPr>
    </w:p>
    <w:p w14:paraId="6C2C07CB">
      <w:pPr>
        <w:pStyle w:val="6"/>
        <w:numPr>
          <w:ilvl w:val="0"/>
          <w:numId w:val="0"/>
        </w:numPr>
        <w:jc w:val="both"/>
        <w:rPr>
          <w:rFonts w:hint="default" w:ascii="Times New Roman" w:hAnsi="Times New Roman" w:eastAsia="宋体" w:cs="Times New Roman"/>
          <w:b/>
          <w:bCs/>
          <w:color w:val="0000FF"/>
          <w:sz w:val="20"/>
          <w:szCs w:val="20"/>
          <w:highlight w:val="none"/>
        </w:rPr>
        <w:sectPr>
          <w:footerReference r:id="rId3" w:type="default"/>
          <w:pgSz w:w="11906" w:h="16838"/>
          <w:pgMar w:top="1440" w:right="1800" w:bottom="1440" w:left="1800" w:header="851" w:footer="992" w:gutter="0"/>
          <w:cols w:space="720" w:num="1"/>
          <w:docGrid w:type="lines" w:linePitch="312" w:charSpace="0"/>
        </w:sectPr>
      </w:pPr>
    </w:p>
    <w:p w14:paraId="451C6ED8">
      <w:pPr>
        <w:pStyle w:val="6"/>
        <w:numPr>
          <w:ilvl w:val="0"/>
          <w:numId w:val="0"/>
        </w:numPr>
        <w:jc w:val="both"/>
        <w:rPr>
          <w:rFonts w:hint="default" w:ascii="Times New Roman" w:hAnsi="Times New Roman" w:eastAsia="宋体" w:cs="Times New Roman"/>
          <w:color w:val="0000FF"/>
          <w:sz w:val="20"/>
          <w:szCs w:val="20"/>
          <w:highlight w:val="none"/>
          <w:lang w:eastAsia="zh-CN"/>
        </w:rPr>
      </w:pPr>
      <w:r>
        <w:rPr>
          <w:rFonts w:hint="default" w:ascii="Times New Roman" w:hAnsi="Times New Roman" w:cs="Times New Roman"/>
          <w:color w:val="0000FF"/>
          <w:sz w:val="20"/>
          <w:szCs w:val="20"/>
          <w:highlight w:val="none"/>
          <w:lang w:eastAsia="zh-CN"/>
        </w:rPr>
        <w:t>（三）</w:t>
      </w:r>
      <w:r>
        <w:rPr>
          <w:rFonts w:hint="default" w:ascii="Times New Roman" w:hAnsi="Times New Roman" w:eastAsia="宋体" w:cs="Times New Roman"/>
          <w:color w:val="0000FF"/>
          <w:sz w:val="20"/>
          <w:szCs w:val="20"/>
          <w:highlight w:val="none"/>
          <w:lang w:eastAsia="zh-CN"/>
        </w:rPr>
        <w:t>采购明细表</w:t>
      </w:r>
    </w:p>
    <w:p w14:paraId="5915433B">
      <w:pPr>
        <w:pStyle w:val="6"/>
        <w:numPr>
          <w:ilvl w:val="0"/>
          <w:numId w:val="0"/>
        </w:numPr>
        <w:jc w:val="both"/>
        <w:rPr>
          <w:rFonts w:hint="default" w:ascii="Times New Roman" w:hAnsi="Times New Roman" w:cs="Times New Roman"/>
          <w:b/>
          <w:bCs/>
          <w:color w:val="0000FF"/>
          <w:sz w:val="20"/>
          <w:szCs w:val="20"/>
          <w:highlight w:val="none"/>
          <w:lang w:val="en-US" w:eastAsia="zh-CN"/>
        </w:rPr>
      </w:pPr>
      <w:r>
        <w:rPr>
          <w:rFonts w:hint="eastAsia" w:ascii="Times New Roman" w:hAnsi="Times New Roman" w:cs="Times New Roman"/>
          <w:b/>
          <w:bCs/>
          <w:color w:val="0000FF"/>
          <w:sz w:val="20"/>
          <w:szCs w:val="20"/>
          <w:highlight w:val="none"/>
          <w:lang w:val="en-US" w:eastAsia="zh-CN"/>
        </w:rPr>
        <w:t>采购包</w:t>
      </w:r>
      <w:r>
        <w:rPr>
          <w:rFonts w:hint="default" w:ascii="Times New Roman" w:hAnsi="Times New Roman" w:cs="Times New Roman"/>
          <w:b/>
          <w:bCs/>
          <w:color w:val="0000FF"/>
          <w:sz w:val="20"/>
          <w:szCs w:val="20"/>
          <w:highlight w:val="none"/>
          <w:lang w:val="en-US" w:eastAsia="zh-CN"/>
        </w:rPr>
        <w:t>1</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01"/>
        <w:gridCol w:w="3384"/>
        <w:gridCol w:w="2005"/>
        <w:gridCol w:w="1890"/>
      </w:tblGrid>
      <w:tr w14:paraId="63BF6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8" w:hRule="atLeast"/>
          <w:jc w:val="center"/>
        </w:trPr>
        <w:tc>
          <w:tcPr>
            <w:tcW w:w="701" w:type="dxa"/>
            <w:noWrap w:val="0"/>
            <w:tcMar>
              <w:top w:w="15" w:type="dxa"/>
              <w:left w:w="15" w:type="dxa"/>
              <w:right w:w="15" w:type="dxa"/>
            </w:tcMar>
            <w:vAlign w:val="center"/>
          </w:tcPr>
          <w:p w14:paraId="1C8134DF">
            <w:pPr>
              <w:jc w:val="center"/>
              <w:rPr>
                <w:rFonts w:hint="default" w:ascii="Times New Roman" w:hAnsi="Times New Roman" w:eastAsia="宋体" w:cs="Times New Roman"/>
                <w:b/>
                <w:bCs/>
                <w:i w:val="0"/>
                <w:color w:val="0000FF"/>
                <w:sz w:val="20"/>
                <w:szCs w:val="20"/>
                <w:u w:val="none"/>
                <w:lang w:eastAsia="zh-CN"/>
              </w:rPr>
            </w:pPr>
            <w:r>
              <w:rPr>
                <w:rFonts w:hint="default" w:ascii="Times New Roman" w:hAnsi="Times New Roman" w:eastAsia="宋体" w:cs="Times New Roman"/>
                <w:b/>
                <w:bCs/>
                <w:i w:val="0"/>
                <w:color w:val="0000FF"/>
                <w:sz w:val="20"/>
                <w:szCs w:val="20"/>
                <w:u w:val="none"/>
                <w:lang w:eastAsia="zh-CN"/>
              </w:rPr>
              <w:t>序号</w:t>
            </w:r>
          </w:p>
        </w:tc>
        <w:tc>
          <w:tcPr>
            <w:tcW w:w="3384" w:type="dxa"/>
            <w:noWrap w:val="0"/>
            <w:tcMar>
              <w:top w:w="15" w:type="dxa"/>
              <w:left w:w="15" w:type="dxa"/>
              <w:right w:w="15" w:type="dxa"/>
            </w:tcMar>
            <w:vAlign w:val="center"/>
          </w:tcPr>
          <w:p w14:paraId="773FF9A3">
            <w:pPr>
              <w:keepNext w:val="0"/>
              <w:keepLines w:val="0"/>
              <w:widowControl/>
              <w:suppressLineNumbers w:val="0"/>
              <w:jc w:val="center"/>
              <w:textAlignment w:val="center"/>
              <w:rPr>
                <w:rFonts w:hint="default" w:ascii="Times New Roman" w:hAnsi="Times New Roman" w:eastAsia="宋体" w:cs="Times New Roman"/>
                <w:b/>
                <w:bCs/>
                <w:i w:val="0"/>
                <w:color w:val="0000FF"/>
                <w:sz w:val="20"/>
                <w:szCs w:val="20"/>
                <w:u w:val="none"/>
              </w:rPr>
            </w:pPr>
            <w:r>
              <w:rPr>
                <w:rFonts w:hint="default" w:ascii="Times New Roman" w:hAnsi="Times New Roman" w:eastAsia="宋体" w:cs="Times New Roman"/>
                <w:b/>
                <w:bCs/>
                <w:i w:val="0"/>
                <w:color w:val="0000FF"/>
                <w:kern w:val="0"/>
                <w:sz w:val="20"/>
                <w:szCs w:val="20"/>
                <w:u w:val="none"/>
                <w:lang w:val="en-US" w:eastAsia="zh-CN" w:bidi="ar"/>
              </w:rPr>
              <w:t>食品大类（一级）</w:t>
            </w:r>
          </w:p>
        </w:tc>
        <w:tc>
          <w:tcPr>
            <w:tcW w:w="2005" w:type="dxa"/>
            <w:noWrap w:val="0"/>
            <w:tcMar>
              <w:top w:w="15" w:type="dxa"/>
              <w:left w:w="15" w:type="dxa"/>
              <w:right w:w="15" w:type="dxa"/>
            </w:tcMar>
            <w:vAlign w:val="center"/>
          </w:tcPr>
          <w:p w14:paraId="5DB70562">
            <w:pPr>
              <w:keepNext w:val="0"/>
              <w:keepLines w:val="0"/>
              <w:widowControl/>
              <w:suppressLineNumbers w:val="0"/>
              <w:jc w:val="center"/>
              <w:textAlignment w:val="center"/>
              <w:rPr>
                <w:rFonts w:hint="default" w:ascii="Times New Roman" w:hAnsi="Times New Roman" w:eastAsia="宋体" w:cs="Times New Roman"/>
                <w:b/>
                <w:bCs/>
                <w:i w:val="0"/>
                <w:color w:val="0000FF"/>
                <w:sz w:val="20"/>
                <w:szCs w:val="20"/>
                <w:u w:val="none"/>
                <w:lang w:eastAsia="zh-CN"/>
              </w:rPr>
            </w:pPr>
            <w:r>
              <w:rPr>
                <w:rFonts w:hint="default" w:ascii="Times New Roman" w:hAnsi="Times New Roman" w:cs="Times New Roman"/>
                <w:b/>
                <w:bCs/>
                <w:i w:val="0"/>
                <w:color w:val="0000FF"/>
                <w:sz w:val="20"/>
                <w:szCs w:val="20"/>
                <w:u w:val="none"/>
                <w:lang w:eastAsia="zh-CN"/>
              </w:rPr>
              <w:t>任务量（批次）</w:t>
            </w:r>
          </w:p>
        </w:tc>
        <w:tc>
          <w:tcPr>
            <w:tcW w:w="1890" w:type="dxa"/>
            <w:noWrap w:val="0"/>
            <w:tcMar>
              <w:top w:w="15" w:type="dxa"/>
              <w:left w:w="15" w:type="dxa"/>
              <w:right w:w="15" w:type="dxa"/>
            </w:tcMar>
            <w:vAlign w:val="center"/>
          </w:tcPr>
          <w:p w14:paraId="4268BF52">
            <w:pPr>
              <w:keepNext w:val="0"/>
              <w:keepLines w:val="0"/>
              <w:widowControl/>
              <w:suppressLineNumbers w:val="0"/>
              <w:jc w:val="center"/>
              <w:textAlignment w:val="center"/>
              <w:rPr>
                <w:rFonts w:hint="default" w:ascii="Times New Roman" w:hAnsi="Times New Roman" w:eastAsia="宋体" w:cs="Times New Roman"/>
                <w:b/>
                <w:bCs/>
                <w:i w:val="0"/>
                <w:color w:val="0000FF"/>
                <w:sz w:val="20"/>
                <w:szCs w:val="20"/>
                <w:u w:val="none"/>
                <w:lang w:eastAsia="zh-CN"/>
              </w:rPr>
            </w:pPr>
            <w:r>
              <w:rPr>
                <w:rFonts w:hint="default" w:ascii="Times New Roman" w:hAnsi="Times New Roman" w:cs="Times New Roman"/>
                <w:b/>
                <w:bCs/>
                <w:i w:val="0"/>
                <w:color w:val="0000FF"/>
                <w:sz w:val="20"/>
                <w:szCs w:val="20"/>
                <w:u w:val="none"/>
                <w:lang w:eastAsia="zh-CN"/>
              </w:rPr>
              <w:t>预算（元）</w:t>
            </w:r>
          </w:p>
        </w:tc>
      </w:tr>
      <w:tr w14:paraId="60848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8" w:hRule="atLeast"/>
          <w:jc w:val="center"/>
        </w:trPr>
        <w:tc>
          <w:tcPr>
            <w:tcW w:w="701" w:type="dxa"/>
            <w:noWrap w:val="0"/>
            <w:tcMar>
              <w:top w:w="15" w:type="dxa"/>
              <w:left w:w="15" w:type="dxa"/>
              <w:right w:w="15" w:type="dxa"/>
            </w:tcMar>
            <w:vAlign w:val="center"/>
          </w:tcPr>
          <w:p w14:paraId="727225B8">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Fonts w:hint="default" w:ascii="Times New Roman" w:hAnsi="Times New Roman" w:eastAsia="宋体" w:cs="Times New Roman"/>
                <w:i w:val="0"/>
                <w:color w:val="0000FF"/>
                <w:kern w:val="0"/>
                <w:sz w:val="20"/>
                <w:szCs w:val="20"/>
                <w:u w:val="none"/>
                <w:lang w:val="en-US" w:eastAsia="zh-CN" w:bidi="ar"/>
              </w:rPr>
              <w:t>1</w:t>
            </w:r>
          </w:p>
        </w:tc>
        <w:tc>
          <w:tcPr>
            <w:tcW w:w="3384" w:type="dxa"/>
            <w:noWrap w:val="0"/>
            <w:tcMar>
              <w:top w:w="15" w:type="dxa"/>
              <w:left w:w="15" w:type="dxa"/>
              <w:right w:w="15" w:type="dxa"/>
            </w:tcMar>
            <w:vAlign w:val="center"/>
          </w:tcPr>
          <w:p w14:paraId="33A48EAA">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Style w:val="7"/>
                <w:rFonts w:hint="default" w:ascii="Times New Roman" w:hAnsi="Times New Roman" w:cs="Times New Roman"/>
                <w:color w:val="0000FF"/>
                <w:sz w:val="20"/>
                <w:szCs w:val="20"/>
                <w:lang w:val="en-US" w:eastAsia="zh-CN" w:bidi="ar"/>
              </w:rPr>
              <w:t>粮食加工品</w:t>
            </w:r>
          </w:p>
        </w:tc>
        <w:tc>
          <w:tcPr>
            <w:tcW w:w="2005" w:type="dxa"/>
            <w:noWrap w:val="0"/>
            <w:tcMar>
              <w:top w:w="15" w:type="dxa"/>
              <w:left w:w="15" w:type="dxa"/>
              <w:right w:w="15" w:type="dxa"/>
            </w:tcMar>
            <w:vAlign w:val="center"/>
          </w:tcPr>
          <w:p w14:paraId="4DA8BA98">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Fonts w:hint="default" w:ascii="Times New Roman" w:hAnsi="Times New Roman" w:eastAsia="宋体" w:cs="Times New Roman"/>
                <w:i w:val="0"/>
                <w:color w:val="0000FF"/>
                <w:kern w:val="0"/>
                <w:sz w:val="20"/>
                <w:szCs w:val="20"/>
                <w:u w:val="none"/>
                <w:lang w:val="en-US" w:eastAsia="zh-CN" w:bidi="ar"/>
              </w:rPr>
              <w:t>43</w:t>
            </w:r>
          </w:p>
        </w:tc>
        <w:tc>
          <w:tcPr>
            <w:tcW w:w="1890" w:type="dxa"/>
            <w:noWrap w:val="0"/>
            <w:tcMar>
              <w:top w:w="15" w:type="dxa"/>
              <w:left w:w="15" w:type="dxa"/>
              <w:right w:w="15" w:type="dxa"/>
            </w:tcMar>
            <w:vAlign w:val="center"/>
          </w:tcPr>
          <w:p w14:paraId="557D65F9">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Fonts w:hint="default" w:ascii="Times New Roman" w:hAnsi="Times New Roman" w:eastAsia="宋体" w:cs="Times New Roman"/>
                <w:i w:val="0"/>
                <w:color w:val="0000FF"/>
                <w:kern w:val="0"/>
                <w:sz w:val="20"/>
                <w:szCs w:val="20"/>
                <w:u w:val="none"/>
                <w:lang w:val="en-US" w:eastAsia="zh-CN" w:bidi="ar"/>
              </w:rPr>
              <w:t>85915.29</w:t>
            </w:r>
          </w:p>
        </w:tc>
      </w:tr>
      <w:tr w14:paraId="1F774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8" w:hRule="atLeast"/>
          <w:jc w:val="center"/>
        </w:trPr>
        <w:tc>
          <w:tcPr>
            <w:tcW w:w="701" w:type="dxa"/>
            <w:noWrap w:val="0"/>
            <w:tcMar>
              <w:top w:w="15" w:type="dxa"/>
              <w:left w:w="15" w:type="dxa"/>
              <w:right w:w="15" w:type="dxa"/>
            </w:tcMar>
            <w:vAlign w:val="center"/>
          </w:tcPr>
          <w:p w14:paraId="793BBB10">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Fonts w:hint="default" w:ascii="Times New Roman" w:hAnsi="Times New Roman" w:eastAsia="宋体" w:cs="Times New Roman"/>
                <w:i w:val="0"/>
                <w:color w:val="0000FF"/>
                <w:kern w:val="0"/>
                <w:sz w:val="20"/>
                <w:szCs w:val="20"/>
                <w:u w:val="none"/>
                <w:lang w:val="en-US" w:eastAsia="zh-CN" w:bidi="ar"/>
              </w:rPr>
              <w:t>2</w:t>
            </w:r>
          </w:p>
        </w:tc>
        <w:tc>
          <w:tcPr>
            <w:tcW w:w="3384" w:type="dxa"/>
            <w:noWrap w:val="0"/>
            <w:tcMar>
              <w:top w:w="15" w:type="dxa"/>
              <w:left w:w="15" w:type="dxa"/>
              <w:right w:w="15" w:type="dxa"/>
            </w:tcMar>
            <w:vAlign w:val="center"/>
          </w:tcPr>
          <w:p w14:paraId="03089B37">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Style w:val="7"/>
                <w:rFonts w:hint="default" w:ascii="Times New Roman" w:hAnsi="Times New Roman" w:cs="Times New Roman"/>
                <w:color w:val="0000FF"/>
                <w:sz w:val="20"/>
                <w:szCs w:val="20"/>
                <w:lang w:val="en-US" w:eastAsia="zh-CN" w:bidi="ar"/>
              </w:rPr>
              <w:t>食用油、油脂及其制品</w:t>
            </w:r>
          </w:p>
        </w:tc>
        <w:tc>
          <w:tcPr>
            <w:tcW w:w="2005" w:type="dxa"/>
            <w:noWrap w:val="0"/>
            <w:tcMar>
              <w:top w:w="15" w:type="dxa"/>
              <w:left w:w="15" w:type="dxa"/>
              <w:right w:w="15" w:type="dxa"/>
            </w:tcMar>
            <w:vAlign w:val="center"/>
          </w:tcPr>
          <w:p w14:paraId="1C05FFF9">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Fonts w:hint="default" w:ascii="Times New Roman" w:hAnsi="Times New Roman" w:eastAsia="宋体" w:cs="Times New Roman"/>
                <w:i w:val="0"/>
                <w:color w:val="0000FF"/>
                <w:kern w:val="0"/>
                <w:sz w:val="20"/>
                <w:szCs w:val="20"/>
                <w:u w:val="none"/>
                <w:lang w:val="en-US" w:eastAsia="zh-CN" w:bidi="ar"/>
              </w:rPr>
              <w:t>92</w:t>
            </w:r>
          </w:p>
        </w:tc>
        <w:tc>
          <w:tcPr>
            <w:tcW w:w="1890" w:type="dxa"/>
            <w:noWrap w:val="0"/>
            <w:tcMar>
              <w:top w:w="15" w:type="dxa"/>
              <w:left w:w="15" w:type="dxa"/>
              <w:right w:w="15" w:type="dxa"/>
            </w:tcMar>
            <w:vAlign w:val="center"/>
          </w:tcPr>
          <w:p w14:paraId="449FBD79">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Fonts w:hint="default" w:ascii="Times New Roman" w:hAnsi="Times New Roman" w:eastAsia="宋体" w:cs="Times New Roman"/>
                <w:i w:val="0"/>
                <w:color w:val="0000FF"/>
                <w:kern w:val="0"/>
                <w:sz w:val="20"/>
                <w:szCs w:val="20"/>
                <w:u w:val="none"/>
                <w:lang w:val="en-US" w:eastAsia="zh-CN" w:bidi="ar"/>
              </w:rPr>
              <w:t>183818.76</w:t>
            </w:r>
          </w:p>
        </w:tc>
      </w:tr>
      <w:tr w14:paraId="45862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8" w:hRule="atLeast"/>
          <w:jc w:val="center"/>
        </w:trPr>
        <w:tc>
          <w:tcPr>
            <w:tcW w:w="701" w:type="dxa"/>
            <w:noWrap w:val="0"/>
            <w:tcMar>
              <w:top w:w="15" w:type="dxa"/>
              <w:left w:w="15" w:type="dxa"/>
              <w:right w:w="15" w:type="dxa"/>
            </w:tcMar>
            <w:vAlign w:val="center"/>
          </w:tcPr>
          <w:p w14:paraId="07616B8A">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Fonts w:hint="default" w:ascii="Times New Roman" w:hAnsi="Times New Roman" w:eastAsia="宋体" w:cs="Times New Roman"/>
                <w:i w:val="0"/>
                <w:color w:val="0000FF"/>
                <w:kern w:val="0"/>
                <w:sz w:val="20"/>
                <w:szCs w:val="20"/>
                <w:u w:val="none"/>
                <w:lang w:val="en-US" w:eastAsia="zh-CN" w:bidi="ar"/>
              </w:rPr>
              <w:t>3</w:t>
            </w:r>
          </w:p>
        </w:tc>
        <w:tc>
          <w:tcPr>
            <w:tcW w:w="3384" w:type="dxa"/>
            <w:noWrap w:val="0"/>
            <w:tcMar>
              <w:top w:w="15" w:type="dxa"/>
              <w:left w:w="15" w:type="dxa"/>
              <w:right w:w="15" w:type="dxa"/>
            </w:tcMar>
            <w:vAlign w:val="center"/>
          </w:tcPr>
          <w:p w14:paraId="6E813F0D">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Style w:val="7"/>
                <w:rFonts w:hint="default" w:ascii="Times New Roman" w:hAnsi="Times New Roman" w:cs="Times New Roman"/>
                <w:color w:val="0000FF"/>
                <w:sz w:val="20"/>
                <w:szCs w:val="20"/>
                <w:lang w:val="en-US" w:eastAsia="zh-CN" w:bidi="ar"/>
              </w:rPr>
              <w:t>调味品</w:t>
            </w:r>
          </w:p>
        </w:tc>
        <w:tc>
          <w:tcPr>
            <w:tcW w:w="2005" w:type="dxa"/>
            <w:noWrap w:val="0"/>
            <w:tcMar>
              <w:top w:w="15" w:type="dxa"/>
              <w:left w:w="15" w:type="dxa"/>
              <w:right w:w="15" w:type="dxa"/>
            </w:tcMar>
            <w:vAlign w:val="center"/>
          </w:tcPr>
          <w:p w14:paraId="776399C0">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Fonts w:hint="default" w:ascii="Times New Roman" w:hAnsi="Times New Roman" w:eastAsia="宋体" w:cs="Times New Roman"/>
                <w:i w:val="0"/>
                <w:color w:val="0000FF"/>
                <w:kern w:val="0"/>
                <w:sz w:val="20"/>
                <w:szCs w:val="20"/>
                <w:u w:val="none"/>
                <w:lang w:val="en-US" w:eastAsia="zh-CN" w:bidi="ar"/>
              </w:rPr>
              <w:t>24</w:t>
            </w:r>
          </w:p>
        </w:tc>
        <w:tc>
          <w:tcPr>
            <w:tcW w:w="1890" w:type="dxa"/>
            <w:noWrap w:val="0"/>
            <w:tcMar>
              <w:top w:w="15" w:type="dxa"/>
              <w:left w:w="15" w:type="dxa"/>
              <w:right w:w="15" w:type="dxa"/>
            </w:tcMar>
            <w:vAlign w:val="center"/>
          </w:tcPr>
          <w:p w14:paraId="242CFE78">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Fonts w:hint="default" w:ascii="Times New Roman" w:hAnsi="Times New Roman" w:eastAsia="宋体" w:cs="Times New Roman"/>
                <w:i w:val="0"/>
                <w:color w:val="0000FF"/>
                <w:kern w:val="0"/>
                <w:sz w:val="20"/>
                <w:szCs w:val="20"/>
                <w:u w:val="none"/>
                <w:lang w:val="en-US" w:eastAsia="zh-CN" w:bidi="ar"/>
              </w:rPr>
              <w:t>47952.72</w:t>
            </w:r>
          </w:p>
        </w:tc>
      </w:tr>
      <w:tr w14:paraId="4A4FB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8" w:hRule="atLeast"/>
          <w:jc w:val="center"/>
        </w:trPr>
        <w:tc>
          <w:tcPr>
            <w:tcW w:w="701" w:type="dxa"/>
            <w:noWrap w:val="0"/>
            <w:tcMar>
              <w:top w:w="15" w:type="dxa"/>
              <w:left w:w="15" w:type="dxa"/>
              <w:right w:w="15" w:type="dxa"/>
            </w:tcMar>
            <w:vAlign w:val="center"/>
          </w:tcPr>
          <w:p w14:paraId="64EDE726">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Fonts w:hint="default" w:ascii="Times New Roman" w:hAnsi="Times New Roman" w:eastAsia="宋体" w:cs="Times New Roman"/>
                <w:i w:val="0"/>
                <w:color w:val="0000FF"/>
                <w:kern w:val="0"/>
                <w:sz w:val="20"/>
                <w:szCs w:val="20"/>
                <w:u w:val="none"/>
                <w:lang w:val="en-US" w:eastAsia="zh-CN" w:bidi="ar"/>
              </w:rPr>
              <w:t>4</w:t>
            </w:r>
          </w:p>
        </w:tc>
        <w:tc>
          <w:tcPr>
            <w:tcW w:w="3384" w:type="dxa"/>
            <w:noWrap w:val="0"/>
            <w:tcMar>
              <w:top w:w="15" w:type="dxa"/>
              <w:left w:w="15" w:type="dxa"/>
              <w:right w:w="15" w:type="dxa"/>
            </w:tcMar>
            <w:vAlign w:val="center"/>
          </w:tcPr>
          <w:p w14:paraId="33FC1DEA">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Style w:val="7"/>
                <w:rFonts w:hint="default" w:ascii="Times New Roman" w:hAnsi="Times New Roman" w:cs="Times New Roman"/>
                <w:color w:val="0000FF"/>
                <w:sz w:val="20"/>
                <w:szCs w:val="20"/>
                <w:lang w:val="en-US" w:eastAsia="zh-CN" w:bidi="ar"/>
              </w:rPr>
              <w:t>肉制品</w:t>
            </w:r>
          </w:p>
        </w:tc>
        <w:tc>
          <w:tcPr>
            <w:tcW w:w="2005" w:type="dxa"/>
            <w:noWrap w:val="0"/>
            <w:tcMar>
              <w:top w:w="15" w:type="dxa"/>
              <w:left w:w="15" w:type="dxa"/>
              <w:right w:w="15" w:type="dxa"/>
            </w:tcMar>
            <w:vAlign w:val="center"/>
          </w:tcPr>
          <w:p w14:paraId="54108B3F">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Fonts w:hint="default" w:ascii="Times New Roman" w:hAnsi="Times New Roman" w:eastAsia="宋体" w:cs="Times New Roman"/>
                <w:i w:val="0"/>
                <w:color w:val="0000FF"/>
                <w:kern w:val="0"/>
                <w:sz w:val="20"/>
                <w:szCs w:val="20"/>
                <w:u w:val="none"/>
                <w:lang w:val="en-US" w:eastAsia="zh-CN" w:bidi="ar"/>
              </w:rPr>
              <w:t>84</w:t>
            </w:r>
          </w:p>
        </w:tc>
        <w:tc>
          <w:tcPr>
            <w:tcW w:w="1890" w:type="dxa"/>
            <w:noWrap w:val="0"/>
            <w:tcMar>
              <w:top w:w="15" w:type="dxa"/>
              <w:left w:w="15" w:type="dxa"/>
              <w:right w:w="15" w:type="dxa"/>
            </w:tcMar>
            <w:vAlign w:val="center"/>
          </w:tcPr>
          <w:p w14:paraId="6F530719">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Fonts w:hint="default" w:ascii="Times New Roman" w:hAnsi="Times New Roman" w:eastAsia="宋体" w:cs="Times New Roman"/>
                <w:i w:val="0"/>
                <w:color w:val="0000FF"/>
                <w:kern w:val="0"/>
                <w:sz w:val="20"/>
                <w:szCs w:val="20"/>
                <w:u w:val="none"/>
                <w:lang w:val="en-US" w:eastAsia="zh-CN" w:bidi="ar"/>
              </w:rPr>
              <w:t>167834.52</w:t>
            </w:r>
          </w:p>
        </w:tc>
      </w:tr>
      <w:tr w14:paraId="0BE7D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8" w:hRule="atLeast"/>
          <w:jc w:val="center"/>
        </w:trPr>
        <w:tc>
          <w:tcPr>
            <w:tcW w:w="701" w:type="dxa"/>
            <w:noWrap w:val="0"/>
            <w:tcMar>
              <w:top w:w="15" w:type="dxa"/>
              <w:left w:w="15" w:type="dxa"/>
              <w:right w:w="15" w:type="dxa"/>
            </w:tcMar>
            <w:vAlign w:val="center"/>
          </w:tcPr>
          <w:p w14:paraId="6A249BA5">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Fonts w:hint="default" w:ascii="Times New Roman" w:hAnsi="Times New Roman" w:eastAsia="宋体" w:cs="Times New Roman"/>
                <w:i w:val="0"/>
                <w:color w:val="0000FF"/>
                <w:kern w:val="0"/>
                <w:sz w:val="20"/>
                <w:szCs w:val="20"/>
                <w:u w:val="none"/>
                <w:lang w:val="en-US" w:eastAsia="zh-CN" w:bidi="ar"/>
              </w:rPr>
              <w:t>5</w:t>
            </w:r>
          </w:p>
        </w:tc>
        <w:tc>
          <w:tcPr>
            <w:tcW w:w="3384" w:type="dxa"/>
            <w:noWrap w:val="0"/>
            <w:tcMar>
              <w:top w:w="15" w:type="dxa"/>
              <w:left w:w="15" w:type="dxa"/>
              <w:right w:w="15" w:type="dxa"/>
            </w:tcMar>
            <w:vAlign w:val="center"/>
          </w:tcPr>
          <w:p w14:paraId="532FB3F2">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Style w:val="7"/>
                <w:rFonts w:hint="default" w:ascii="Times New Roman" w:hAnsi="Times New Roman" w:cs="Times New Roman"/>
                <w:color w:val="0000FF"/>
                <w:sz w:val="20"/>
                <w:szCs w:val="20"/>
                <w:lang w:val="en-US" w:eastAsia="zh-CN" w:bidi="ar"/>
              </w:rPr>
              <w:t>乳制品</w:t>
            </w:r>
          </w:p>
        </w:tc>
        <w:tc>
          <w:tcPr>
            <w:tcW w:w="2005" w:type="dxa"/>
            <w:noWrap w:val="0"/>
            <w:tcMar>
              <w:top w:w="15" w:type="dxa"/>
              <w:left w:w="15" w:type="dxa"/>
              <w:right w:w="15" w:type="dxa"/>
            </w:tcMar>
            <w:vAlign w:val="center"/>
          </w:tcPr>
          <w:p w14:paraId="19A8FE1A">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Fonts w:hint="default" w:ascii="Times New Roman" w:hAnsi="Times New Roman" w:eastAsia="宋体" w:cs="Times New Roman"/>
                <w:i w:val="0"/>
                <w:color w:val="0000FF"/>
                <w:kern w:val="0"/>
                <w:sz w:val="20"/>
                <w:szCs w:val="20"/>
                <w:u w:val="none"/>
                <w:lang w:val="en-US" w:eastAsia="zh-CN" w:bidi="ar"/>
              </w:rPr>
              <w:t>2</w:t>
            </w:r>
          </w:p>
        </w:tc>
        <w:tc>
          <w:tcPr>
            <w:tcW w:w="1890" w:type="dxa"/>
            <w:noWrap w:val="0"/>
            <w:tcMar>
              <w:top w:w="15" w:type="dxa"/>
              <w:left w:w="15" w:type="dxa"/>
              <w:right w:w="15" w:type="dxa"/>
            </w:tcMar>
            <w:vAlign w:val="center"/>
          </w:tcPr>
          <w:p w14:paraId="75F53C61">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Fonts w:hint="default" w:ascii="Times New Roman" w:hAnsi="Times New Roman" w:eastAsia="宋体" w:cs="Times New Roman"/>
                <w:i w:val="0"/>
                <w:color w:val="0000FF"/>
                <w:kern w:val="0"/>
                <w:sz w:val="20"/>
                <w:szCs w:val="20"/>
                <w:u w:val="none"/>
                <w:lang w:val="en-US" w:eastAsia="zh-CN" w:bidi="ar"/>
              </w:rPr>
              <w:t>3996.06</w:t>
            </w:r>
          </w:p>
        </w:tc>
      </w:tr>
      <w:tr w14:paraId="5B488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8" w:hRule="atLeast"/>
          <w:jc w:val="center"/>
        </w:trPr>
        <w:tc>
          <w:tcPr>
            <w:tcW w:w="701" w:type="dxa"/>
            <w:noWrap w:val="0"/>
            <w:tcMar>
              <w:top w:w="15" w:type="dxa"/>
              <w:left w:w="15" w:type="dxa"/>
              <w:right w:w="15" w:type="dxa"/>
            </w:tcMar>
            <w:vAlign w:val="center"/>
          </w:tcPr>
          <w:p w14:paraId="50224511">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Fonts w:hint="default" w:ascii="Times New Roman" w:hAnsi="Times New Roman" w:eastAsia="宋体" w:cs="Times New Roman"/>
                <w:i w:val="0"/>
                <w:color w:val="0000FF"/>
                <w:kern w:val="0"/>
                <w:sz w:val="20"/>
                <w:szCs w:val="20"/>
                <w:u w:val="none"/>
                <w:lang w:val="en-US" w:eastAsia="zh-CN" w:bidi="ar"/>
              </w:rPr>
              <w:t>6</w:t>
            </w:r>
          </w:p>
        </w:tc>
        <w:tc>
          <w:tcPr>
            <w:tcW w:w="3384" w:type="dxa"/>
            <w:noWrap w:val="0"/>
            <w:tcMar>
              <w:top w:w="15" w:type="dxa"/>
              <w:left w:w="15" w:type="dxa"/>
              <w:right w:w="15" w:type="dxa"/>
            </w:tcMar>
            <w:vAlign w:val="center"/>
          </w:tcPr>
          <w:p w14:paraId="353FF97D">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Style w:val="7"/>
                <w:rFonts w:hint="default" w:ascii="Times New Roman" w:hAnsi="Times New Roman" w:cs="Times New Roman"/>
                <w:color w:val="0000FF"/>
                <w:sz w:val="20"/>
                <w:szCs w:val="20"/>
                <w:lang w:val="en-US" w:eastAsia="zh-CN" w:bidi="ar"/>
              </w:rPr>
              <w:t>饮料</w:t>
            </w:r>
          </w:p>
        </w:tc>
        <w:tc>
          <w:tcPr>
            <w:tcW w:w="2005" w:type="dxa"/>
            <w:noWrap w:val="0"/>
            <w:tcMar>
              <w:top w:w="15" w:type="dxa"/>
              <w:left w:w="15" w:type="dxa"/>
              <w:right w:w="15" w:type="dxa"/>
            </w:tcMar>
            <w:vAlign w:val="center"/>
          </w:tcPr>
          <w:p w14:paraId="7930E5B6">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Fonts w:hint="default" w:ascii="Times New Roman" w:hAnsi="Times New Roman" w:eastAsia="宋体" w:cs="Times New Roman"/>
                <w:i w:val="0"/>
                <w:color w:val="0000FF"/>
                <w:kern w:val="0"/>
                <w:sz w:val="20"/>
                <w:szCs w:val="20"/>
                <w:u w:val="none"/>
                <w:lang w:val="en-US" w:eastAsia="zh-CN" w:bidi="ar"/>
              </w:rPr>
              <w:t>44</w:t>
            </w:r>
          </w:p>
        </w:tc>
        <w:tc>
          <w:tcPr>
            <w:tcW w:w="1890" w:type="dxa"/>
            <w:noWrap w:val="0"/>
            <w:tcMar>
              <w:top w:w="15" w:type="dxa"/>
              <w:left w:w="15" w:type="dxa"/>
              <w:right w:w="15" w:type="dxa"/>
            </w:tcMar>
            <w:vAlign w:val="center"/>
          </w:tcPr>
          <w:p w14:paraId="7453E807">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Fonts w:hint="default" w:ascii="Times New Roman" w:hAnsi="Times New Roman" w:eastAsia="宋体" w:cs="Times New Roman"/>
                <w:i w:val="0"/>
                <w:color w:val="0000FF"/>
                <w:kern w:val="0"/>
                <w:sz w:val="20"/>
                <w:szCs w:val="20"/>
                <w:u w:val="none"/>
                <w:lang w:val="en-US" w:eastAsia="zh-CN" w:bidi="ar"/>
              </w:rPr>
              <w:t>87913.32</w:t>
            </w:r>
          </w:p>
        </w:tc>
      </w:tr>
      <w:tr w14:paraId="632DA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8" w:hRule="atLeast"/>
          <w:jc w:val="center"/>
        </w:trPr>
        <w:tc>
          <w:tcPr>
            <w:tcW w:w="701" w:type="dxa"/>
            <w:noWrap w:val="0"/>
            <w:tcMar>
              <w:top w:w="15" w:type="dxa"/>
              <w:left w:w="15" w:type="dxa"/>
              <w:right w:w="15" w:type="dxa"/>
            </w:tcMar>
            <w:vAlign w:val="center"/>
          </w:tcPr>
          <w:p w14:paraId="59BDE294">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Fonts w:hint="default" w:ascii="Times New Roman" w:hAnsi="Times New Roman" w:eastAsia="宋体" w:cs="Times New Roman"/>
                <w:i w:val="0"/>
                <w:color w:val="0000FF"/>
                <w:kern w:val="0"/>
                <w:sz w:val="20"/>
                <w:szCs w:val="20"/>
                <w:u w:val="none"/>
                <w:lang w:val="en-US" w:eastAsia="zh-CN" w:bidi="ar"/>
              </w:rPr>
              <w:t>7</w:t>
            </w:r>
          </w:p>
        </w:tc>
        <w:tc>
          <w:tcPr>
            <w:tcW w:w="3384" w:type="dxa"/>
            <w:noWrap w:val="0"/>
            <w:tcMar>
              <w:top w:w="15" w:type="dxa"/>
              <w:left w:w="15" w:type="dxa"/>
              <w:right w:w="15" w:type="dxa"/>
            </w:tcMar>
            <w:vAlign w:val="center"/>
          </w:tcPr>
          <w:p w14:paraId="77B63C38">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Style w:val="7"/>
                <w:rFonts w:hint="default" w:ascii="Times New Roman" w:hAnsi="Times New Roman" w:cs="Times New Roman"/>
                <w:color w:val="0000FF"/>
                <w:sz w:val="20"/>
                <w:szCs w:val="20"/>
                <w:lang w:val="en-US" w:eastAsia="zh-CN" w:bidi="ar"/>
              </w:rPr>
              <w:t>方便食品</w:t>
            </w:r>
          </w:p>
        </w:tc>
        <w:tc>
          <w:tcPr>
            <w:tcW w:w="2005" w:type="dxa"/>
            <w:noWrap w:val="0"/>
            <w:tcMar>
              <w:top w:w="15" w:type="dxa"/>
              <w:left w:w="15" w:type="dxa"/>
              <w:right w:w="15" w:type="dxa"/>
            </w:tcMar>
            <w:vAlign w:val="center"/>
          </w:tcPr>
          <w:p w14:paraId="515DED44">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Fonts w:hint="default" w:ascii="Times New Roman" w:hAnsi="Times New Roman" w:eastAsia="宋体" w:cs="Times New Roman"/>
                <w:i w:val="0"/>
                <w:color w:val="0000FF"/>
                <w:kern w:val="0"/>
                <w:sz w:val="20"/>
                <w:szCs w:val="20"/>
                <w:u w:val="none"/>
                <w:lang w:val="en-US" w:eastAsia="zh-CN" w:bidi="ar"/>
              </w:rPr>
              <w:t>7</w:t>
            </w:r>
          </w:p>
        </w:tc>
        <w:tc>
          <w:tcPr>
            <w:tcW w:w="1890" w:type="dxa"/>
            <w:noWrap w:val="0"/>
            <w:tcMar>
              <w:top w:w="15" w:type="dxa"/>
              <w:left w:w="15" w:type="dxa"/>
              <w:right w:w="15" w:type="dxa"/>
            </w:tcMar>
            <w:vAlign w:val="center"/>
          </w:tcPr>
          <w:p w14:paraId="652C76D5">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Fonts w:hint="default" w:ascii="Times New Roman" w:hAnsi="Times New Roman" w:eastAsia="宋体" w:cs="Times New Roman"/>
                <w:i w:val="0"/>
                <w:color w:val="0000FF"/>
                <w:kern w:val="0"/>
                <w:sz w:val="20"/>
                <w:szCs w:val="20"/>
                <w:u w:val="none"/>
                <w:lang w:val="en-US" w:eastAsia="zh-CN" w:bidi="ar"/>
              </w:rPr>
              <w:t>13986.21</w:t>
            </w:r>
          </w:p>
        </w:tc>
      </w:tr>
      <w:tr w14:paraId="18B0F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8" w:hRule="atLeast"/>
          <w:jc w:val="center"/>
        </w:trPr>
        <w:tc>
          <w:tcPr>
            <w:tcW w:w="701" w:type="dxa"/>
            <w:noWrap w:val="0"/>
            <w:tcMar>
              <w:top w:w="15" w:type="dxa"/>
              <w:left w:w="15" w:type="dxa"/>
              <w:right w:w="15" w:type="dxa"/>
            </w:tcMar>
            <w:vAlign w:val="center"/>
          </w:tcPr>
          <w:p w14:paraId="4B5CEB57">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Fonts w:hint="default" w:ascii="Times New Roman" w:hAnsi="Times New Roman" w:eastAsia="宋体" w:cs="Times New Roman"/>
                <w:i w:val="0"/>
                <w:color w:val="0000FF"/>
                <w:kern w:val="0"/>
                <w:sz w:val="20"/>
                <w:szCs w:val="20"/>
                <w:u w:val="none"/>
                <w:lang w:val="en-US" w:eastAsia="zh-CN" w:bidi="ar"/>
              </w:rPr>
              <w:t>8</w:t>
            </w:r>
          </w:p>
        </w:tc>
        <w:tc>
          <w:tcPr>
            <w:tcW w:w="3384" w:type="dxa"/>
            <w:noWrap w:val="0"/>
            <w:tcMar>
              <w:top w:w="15" w:type="dxa"/>
              <w:left w:w="15" w:type="dxa"/>
              <w:right w:w="15" w:type="dxa"/>
            </w:tcMar>
            <w:vAlign w:val="center"/>
          </w:tcPr>
          <w:p w14:paraId="17629071">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Style w:val="7"/>
                <w:rFonts w:hint="default" w:ascii="Times New Roman" w:hAnsi="Times New Roman" w:cs="Times New Roman"/>
                <w:color w:val="0000FF"/>
                <w:sz w:val="20"/>
                <w:szCs w:val="20"/>
                <w:lang w:val="en-US" w:eastAsia="zh-CN" w:bidi="ar"/>
              </w:rPr>
              <w:t>饼干</w:t>
            </w:r>
          </w:p>
        </w:tc>
        <w:tc>
          <w:tcPr>
            <w:tcW w:w="2005" w:type="dxa"/>
            <w:noWrap w:val="0"/>
            <w:tcMar>
              <w:top w:w="15" w:type="dxa"/>
              <w:left w:w="15" w:type="dxa"/>
              <w:right w:w="15" w:type="dxa"/>
            </w:tcMar>
            <w:vAlign w:val="center"/>
          </w:tcPr>
          <w:p w14:paraId="2D25877E">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Fonts w:hint="default" w:ascii="Times New Roman" w:hAnsi="Times New Roman" w:eastAsia="宋体" w:cs="Times New Roman"/>
                <w:i w:val="0"/>
                <w:color w:val="0000FF"/>
                <w:kern w:val="0"/>
                <w:sz w:val="20"/>
                <w:szCs w:val="20"/>
                <w:u w:val="none"/>
                <w:lang w:val="en-US" w:eastAsia="zh-CN" w:bidi="ar"/>
              </w:rPr>
              <w:t>23</w:t>
            </w:r>
          </w:p>
        </w:tc>
        <w:tc>
          <w:tcPr>
            <w:tcW w:w="1890" w:type="dxa"/>
            <w:noWrap w:val="0"/>
            <w:tcMar>
              <w:top w:w="15" w:type="dxa"/>
              <w:left w:w="15" w:type="dxa"/>
              <w:right w:w="15" w:type="dxa"/>
            </w:tcMar>
            <w:vAlign w:val="center"/>
          </w:tcPr>
          <w:p w14:paraId="364823BD">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Fonts w:hint="default" w:ascii="Times New Roman" w:hAnsi="Times New Roman" w:eastAsia="宋体" w:cs="Times New Roman"/>
                <w:i w:val="0"/>
                <w:color w:val="0000FF"/>
                <w:kern w:val="0"/>
                <w:sz w:val="20"/>
                <w:szCs w:val="20"/>
                <w:u w:val="none"/>
                <w:lang w:val="en-US" w:eastAsia="zh-CN" w:bidi="ar"/>
              </w:rPr>
              <w:t>45954.69</w:t>
            </w:r>
          </w:p>
        </w:tc>
      </w:tr>
      <w:tr w14:paraId="7DA3E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8" w:hRule="atLeast"/>
          <w:jc w:val="center"/>
        </w:trPr>
        <w:tc>
          <w:tcPr>
            <w:tcW w:w="701" w:type="dxa"/>
            <w:noWrap w:val="0"/>
            <w:tcMar>
              <w:top w:w="15" w:type="dxa"/>
              <w:left w:w="15" w:type="dxa"/>
              <w:right w:w="15" w:type="dxa"/>
            </w:tcMar>
            <w:vAlign w:val="center"/>
          </w:tcPr>
          <w:p w14:paraId="1075919C">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Fonts w:hint="default" w:ascii="Times New Roman" w:hAnsi="Times New Roman" w:eastAsia="宋体" w:cs="Times New Roman"/>
                <w:i w:val="0"/>
                <w:color w:val="0000FF"/>
                <w:kern w:val="0"/>
                <w:sz w:val="20"/>
                <w:szCs w:val="20"/>
                <w:u w:val="none"/>
                <w:lang w:val="en-US" w:eastAsia="zh-CN" w:bidi="ar"/>
              </w:rPr>
              <w:t>9</w:t>
            </w:r>
          </w:p>
        </w:tc>
        <w:tc>
          <w:tcPr>
            <w:tcW w:w="3384" w:type="dxa"/>
            <w:noWrap w:val="0"/>
            <w:tcMar>
              <w:top w:w="15" w:type="dxa"/>
              <w:left w:w="15" w:type="dxa"/>
              <w:right w:w="15" w:type="dxa"/>
            </w:tcMar>
            <w:vAlign w:val="center"/>
          </w:tcPr>
          <w:p w14:paraId="6C51C730">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Style w:val="7"/>
                <w:rFonts w:hint="default" w:ascii="Times New Roman" w:hAnsi="Times New Roman" w:cs="Times New Roman"/>
                <w:color w:val="0000FF"/>
                <w:sz w:val="20"/>
                <w:szCs w:val="20"/>
                <w:lang w:val="en-US" w:eastAsia="zh-CN" w:bidi="ar"/>
              </w:rPr>
              <w:t>罐头</w:t>
            </w:r>
          </w:p>
        </w:tc>
        <w:tc>
          <w:tcPr>
            <w:tcW w:w="2005" w:type="dxa"/>
            <w:noWrap w:val="0"/>
            <w:tcMar>
              <w:top w:w="15" w:type="dxa"/>
              <w:left w:w="15" w:type="dxa"/>
              <w:right w:w="15" w:type="dxa"/>
            </w:tcMar>
            <w:vAlign w:val="center"/>
          </w:tcPr>
          <w:p w14:paraId="00B95BA4">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Fonts w:hint="default" w:ascii="Times New Roman" w:hAnsi="Times New Roman" w:eastAsia="宋体" w:cs="Times New Roman"/>
                <w:i w:val="0"/>
                <w:color w:val="0000FF"/>
                <w:kern w:val="0"/>
                <w:sz w:val="20"/>
                <w:szCs w:val="20"/>
                <w:u w:val="none"/>
                <w:lang w:val="en-US" w:eastAsia="zh-CN" w:bidi="ar"/>
              </w:rPr>
              <w:t>9</w:t>
            </w:r>
          </w:p>
        </w:tc>
        <w:tc>
          <w:tcPr>
            <w:tcW w:w="1890" w:type="dxa"/>
            <w:noWrap w:val="0"/>
            <w:tcMar>
              <w:top w:w="15" w:type="dxa"/>
              <w:left w:w="15" w:type="dxa"/>
              <w:right w:w="15" w:type="dxa"/>
            </w:tcMar>
            <w:vAlign w:val="center"/>
          </w:tcPr>
          <w:p w14:paraId="18C62941">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Fonts w:hint="default" w:ascii="Times New Roman" w:hAnsi="Times New Roman" w:eastAsia="宋体" w:cs="Times New Roman"/>
                <w:i w:val="0"/>
                <w:color w:val="0000FF"/>
                <w:kern w:val="0"/>
                <w:sz w:val="20"/>
                <w:szCs w:val="20"/>
                <w:u w:val="none"/>
                <w:lang w:val="en-US" w:eastAsia="zh-CN" w:bidi="ar"/>
              </w:rPr>
              <w:t>17982.27</w:t>
            </w:r>
          </w:p>
        </w:tc>
      </w:tr>
      <w:tr w14:paraId="6DAB2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8" w:hRule="atLeast"/>
          <w:jc w:val="center"/>
        </w:trPr>
        <w:tc>
          <w:tcPr>
            <w:tcW w:w="701" w:type="dxa"/>
            <w:noWrap w:val="0"/>
            <w:tcMar>
              <w:top w:w="15" w:type="dxa"/>
              <w:left w:w="15" w:type="dxa"/>
              <w:right w:w="15" w:type="dxa"/>
            </w:tcMar>
            <w:vAlign w:val="center"/>
          </w:tcPr>
          <w:p w14:paraId="7228C699">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Fonts w:hint="default" w:ascii="Times New Roman" w:hAnsi="Times New Roman" w:eastAsia="宋体" w:cs="Times New Roman"/>
                <w:i w:val="0"/>
                <w:color w:val="0000FF"/>
                <w:kern w:val="0"/>
                <w:sz w:val="20"/>
                <w:szCs w:val="20"/>
                <w:u w:val="none"/>
                <w:lang w:val="en-US" w:eastAsia="zh-CN" w:bidi="ar"/>
              </w:rPr>
              <w:t>10</w:t>
            </w:r>
          </w:p>
        </w:tc>
        <w:tc>
          <w:tcPr>
            <w:tcW w:w="3384" w:type="dxa"/>
            <w:noWrap w:val="0"/>
            <w:tcMar>
              <w:top w:w="15" w:type="dxa"/>
              <w:left w:w="15" w:type="dxa"/>
              <w:right w:w="15" w:type="dxa"/>
            </w:tcMar>
            <w:vAlign w:val="center"/>
          </w:tcPr>
          <w:p w14:paraId="37F5F680">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Style w:val="7"/>
                <w:rFonts w:hint="default" w:ascii="Times New Roman" w:hAnsi="Times New Roman" w:cs="Times New Roman"/>
                <w:color w:val="0000FF"/>
                <w:sz w:val="20"/>
                <w:szCs w:val="20"/>
                <w:lang w:val="en-US" w:eastAsia="zh-CN" w:bidi="ar"/>
              </w:rPr>
              <w:t>冷冻饮品</w:t>
            </w:r>
          </w:p>
        </w:tc>
        <w:tc>
          <w:tcPr>
            <w:tcW w:w="2005" w:type="dxa"/>
            <w:noWrap w:val="0"/>
            <w:tcMar>
              <w:top w:w="15" w:type="dxa"/>
              <w:left w:w="15" w:type="dxa"/>
              <w:right w:w="15" w:type="dxa"/>
            </w:tcMar>
            <w:vAlign w:val="center"/>
          </w:tcPr>
          <w:p w14:paraId="701DFB4E">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Fonts w:hint="default" w:ascii="Times New Roman" w:hAnsi="Times New Roman" w:eastAsia="宋体" w:cs="Times New Roman"/>
                <w:i w:val="0"/>
                <w:color w:val="0000FF"/>
                <w:kern w:val="0"/>
                <w:sz w:val="20"/>
                <w:szCs w:val="20"/>
                <w:u w:val="none"/>
                <w:lang w:val="en-US" w:eastAsia="zh-CN" w:bidi="ar"/>
              </w:rPr>
              <w:t>3</w:t>
            </w:r>
          </w:p>
        </w:tc>
        <w:tc>
          <w:tcPr>
            <w:tcW w:w="1890" w:type="dxa"/>
            <w:noWrap w:val="0"/>
            <w:tcMar>
              <w:top w:w="15" w:type="dxa"/>
              <w:left w:w="15" w:type="dxa"/>
              <w:right w:w="15" w:type="dxa"/>
            </w:tcMar>
            <w:vAlign w:val="center"/>
          </w:tcPr>
          <w:p w14:paraId="399A2715">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Fonts w:hint="default" w:ascii="Times New Roman" w:hAnsi="Times New Roman" w:eastAsia="宋体" w:cs="Times New Roman"/>
                <w:i w:val="0"/>
                <w:color w:val="0000FF"/>
                <w:kern w:val="0"/>
                <w:sz w:val="20"/>
                <w:szCs w:val="20"/>
                <w:u w:val="none"/>
                <w:lang w:val="en-US" w:eastAsia="zh-CN" w:bidi="ar"/>
              </w:rPr>
              <w:t>5994.09</w:t>
            </w:r>
          </w:p>
        </w:tc>
      </w:tr>
      <w:tr w14:paraId="361EF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8" w:hRule="atLeast"/>
          <w:jc w:val="center"/>
        </w:trPr>
        <w:tc>
          <w:tcPr>
            <w:tcW w:w="701" w:type="dxa"/>
            <w:noWrap w:val="0"/>
            <w:tcMar>
              <w:top w:w="15" w:type="dxa"/>
              <w:left w:w="15" w:type="dxa"/>
              <w:right w:w="15" w:type="dxa"/>
            </w:tcMar>
            <w:vAlign w:val="center"/>
          </w:tcPr>
          <w:p w14:paraId="47A22936">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Fonts w:hint="default" w:ascii="Times New Roman" w:hAnsi="Times New Roman" w:eastAsia="宋体" w:cs="Times New Roman"/>
                <w:i w:val="0"/>
                <w:color w:val="0000FF"/>
                <w:kern w:val="0"/>
                <w:sz w:val="20"/>
                <w:szCs w:val="20"/>
                <w:u w:val="none"/>
                <w:lang w:val="en-US" w:eastAsia="zh-CN" w:bidi="ar"/>
              </w:rPr>
              <w:t>11</w:t>
            </w:r>
          </w:p>
        </w:tc>
        <w:tc>
          <w:tcPr>
            <w:tcW w:w="3384" w:type="dxa"/>
            <w:noWrap w:val="0"/>
            <w:tcMar>
              <w:top w:w="15" w:type="dxa"/>
              <w:left w:w="15" w:type="dxa"/>
              <w:right w:w="15" w:type="dxa"/>
            </w:tcMar>
            <w:vAlign w:val="center"/>
          </w:tcPr>
          <w:p w14:paraId="4B1654B5">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Style w:val="7"/>
                <w:rFonts w:hint="default" w:ascii="Times New Roman" w:hAnsi="Times New Roman" w:cs="Times New Roman"/>
                <w:color w:val="0000FF"/>
                <w:sz w:val="20"/>
                <w:szCs w:val="20"/>
                <w:lang w:val="en-US" w:eastAsia="zh-CN" w:bidi="ar"/>
              </w:rPr>
              <w:t>速冻食品</w:t>
            </w:r>
          </w:p>
        </w:tc>
        <w:tc>
          <w:tcPr>
            <w:tcW w:w="2005" w:type="dxa"/>
            <w:noWrap w:val="0"/>
            <w:tcMar>
              <w:top w:w="15" w:type="dxa"/>
              <w:left w:w="15" w:type="dxa"/>
              <w:right w:w="15" w:type="dxa"/>
            </w:tcMar>
            <w:vAlign w:val="center"/>
          </w:tcPr>
          <w:p w14:paraId="39EFAF9B">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Fonts w:hint="default" w:ascii="Times New Roman" w:hAnsi="Times New Roman" w:eastAsia="宋体" w:cs="Times New Roman"/>
                <w:i w:val="0"/>
                <w:color w:val="0000FF"/>
                <w:kern w:val="0"/>
                <w:sz w:val="20"/>
                <w:szCs w:val="20"/>
                <w:u w:val="none"/>
                <w:lang w:val="en-US" w:eastAsia="zh-CN" w:bidi="ar"/>
              </w:rPr>
              <w:t>51</w:t>
            </w:r>
          </w:p>
        </w:tc>
        <w:tc>
          <w:tcPr>
            <w:tcW w:w="1890" w:type="dxa"/>
            <w:noWrap w:val="0"/>
            <w:tcMar>
              <w:top w:w="15" w:type="dxa"/>
              <w:left w:w="15" w:type="dxa"/>
              <w:right w:w="15" w:type="dxa"/>
            </w:tcMar>
            <w:vAlign w:val="center"/>
          </w:tcPr>
          <w:p w14:paraId="6BBAD6F3">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Fonts w:hint="default" w:ascii="Times New Roman" w:hAnsi="Times New Roman" w:eastAsia="宋体" w:cs="Times New Roman"/>
                <w:i w:val="0"/>
                <w:color w:val="0000FF"/>
                <w:kern w:val="0"/>
                <w:sz w:val="20"/>
                <w:szCs w:val="20"/>
                <w:u w:val="none"/>
                <w:lang w:val="en-US" w:eastAsia="zh-CN" w:bidi="ar"/>
              </w:rPr>
              <w:t>101899.53</w:t>
            </w:r>
          </w:p>
        </w:tc>
      </w:tr>
      <w:tr w14:paraId="7DC0B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8" w:hRule="atLeast"/>
          <w:jc w:val="center"/>
        </w:trPr>
        <w:tc>
          <w:tcPr>
            <w:tcW w:w="701" w:type="dxa"/>
            <w:noWrap w:val="0"/>
            <w:tcMar>
              <w:top w:w="15" w:type="dxa"/>
              <w:left w:w="15" w:type="dxa"/>
              <w:right w:w="15" w:type="dxa"/>
            </w:tcMar>
            <w:vAlign w:val="center"/>
          </w:tcPr>
          <w:p w14:paraId="4C5D332D">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Fonts w:hint="default" w:ascii="Times New Roman" w:hAnsi="Times New Roman" w:eastAsia="宋体" w:cs="Times New Roman"/>
                <w:i w:val="0"/>
                <w:color w:val="0000FF"/>
                <w:kern w:val="0"/>
                <w:sz w:val="20"/>
                <w:szCs w:val="20"/>
                <w:u w:val="none"/>
                <w:lang w:val="en-US" w:eastAsia="zh-CN" w:bidi="ar"/>
              </w:rPr>
              <w:t>12</w:t>
            </w:r>
          </w:p>
        </w:tc>
        <w:tc>
          <w:tcPr>
            <w:tcW w:w="3384" w:type="dxa"/>
            <w:noWrap w:val="0"/>
            <w:tcMar>
              <w:top w:w="15" w:type="dxa"/>
              <w:left w:w="15" w:type="dxa"/>
              <w:right w:w="15" w:type="dxa"/>
            </w:tcMar>
            <w:vAlign w:val="center"/>
          </w:tcPr>
          <w:p w14:paraId="3F26010F">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Style w:val="7"/>
                <w:rFonts w:hint="default" w:ascii="Times New Roman" w:hAnsi="Times New Roman" w:cs="Times New Roman"/>
                <w:color w:val="0000FF"/>
                <w:sz w:val="20"/>
                <w:szCs w:val="20"/>
                <w:lang w:val="en-US" w:eastAsia="zh-CN" w:bidi="ar"/>
              </w:rPr>
              <w:t>薯类和膨化食品</w:t>
            </w:r>
          </w:p>
        </w:tc>
        <w:tc>
          <w:tcPr>
            <w:tcW w:w="2005" w:type="dxa"/>
            <w:noWrap w:val="0"/>
            <w:tcMar>
              <w:top w:w="15" w:type="dxa"/>
              <w:left w:w="15" w:type="dxa"/>
              <w:right w:w="15" w:type="dxa"/>
            </w:tcMar>
            <w:vAlign w:val="center"/>
          </w:tcPr>
          <w:p w14:paraId="285880F3">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Fonts w:hint="default" w:ascii="Times New Roman" w:hAnsi="Times New Roman" w:eastAsia="宋体" w:cs="Times New Roman"/>
                <w:i w:val="0"/>
                <w:color w:val="0000FF"/>
                <w:kern w:val="0"/>
                <w:sz w:val="20"/>
                <w:szCs w:val="20"/>
                <w:u w:val="none"/>
                <w:lang w:val="en-US" w:eastAsia="zh-CN" w:bidi="ar"/>
              </w:rPr>
              <w:t>12</w:t>
            </w:r>
          </w:p>
        </w:tc>
        <w:tc>
          <w:tcPr>
            <w:tcW w:w="1890" w:type="dxa"/>
            <w:noWrap w:val="0"/>
            <w:tcMar>
              <w:top w:w="15" w:type="dxa"/>
              <w:left w:w="15" w:type="dxa"/>
              <w:right w:w="15" w:type="dxa"/>
            </w:tcMar>
            <w:vAlign w:val="center"/>
          </w:tcPr>
          <w:p w14:paraId="3815493B">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Fonts w:hint="default" w:ascii="Times New Roman" w:hAnsi="Times New Roman" w:eastAsia="宋体" w:cs="Times New Roman"/>
                <w:i w:val="0"/>
                <w:color w:val="0000FF"/>
                <w:kern w:val="0"/>
                <w:sz w:val="20"/>
                <w:szCs w:val="20"/>
                <w:u w:val="none"/>
                <w:lang w:val="en-US" w:eastAsia="zh-CN" w:bidi="ar"/>
              </w:rPr>
              <w:t>23976.36</w:t>
            </w:r>
          </w:p>
        </w:tc>
      </w:tr>
      <w:tr w14:paraId="2EB1A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8" w:hRule="atLeast"/>
          <w:jc w:val="center"/>
        </w:trPr>
        <w:tc>
          <w:tcPr>
            <w:tcW w:w="701" w:type="dxa"/>
            <w:noWrap w:val="0"/>
            <w:tcMar>
              <w:top w:w="15" w:type="dxa"/>
              <w:left w:w="15" w:type="dxa"/>
              <w:right w:w="15" w:type="dxa"/>
            </w:tcMar>
            <w:vAlign w:val="center"/>
          </w:tcPr>
          <w:p w14:paraId="1E5EA769">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Fonts w:hint="default" w:ascii="Times New Roman" w:hAnsi="Times New Roman" w:eastAsia="宋体" w:cs="Times New Roman"/>
                <w:i w:val="0"/>
                <w:color w:val="0000FF"/>
                <w:kern w:val="0"/>
                <w:sz w:val="20"/>
                <w:szCs w:val="20"/>
                <w:u w:val="none"/>
                <w:lang w:val="en-US" w:eastAsia="zh-CN" w:bidi="ar"/>
              </w:rPr>
              <w:t>13</w:t>
            </w:r>
          </w:p>
        </w:tc>
        <w:tc>
          <w:tcPr>
            <w:tcW w:w="3384" w:type="dxa"/>
            <w:noWrap w:val="0"/>
            <w:tcMar>
              <w:top w:w="15" w:type="dxa"/>
              <w:left w:w="15" w:type="dxa"/>
              <w:right w:w="15" w:type="dxa"/>
            </w:tcMar>
            <w:vAlign w:val="center"/>
          </w:tcPr>
          <w:p w14:paraId="76C110EF">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Style w:val="7"/>
                <w:rFonts w:hint="default" w:ascii="Times New Roman" w:hAnsi="Times New Roman" w:cs="Times New Roman"/>
                <w:color w:val="0000FF"/>
                <w:sz w:val="20"/>
                <w:szCs w:val="20"/>
                <w:lang w:val="en-US" w:eastAsia="zh-CN" w:bidi="ar"/>
              </w:rPr>
              <w:t>糖果制品</w:t>
            </w:r>
          </w:p>
        </w:tc>
        <w:tc>
          <w:tcPr>
            <w:tcW w:w="2005" w:type="dxa"/>
            <w:noWrap w:val="0"/>
            <w:tcMar>
              <w:top w:w="15" w:type="dxa"/>
              <w:left w:w="15" w:type="dxa"/>
              <w:right w:w="15" w:type="dxa"/>
            </w:tcMar>
            <w:vAlign w:val="center"/>
          </w:tcPr>
          <w:p w14:paraId="44C7AA5E">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Fonts w:hint="default" w:ascii="Times New Roman" w:hAnsi="Times New Roman" w:eastAsia="宋体" w:cs="Times New Roman"/>
                <w:i w:val="0"/>
                <w:color w:val="0000FF"/>
                <w:kern w:val="0"/>
                <w:sz w:val="20"/>
                <w:szCs w:val="20"/>
                <w:u w:val="none"/>
                <w:lang w:val="en-US" w:eastAsia="zh-CN" w:bidi="ar"/>
              </w:rPr>
              <w:t>34</w:t>
            </w:r>
          </w:p>
        </w:tc>
        <w:tc>
          <w:tcPr>
            <w:tcW w:w="1890" w:type="dxa"/>
            <w:noWrap w:val="0"/>
            <w:tcMar>
              <w:top w:w="15" w:type="dxa"/>
              <w:left w:w="15" w:type="dxa"/>
              <w:right w:w="15" w:type="dxa"/>
            </w:tcMar>
            <w:vAlign w:val="center"/>
          </w:tcPr>
          <w:p w14:paraId="01B8E6B8">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Fonts w:hint="default" w:ascii="Times New Roman" w:hAnsi="Times New Roman" w:eastAsia="宋体" w:cs="Times New Roman"/>
                <w:i w:val="0"/>
                <w:color w:val="0000FF"/>
                <w:kern w:val="0"/>
                <w:sz w:val="20"/>
                <w:szCs w:val="20"/>
                <w:u w:val="none"/>
                <w:lang w:val="en-US" w:eastAsia="zh-CN" w:bidi="ar"/>
              </w:rPr>
              <w:t>67933.02</w:t>
            </w:r>
          </w:p>
        </w:tc>
      </w:tr>
      <w:tr w14:paraId="65E43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8" w:hRule="atLeast"/>
          <w:jc w:val="center"/>
        </w:trPr>
        <w:tc>
          <w:tcPr>
            <w:tcW w:w="701" w:type="dxa"/>
            <w:noWrap w:val="0"/>
            <w:tcMar>
              <w:top w:w="15" w:type="dxa"/>
              <w:left w:w="15" w:type="dxa"/>
              <w:right w:w="15" w:type="dxa"/>
            </w:tcMar>
            <w:vAlign w:val="center"/>
          </w:tcPr>
          <w:p w14:paraId="15470B91">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Fonts w:hint="default" w:ascii="Times New Roman" w:hAnsi="Times New Roman" w:eastAsia="宋体" w:cs="Times New Roman"/>
                <w:i w:val="0"/>
                <w:color w:val="0000FF"/>
                <w:kern w:val="0"/>
                <w:sz w:val="20"/>
                <w:szCs w:val="20"/>
                <w:u w:val="none"/>
                <w:lang w:val="en-US" w:eastAsia="zh-CN" w:bidi="ar"/>
              </w:rPr>
              <w:t>14</w:t>
            </w:r>
          </w:p>
        </w:tc>
        <w:tc>
          <w:tcPr>
            <w:tcW w:w="3384" w:type="dxa"/>
            <w:noWrap w:val="0"/>
            <w:tcMar>
              <w:top w:w="15" w:type="dxa"/>
              <w:left w:w="15" w:type="dxa"/>
              <w:right w:w="15" w:type="dxa"/>
            </w:tcMar>
            <w:vAlign w:val="center"/>
          </w:tcPr>
          <w:p w14:paraId="5C4914BB">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Style w:val="7"/>
                <w:rFonts w:hint="default" w:ascii="Times New Roman" w:hAnsi="Times New Roman" w:cs="Times New Roman"/>
                <w:color w:val="0000FF"/>
                <w:sz w:val="20"/>
                <w:szCs w:val="20"/>
                <w:lang w:val="en-US" w:eastAsia="zh-CN" w:bidi="ar"/>
              </w:rPr>
              <w:t>茶叶及相关制品</w:t>
            </w:r>
          </w:p>
        </w:tc>
        <w:tc>
          <w:tcPr>
            <w:tcW w:w="2005" w:type="dxa"/>
            <w:noWrap w:val="0"/>
            <w:tcMar>
              <w:top w:w="15" w:type="dxa"/>
              <w:left w:w="15" w:type="dxa"/>
              <w:right w:w="15" w:type="dxa"/>
            </w:tcMar>
            <w:vAlign w:val="center"/>
          </w:tcPr>
          <w:p w14:paraId="787F133D">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Fonts w:hint="default" w:ascii="Times New Roman" w:hAnsi="Times New Roman" w:eastAsia="宋体" w:cs="Times New Roman"/>
                <w:i w:val="0"/>
                <w:color w:val="0000FF"/>
                <w:kern w:val="0"/>
                <w:sz w:val="20"/>
                <w:szCs w:val="20"/>
                <w:u w:val="none"/>
                <w:lang w:val="en-US" w:eastAsia="zh-CN" w:bidi="ar"/>
              </w:rPr>
              <w:t>16</w:t>
            </w:r>
          </w:p>
        </w:tc>
        <w:tc>
          <w:tcPr>
            <w:tcW w:w="1890" w:type="dxa"/>
            <w:noWrap w:val="0"/>
            <w:tcMar>
              <w:top w:w="15" w:type="dxa"/>
              <w:left w:w="15" w:type="dxa"/>
              <w:right w:w="15" w:type="dxa"/>
            </w:tcMar>
            <w:vAlign w:val="center"/>
          </w:tcPr>
          <w:p w14:paraId="221ED04D">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Fonts w:hint="default" w:ascii="Times New Roman" w:hAnsi="Times New Roman" w:eastAsia="宋体" w:cs="Times New Roman"/>
                <w:i w:val="0"/>
                <w:color w:val="0000FF"/>
                <w:kern w:val="0"/>
                <w:sz w:val="20"/>
                <w:szCs w:val="20"/>
                <w:u w:val="none"/>
                <w:lang w:val="en-US" w:eastAsia="zh-CN" w:bidi="ar"/>
              </w:rPr>
              <w:t>31968.48</w:t>
            </w:r>
          </w:p>
        </w:tc>
      </w:tr>
      <w:tr w14:paraId="27167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8" w:hRule="atLeast"/>
          <w:jc w:val="center"/>
        </w:trPr>
        <w:tc>
          <w:tcPr>
            <w:tcW w:w="701" w:type="dxa"/>
            <w:noWrap w:val="0"/>
            <w:tcMar>
              <w:top w:w="15" w:type="dxa"/>
              <w:left w:w="15" w:type="dxa"/>
              <w:right w:w="15" w:type="dxa"/>
            </w:tcMar>
            <w:vAlign w:val="center"/>
          </w:tcPr>
          <w:p w14:paraId="218737A3">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Fonts w:hint="default" w:ascii="Times New Roman" w:hAnsi="Times New Roman" w:eastAsia="宋体" w:cs="Times New Roman"/>
                <w:i w:val="0"/>
                <w:color w:val="0000FF"/>
                <w:kern w:val="0"/>
                <w:sz w:val="20"/>
                <w:szCs w:val="20"/>
                <w:u w:val="none"/>
                <w:lang w:val="en-US" w:eastAsia="zh-CN" w:bidi="ar"/>
              </w:rPr>
              <w:t>15</w:t>
            </w:r>
          </w:p>
        </w:tc>
        <w:tc>
          <w:tcPr>
            <w:tcW w:w="3384" w:type="dxa"/>
            <w:noWrap w:val="0"/>
            <w:tcMar>
              <w:top w:w="15" w:type="dxa"/>
              <w:left w:w="15" w:type="dxa"/>
              <w:right w:w="15" w:type="dxa"/>
            </w:tcMar>
            <w:vAlign w:val="center"/>
          </w:tcPr>
          <w:p w14:paraId="69772ED3">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Style w:val="7"/>
                <w:rFonts w:hint="default" w:ascii="Times New Roman" w:hAnsi="Times New Roman" w:cs="Times New Roman"/>
                <w:color w:val="0000FF"/>
                <w:sz w:val="20"/>
                <w:szCs w:val="20"/>
                <w:lang w:val="en-US" w:eastAsia="zh-CN" w:bidi="ar"/>
              </w:rPr>
              <w:t>酒类</w:t>
            </w:r>
          </w:p>
        </w:tc>
        <w:tc>
          <w:tcPr>
            <w:tcW w:w="2005" w:type="dxa"/>
            <w:noWrap w:val="0"/>
            <w:tcMar>
              <w:top w:w="15" w:type="dxa"/>
              <w:left w:w="15" w:type="dxa"/>
              <w:right w:w="15" w:type="dxa"/>
            </w:tcMar>
            <w:vAlign w:val="center"/>
          </w:tcPr>
          <w:p w14:paraId="6BF3AEC7">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Fonts w:hint="default" w:ascii="Times New Roman" w:hAnsi="Times New Roman" w:eastAsia="宋体" w:cs="Times New Roman"/>
                <w:i w:val="0"/>
                <w:color w:val="0000FF"/>
                <w:kern w:val="0"/>
                <w:sz w:val="20"/>
                <w:szCs w:val="20"/>
                <w:u w:val="none"/>
                <w:lang w:val="en-US" w:eastAsia="zh-CN" w:bidi="ar"/>
              </w:rPr>
              <w:t>32</w:t>
            </w:r>
          </w:p>
        </w:tc>
        <w:tc>
          <w:tcPr>
            <w:tcW w:w="1890" w:type="dxa"/>
            <w:noWrap w:val="0"/>
            <w:tcMar>
              <w:top w:w="15" w:type="dxa"/>
              <w:left w:w="15" w:type="dxa"/>
              <w:right w:w="15" w:type="dxa"/>
            </w:tcMar>
            <w:vAlign w:val="center"/>
          </w:tcPr>
          <w:p w14:paraId="2E596EBC">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Fonts w:hint="default" w:ascii="Times New Roman" w:hAnsi="Times New Roman" w:eastAsia="宋体" w:cs="Times New Roman"/>
                <w:i w:val="0"/>
                <w:color w:val="0000FF"/>
                <w:kern w:val="0"/>
                <w:sz w:val="20"/>
                <w:szCs w:val="20"/>
                <w:u w:val="none"/>
                <w:lang w:val="en-US" w:eastAsia="zh-CN" w:bidi="ar"/>
              </w:rPr>
              <w:t>63936.96</w:t>
            </w:r>
          </w:p>
        </w:tc>
      </w:tr>
      <w:tr w14:paraId="31000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8" w:hRule="atLeast"/>
          <w:jc w:val="center"/>
        </w:trPr>
        <w:tc>
          <w:tcPr>
            <w:tcW w:w="701" w:type="dxa"/>
            <w:noWrap w:val="0"/>
            <w:tcMar>
              <w:top w:w="15" w:type="dxa"/>
              <w:left w:w="15" w:type="dxa"/>
              <w:right w:w="15" w:type="dxa"/>
            </w:tcMar>
            <w:vAlign w:val="center"/>
          </w:tcPr>
          <w:p w14:paraId="475C2DE6">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Fonts w:hint="default" w:ascii="Times New Roman" w:hAnsi="Times New Roman" w:eastAsia="宋体" w:cs="Times New Roman"/>
                <w:i w:val="0"/>
                <w:color w:val="0000FF"/>
                <w:kern w:val="0"/>
                <w:sz w:val="20"/>
                <w:szCs w:val="20"/>
                <w:u w:val="none"/>
                <w:lang w:val="en-US" w:eastAsia="zh-CN" w:bidi="ar"/>
              </w:rPr>
              <w:t>16</w:t>
            </w:r>
          </w:p>
        </w:tc>
        <w:tc>
          <w:tcPr>
            <w:tcW w:w="3384" w:type="dxa"/>
            <w:noWrap w:val="0"/>
            <w:tcMar>
              <w:top w:w="15" w:type="dxa"/>
              <w:left w:w="15" w:type="dxa"/>
              <w:right w:w="15" w:type="dxa"/>
            </w:tcMar>
            <w:vAlign w:val="center"/>
          </w:tcPr>
          <w:p w14:paraId="4FE2C2F6">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Style w:val="7"/>
                <w:rFonts w:hint="default" w:ascii="Times New Roman" w:hAnsi="Times New Roman" w:cs="Times New Roman"/>
                <w:color w:val="0000FF"/>
                <w:sz w:val="20"/>
                <w:szCs w:val="20"/>
                <w:lang w:val="en-US" w:eastAsia="zh-CN" w:bidi="ar"/>
              </w:rPr>
              <w:t>蔬菜制品</w:t>
            </w:r>
          </w:p>
        </w:tc>
        <w:tc>
          <w:tcPr>
            <w:tcW w:w="2005" w:type="dxa"/>
            <w:noWrap w:val="0"/>
            <w:tcMar>
              <w:top w:w="15" w:type="dxa"/>
              <w:left w:w="15" w:type="dxa"/>
              <w:right w:w="15" w:type="dxa"/>
            </w:tcMar>
            <w:vAlign w:val="center"/>
          </w:tcPr>
          <w:p w14:paraId="3985FA31">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Fonts w:hint="default" w:ascii="Times New Roman" w:hAnsi="Times New Roman" w:eastAsia="宋体" w:cs="Times New Roman"/>
                <w:i w:val="0"/>
                <w:color w:val="0000FF"/>
                <w:kern w:val="0"/>
                <w:sz w:val="20"/>
                <w:szCs w:val="20"/>
                <w:u w:val="none"/>
                <w:lang w:val="en-US" w:eastAsia="zh-CN" w:bidi="ar"/>
              </w:rPr>
              <w:t>24</w:t>
            </w:r>
          </w:p>
        </w:tc>
        <w:tc>
          <w:tcPr>
            <w:tcW w:w="1890" w:type="dxa"/>
            <w:noWrap w:val="0"/>
            <w:tcMar>
              <w:top w:w="15" w:type="dxa"/>
              <w:left w:w="15" w:type="dxa"/>
              <w:right w:w="15" w:type="dxa"/>
            </w:tcMar>
            <w:vAlign w:val="center"/>
          </w:tcPr>
          <w:p w14:paraId="5C4E9F60">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Fonts w:hint="default" w:ascii="Times New Roman" w:hAnsi="Times New Roman" w:eastAsia="宋体" w:cs="Times New Roman"/>
                <w:i w:val="0"/>
                <w:color w:val="0000FF"/>
                <w:kern w:val="0"/>
                <w:sz w:val="20"/>
                <w:szCs w:val="20"/>
                <w:u w:val="none"/>
                <w:lang w:val="en-US" w:eastAsia="zh-CN" w:bidi="ar"/>
              </w:rPr>
              <w:t>47952.72</w:t>
            </w:r>
          </w:p>
        </w:tc>
      </w:tr>
      <w:tr w14:paraId="287F3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8" w:hRule="atLeast"/>
          <w:jc w:val="center"/>
        </w:trPr>
        <w:tc>
          <w:tcPr>
            <w:tcW w:w="701" w:type="dxa"/>
            <w:noWrap w:val="0"/>
            <w:tcMar>
              <w:top w:w="15" w:type="dxa"/>
              <w:left w:w="15" w:type="dxa"/>
              <w:right w:w="15" w:type="dxa"/>
            </w:tcMar>
            <w:vAlign w:val="center"/>
          </w:tcPr>
          <w:p w14:paraId="440B29CF">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Fonts w:hint="default" w:ascii="Times New Roman" w:hAnsi="Times New Roman" w:eastAsia="宋体" w:cs="Times New Roman"/>
                <w:i w:val="0"/>
                <w:color w:val="0000FF"/>
                <w:kern w:val="0"/>
                <w:sz w:val="20"/>
                <w:szCs w:val="20"/>
                <w:u w:val="none"/>
                <w:lang w:val="en-US" w:eastAsia="zh-CN" w:bidi="ar"/>
              </w:rPr>
              <w:t>17</w:t>
            </w:r>
          </w:p>
        </w:tc>
        <w:tc>
          <w:tcPr>
            <w:tcW w:w="3384" w:type="dxa"/>
            <w:noWrap w:val="0"/>
            <w:tcMar>
              <w:top w:w="15" w:type="dxa"/>
              <w:left w:w="15" w:type="dxa"/>
              <w:right w:w="15" w:type="dxa"/>
            </w:tcMar>
            <w:vAlign w:val="center"/>
          </w:tcPr>
          <w:p w14:paraId="788AA086">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Style w:val="7"/>
                <w:rFonts w:hint="default" w:ascii="Times New Roman" w:hAnsi="Times New Roman" w:cs="Times New Roman"/>
                <w:color w:val="0000FF"/>
                <w:sz w:val="20"/>
                <w:szCs w:val="20"/>
                <w:lang w:val="en-US" w:eastAsia="zh-CN" w:bidi="ar"/>
              </w:rPr>
              <w:t>水果制品</w:t>
            </w:r>
          </w:p>
        </w:tc>
        <w:tc>
          <w:tcPr>
            <w:tcW w:w="2005" w:type="dxa"/>
            <w:noWrap w:val="0"/>
            <w:tcMar>
              <w:top w:w="15" w:type="dxa"/>
              <w:left w:w="15" w:type="dxa"/>
              <w:right w:w="15" w:type="dxa"/>
            </w:tcMar>
            <w:vAlign w:val="center"/>
          </w:tcPr>
          <w:p w14:paraId="3EBED014">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Fonts w:hint="default" w:ascii="Times New Roman" w:hAnsi="Times New Roman" w:eastAsia="宋体" w:cs="Times New Roman"/>
                <w:i w:val="0"/>
                <w:color w:val="0000FF"/>
                <w:kern w:val="0"/>
                <w:sz w:val="20"/>
                <w:szCs w:val="20"/>
                <w:u w:val="none"/>
                <w:lang w:val="en-US" w:eastAsia="zh-CN" w:bidi="ar"/>
              </w:rPr>
              <w:t>39</w:t>
            </w:r>
          </w:p>
        </w:tc>
        <w:tc>
          <w:tcPr>
            <w:tcW w:w="1890" w:type="dxa"/>
            <w:noWrap w:val="0"/>
            <w:tcMar>
              <w:top w:w="15" w:type="dxa"/>
              <w:left w:w="15" w:type="dxa"/>
              <w:right w:w="15" w:type="dxa"/>
            </w:tcMar>
            <w:vAlign w:val="center"/>
          </w:tcPr>
          <w:p w14:paraId="2573B6BC">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Fonts w:hint="default" w:ascii="Times New Roman" w:hAnsi="Times New Roman" w:eastAsia="宋体" w:cs="Times New Roman"/>
                <w:i w:val="0"/>
                <w:color w:val="0000FF"/>
                <w:kern w:val="0"/>
                <w:sz w:val="20"/>
                <w:szCs w:val="20"/>
                <w:u w:val="none"/>
                <w:lang w:val="en-US" w:eastAsia="zh-CN" w:bidi="ar"/>
              </w:rPr>
              <w:t>77923.17</w:t>
            </w:r>
          </w:p>
        </w:tc>
      </w:tr>
      <w:tr w14:paraId="21D26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8" w:hRule="atLeast"/>
          <w:jc w:val="center"/>
        </w:trPr>
        <w:tc>
          <w:tcPr>
            <w:tcW w:w="701" w:type="dxa"/>
            <w:noWrap w:val="0"/>
            <w:tcMar>
              <w:top w:w="15" w:type="dxa"/>
              <w:left w:w="15" w:type="dxa"/>
              <w:right w:w="15" w:type="dxa"/>
            </w:tcMar>
            <w:vAlign w:val="center"/>
          </w:tcPr>
          <w:p w14:paraId="787F1740">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Fonts w:hint="default" w:ascii="Times New Roman" w:hAnsi="Times New Roman" w:eastAsia="宋体" w:cs="Times New Roman"/>
                <w:i w:val="0"/>
                <w:color w:val="0000FF"/>
                <w:kern w:val="0"/>
                <w:sz w:val="20"/>
                <w:szCs w:val="20"/>
                <w:u w:val="none"/>
                <w:lang w:val="en-US" w:eastAsia="zh-CN" w:bidi="ar"/>
              </w:rPr>
              <w:t>18</w:t>
            </w:r>
          </w:p>
        </w:tc>
        <w:tc>
          <w:tcPr>
            <w:tcW w:w="3384" w:type="dxa"/>
            <w:noWrap w:val="0"/>
            <w:tcMar>
              <w:top w:w="15" w:type="dxa"/>
              <w:left w:w="15" w:type="dxa"/>
              <w:right w:w="15" w:type="dxa"/>
            </w:tcMar>
            <w:vAlign w:val="center"/>
          </w:tcPr>
          <w:p w14:paraId="475EEDDB">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Style w:val="7"/>
                <w:rFonts w:hint="default" w:ascii="Times New Roman" w:hAnsi="Times New Roman" w:cs="Times New Roman"/>
                <w:color w:val="0000FF"/>
                <w:sz w:val="20"/>
                <w:szCs w:val="20"/>
                <w:lang w:val="en-US" w:eastAsia="zh-CN" w:bidi="ar"/>
              </w:rPr>
              <w:t>炒货食品及坚果制品</w:t>
            </w:r>
          </w:p>
        </w:tc>
        <w:tc>
          <w:tcPr>
            <w:tcW w:w="2005" w:type="dxa"/>
            <w:noWrap w:val="0"/>
            <w:tcMar>
              <w:top w:w="15" w:type="dxa"/>
              <w:left w:w="15" w:type="dxa"/>
              <w:right w:w="15" w:type="dxa"/>
            </w:tcMar>
            <w:vAlign w:val="center"/>
          </w:tcPr>
          <w:p w14:paraId="50AA0F33">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Fonts w:hint="default" w:ascii="Times New Roman" w:hAnsi="Times New Roman" w:eastAsia="宋体" w:cs="Times New Roman"/>
                <w:i w:val="0"/>
                <w:color w:val="0000FF"/>
                <w:kern w:val="0"/>
                <w:sz w:val="20"/>
                <w:szCs w:val="20"/>
                <w:u w:val="none"/>
                <w:lang w:val="en-US" w:eastAsia="zh-CN" w:bidi="ar"/>
              </w:rPr>
              <w:t>10</w:t>
            </w:r>
          </w:p>
        </w:tc>
        <w:tc>
          <w:tcPr>
            <w:tcW w:w="1890" w:type="dxa"/>
            <w:noWrap w:val="0"/>
            <w:tcMar>
              <w:top w:w="15" w:type="dxa"/>
              <w:left w:w="15" w:type="dxa"/>
              <w:right w:w="15" w:type="dxa"/>
            </w:tcMar>
            <w:vAlign w:val="center"/>
          </w:tcPr>
          <w:p w14:paraId="58921247">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Fonts w:hint="default" w:ascii="Times New Roman" w:hAnsi="Times New Roman" w:eastAsia="宋体" w:cs="Times New Roman"/>
                <w:i w:val="0"/>
                <w:color w:val="0000FF"/>
                <w:kern w:val="0"/>
                <w:sz w:val="20"/>
                <w:szCs w:val="20"/>
                <w:u w:val="none"/>
                <w:lang w:val="en-US" w:eastAsia="zh-CN" w:bidi="ar"/>
              </w:rPr>
              <w:t>19980.3</w:t>
            </w:r>
          </w:p>
        </w:tc>
      </w:tr>
      <w:tr w14:paraId="656B6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8" w:hRule="atLeast"/>
          <w:jc w:val="center"/>
        </w:trPr>
        <w:tc>
          <w:tcPr>
            <w:tcW w:w="701" w:type="dxa"/>
            <w:noWrap w:val="0"/>
            <w:tcMar>
              <w:top w:w="15" w:type="dxa"/>
              <w:left w:w="15" w:type="dxa"/>
              <w:right w:w="15" w:type="dxa"/>
            </w:tcMar>
            <w:vAlign w:val="center"/>
          </w:tcPr>
          <w:p w14:paraId="2B46C034">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Fonts w:hint="default" w:ascii="Times New Roman" w:hAnsi="Times New Roman" w:eastAsia="宋体" w:cs="Times New Roman"/>
                <w:i w:val="0"/>
                <w:color w:val="0000FF"/>
                <w:kern w:val="0"/>
                <w:sz w:val="20"/>
                <w:szCs w:val="20"/>
                <w:u w:val="none"/>
                <w:lang w:val="en-US" w:eastAsia="zh-CN" w:bidi="ar"/>
              </w:rPr>
              <w:t>19</w:t>
            </w:r>
          </w:p>
        </w:tc>
        <w:tc>
          <w:tcPr>
            <w:tcW w:w="3384" w:type="dxa"/>
            <w:noWrap w:val="0"/>
            <w:tcMar>
              <w:top w:w="15" w:type="dxa"/>
              <w:left w:w="15" w:type="dxa"/>
              <w:right w:w="15" w:type="dxa"/>
            </w:tcMar>
            <w:vAlign w:val="center"/>
          </w:tcPr>
          <w:p w14:paraId="0A53FEEE">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Style w:val="7"/>
                <w:rFonts w:hint="default" w:ascii="Times New Roman" w:hAnsi="Times New Roman" w:cs="Times New Roman"/>
                <w:color w:val="0000FF"/>
                <w:sz w:val="20"/>
                <w:szCs w:val="20"/>
                <w:lang w:val="en-US" w:eastAsia="zh-CN" w:bidi="ar"/>
              </w:rPr>
              <w:t>蛋制品</w:t>
            </w:r>
          </w:p>
        </w:tc>
        <w:tc>
          <w:tcPr>
            <w:tcW w:w="2005" w:type="dxa"/>
            <w:noWrap w:val="0"/>
            <w:tcMar>
              <w:top w:w="15" w:type="dxa"/>
              <w:left w:w="15" w:type="dxa"/>
              <w:right w:w="15" w:type="dxa"/>
            </w:tcMar>
            <w:vAlign w:val="center"/>
          </w:tcPr>
          <w:p w14:paraId="06EED363">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Fonts w:hint="default" w:ascii="Times New Roman" w:hAnsi="Times New Roman" w:eastAsia="宋体" w:cs="Times New Roman"/>
                <w:i w:val="0"/>
                <w:color w:val="0000FF"/>
                <w:kern w:val="0"/>
                <w:sz w:val="20"/>
                <w:szCs w:val="20"/>
                <w:u w:val="none"/>
                <w:lang w:val="en-US" w:eastAsia="zh-CN" w:bidi="ar"/>
              </w:rPr>
              <w:t>5</w:t>
            </w:r>
          </w:p>
        </w:tc>
        <w:tc>
          <w:tcPr>
            <w:tcW w:w="1890" w:type="dxa"/>
            <w:noWrap w:val="0"/>
            <w:tcMar>
              <w:top w:w="15" w:type="dxa"/>
              <w:left w:w="15" w:type="dxa"/>
              <w:right w:w="15" w:type="dxa"/>
            </w:tcMar>
            <w:vAlign w:val="center"/>
          </w:tcPr>
          <w:p w14:paraId="4E81593F">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Fonts w:hint="default" w:ascii="Times New Roman" w:hAnsi="Times New Roman" w:eastAsia="宋体" w:cs="Times New Roman"/>
                <w:i w:val="0"/>
                <w:color w:val="0000FF"/>
                <w:kern w:val="0"/>
                <w:sz w:val="20"/>
                <w:szCs w:val="20"/>
                <w:u w:val="none"/>
                <w:lang w:val="en-US" w:eastAsia="zh-CN" w:bidi="ar"/>
              </w:rPr>
              <w:t>9990.15</w:t>
            </w:r>
          </w:p>
        </w:tc>
      </w:tr>
      <w:tr w14:paraId="09FE0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8" w:hRule="atLeast"/>
          <w:jc w:val="center"/>
        </w:trPr>
        <w:tc>
          <w:tcPr>
            <w:tcW w:w="701" w:type="dxa"/>
            <w:noWrap w:val="0"/>
            <w:tcMar>
              <w:top w:w="15" w:type="dxa"/>
              <w:left w:w="15" w:type="dxa"/>
              <w:right w:w="15" w:type="dxa"/>
            </w:tcMar>
            <w:vAlign w:val="center"/>
          </w:tcPr>
          <w:p w14:paraId="56BF6E23">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Fonts w:hint="default" w:ascii="Times New Roman" w:hAnsi="Times New Roman" w:eastAsia="宋体" w:cs="Times New Roman"/>
                <w:i w:val="0"/>
                <w:color w:val="0000FF"/>
                <w:kern w:val="0"/>
                <w:sz w:val="20"/>
                <w:szCs w:val="20"/>
                <w:u w:val="none"/>
                <w:lang w:val="en-US" w:eastAsia="zh-CN" w:bidi="ar"/>
              </w:rPr>
              <w:t>20</w:t>
            </w:r>
          </w:p>
        </w:tc>
        <w:tc>
          <w:tcPr>
            <w:tcW w:w="3384" w:type="dxa"/>
            <w:noWrap w:val="0"/>
            <w:tcMar>
              <w:top w:w="15" w:type="dxa"/>
              <w:left w:w="15" w:type="dxa"/>
              <w:right w:w="15" w:type="dxa"/>
            </w:tcMar>
            <w:vAlign w:val="center"/>
          </w:tcPr>
          <w:p w14:paraId="2DF255CF">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Style w:val="7"/>
                <w:rFonts w:hint="default" w:ascii="Times New Roman" w:hAnsi="Times New Roman" w:cs="Times New Roman"/>
                <w:color w:val="0000FF"/>
                <w:sz w:val="20"/>
                <w:szCs w:val="20"/>
                <w:lang w:val="en-US" w:eastAsia="zh-CN" w:bidi="ar"/>
              </w:rPr>
              <w:t>可可及焙烤咖啡产品</w:t>
            </w:r>
          </w:p>
        </w:tc>
        <w:tc>
          <w:tcPr>
            <w:tcW w:w="2005" w:type="dxa"/>
            <w:noWrap w:val="0"/>
            <w:tcMar>
              <w:top w:w="15" w:type="dxa"/>
              <w:left w:w="15" w:type="dxa"/>
              <w:right w:w="15" w:type="dxa"/>
            </w:tcMar>
            <w:vAlign w:val="center"/>
          </w:tcPr>
          <w:p w14:paraId="3B3181D8">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Fonts w:hint="default" w:ascii="Times New Roman" w:hAnsi="Times New Roman" w:eastAsia="宋体" w:cs="Times New Roman"/>
                <w:i w:val="0"/>
                <w:color w:val="0000FF"/>
                <w:kern w:val="0"/>
                <w:sz w:val="20"/>
                <w:szCs w:val="20"/>
                <w:u w:val="none"/>
                <w:lang w:val="en-US" w:eastAsia="zh-CN" w:bidi="ar"/>
              </w:rPr>
              <w:t>1</w:t>
            </w:r>
          </w:p>
        </w:tc>
        <w:tc>
          <w:tcPr>
            <w:tcW w:w="1890" w:type="dxa"/>
            <w:noWrap w:val="0"/>
            <w:tcMar>
              <w:top w:w="15" w:type="dxa"/>
              <w:left w:w="15" w:type="dxa"/>
              <w:right w:w="15" w:type="dxa"/>
            </w:tcMar>
            <w:vAlign w:val="center"/>
          </w:tcPr>
          <w:p w14:paraId="5701FBA2">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Fonts w:hint="default" w:ascii="Times New Roman" w:hAnsi="Times New Roman" w:eastAsia="宋体" w:cs="Times New Roman"/>
                <w:i w:val="0"/>
                <w:color w:val="0000FF"/>
                <w:kern w:val="0"/>
                <w:sz w:val="20"/>
                <w:szCs w:val="20"/>
                <w:u w:val="none"/>
                <w:lang w:val="en-US" w:eastAsia="zh-CN" w:bidi="ar"/>
              </w:rPr>
              <w:t>1998.03</w:t>
            </w:r>
          </w:p>
        </w:tc>
      </w:tr>
      <w:tr w14:paraId="4E30B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8" w:hRule="atLeast"/>
          <w:jc w:val="center"/>
        </w:trPr>
        <w:tc>
          <w:tcPr>
            <w:tcW w:w="701" w:type="dxa"/>
            <w:noWrap w:val="0"/>
            <w:tcMar>
              <w:top w:w="15" w:type="dxa"/>
              <w:left w:w="15" w:type="dxa"/>
              <w:right w:w="15" w:type="dxa"/>
            </w:tcMar>
            <w:vAlign w:val="center"/>
          </w:tcPr>
          <w:p w14:paraId="72FD85B6">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Fonts w:hint="default" w:ascii="Times New Roman" w:hAnsi="Times New Roman" w:eastAsia="宋体" w:cs="Times New Roman"/>
                <w:i w:val="0"/>
                <w:color w:val="0000FF"/>
                <w:kern w:val="0"/>
                <w:sz w:val="20"/>
                <w:szCs w:val="20"/>
                <w:u w:val="none"/>
                <w:lang w:val="en-US" w:eastAsia="zh-CN" w:bidi="ar"/>
              </w:rPr>
              <w:t>21</w:t>
            </w:r>
          </w:p>
        </w:tc>
        <w:tc>
          <w:tcPr>
            <w:tcW w:w="3384" w:type="dxa"/>
            <w:noWrap w:val="0"/>
            <w:tcMar>
              <w:top w:w="15" w:type="dxa"/>
              <w:left w:w="15" w:type="dxa"/>
              <w:right w:w="15" w:type="dxa"/>
            </w:tcMar>
            <w:vAlign w:val="center"/>
          </w:tcPr>
          <w:p w14:paraId="7155DB61">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Style w:val="7"/>
                <w:rFonts w:hint="default" w:ascii="Times New Roman" w:hAnsi="Times New Roman" w:cs="Times New Roman"/>
                <w:color w:val="0000FF"/>
                <w:sz w:val="20"/>
                <w:szCs w:val="20"/>
                <w:lang w:val="en-US" w:eastAsia="zh-CN" w:bidi="ar"/>
              </w:rPr>
              <w:t>食糖</w:t>
            </w:r>
          </w:p>
        </w:tc>
        <w:tc>
          <w:tcPr>
            <w:tcW w:w="2005" w:type="dxa"/>
            <w:noWrap w:val="0"/>
            <w:tcMar>
              <w:top w:w="15" w:type="dxa"/>
              <w:left w:w="15" w:type="dxa"/>
              <w:right w:w="15" w:type="dxa"/>
            </w:tcMar>
            <w:vAlign w:val="center"/>
          </w:tcPr>
          <w:p w14:paraId="4B72BB9F">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Fonts w:hint="default" w:ascii="Times New Roman" w:hAnsi="Times New Roman" w:eastAsia="宋体" w:cs="Times New Roman"/>
                <w:i w:val="0"/>
                <w:color w:val="0000FF"/>
                <w:kern w:val="0"/>
                <w:sz w:val="20"/>
                <w:szCs w:val="20"/>
                <w:u w:val="none"/>
                <w:lang w:val="en-US" w:eastAsia="zh-CN" w:bidi="ar"/>
              </w:rPr>
              <w:t>7</w:t>
            </w:r>
          </w:p>
        </w:tc>
        <w:tc>
          <w:tcPr>
            <w:tcW w:w="1890" w:type="dxa"/>
            <w:noWrap w:val="0"/>
            <w:tcMar>
              <w:top w:w="15" w:type="dxa"/>
              <w:left w:w="15" w:type="dxa"/>
              <w:right w:w="15" w:type="dxa"/>
            </w:tcMar>
            <w:vAlign w:val="center"/>
          </w:tcPr>
          <w:p w14:paraId="32147A81">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Fonts w:hint="default" w:ascii="Times New Roman" w:hAnsi="Times New Roman" w:eastAsia="宋体" w:cs="Times New Roman"/>
                <w:i w:val="0"/>
                <w:color w:val="0000FF"/>
                <w:kern w:val="0"/>
                <w:sz w:val="20"/>
                <w:szCs w:val="20"/>
                <w:u w:val="none"/>
                <w:lang w:val="en-US" w:eastAsia="zh-CN" w:bidi="ar"/>
              </w:rPr>
              <w:t>13986.21</w:t>
            </w:r>
          </w:p>
        </w:tc>
      </w:tr>
      <w:tr w14:paraId="6CC43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8" w:hRule="atLeast"/>
          <w:jc w:val="center"/>
        </w:trPr>
        <w:tc>
          <w:tcPr>
            <w:tcW w:w="701" w:type="dxa"/>
            <w:noWrap w:val="0"/>
            <w:tcMar>
              <w:top w:w="15" w:type="dxa"/>
              <w:left w:w="15" w:type="dxa"/>
              <w:right w:w="15" w:type="dxa"/>
            </w:tcMar>
            <w:vAlign w:val="center"/>
          </w:tcPr>
          <w:p w14:paraId="379CCAC6">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Fonts w:hint="default" w:ascii="Times New Roman" w:hAnsi="Times New Roman" w:eastAsia="宋体" w:cs="Times New Roman"/>
                <w:i w:val="0"/>
                <w:color w:val="0000FF"/>
                <w:kern w:val="0"/>
                <w:sz w:val="20"/>
                <w:szCs w:val="20"/>
                <w:u w:val="none"/>
                <w:lang w:val="en-US" w:eastAsia="zh-CN" w:bidi="ar"/>
              </w:rPr>
              <w:t>22</w:t>
            </w:r>
          </w:p>
        </w:tc>
        <w:tc>
          <w:tcPr>
            <w:tcW w:w="3384" w:type="dxa"/>
            <w:noWrap w:val="0"/>
            <w:tcMar>
              <w:top w:w="15" w:type="dxa"/>
              <w:left w:w="15" w:type="dxa"/>
              <w:right w:w="15" w:type="dxa"/>
            </w:tcMar>
            <w:vAlign w:val="center"/>
          </w:tcPr>
          <w:p w14:paraId="47ED0664">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Style w:val="7"/>
                <w:rFonts w:hint="default" w:ascii="Times New Roman" w:hAnsi="Times New Roman" w:cs="Times New Roman"/>
                <w:color w:val="0000FF"/>
                <w:sz w:val="20"/>
                <w:szCs w:val="20"/>
                <w:lang w:val="en-US" w:eastAsia="zh-CN" w:bidi="ar"/>
              </w:rPr>
              <w:t>水产制品</w:t>
            </w:r>
          </w:p>
        </w:tc>
        <w:tc>
          <w:tcPr>
            <w:tcW w:w="2005" w:type="dxa"/>
            <w:noWrap w:val="0"/>
            <w:tcMar>
              <w:top w:w="15" w:type="dxa"/>
              <w:left w:w="15" w:type="dxa"/>
              <w:right w:w="15" w:type="dxa"/>
            </w:tcMar>
            <w:vAlign w:val="center"/>
          </w:tcPr>
          <w:p w14:paraId="47CF904C">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Fonts w:hint="default" w:ascii="Times New Roman" w:hAnsi="Times New Roman" w:eastAsia="宋体" w:cs="Times New Roman"/>
                <w:i w:val="0"/>
                <w:color w:val="0000FF"/>
                <w:kern w:val="0"/>
                <w:sz w:val="20"/>
                <w:szCs w:val="20"/>
                <w:u w:val="none"/>
                <w:lang w:val="en-US" w:eastAsia="zh-CN" w:bidi="ar"/>
              </w:rPr>
              <w:t>37</w:t>
            </w:r>
          </w:p>
        </w:tc>
        <w:tc>
          <w:tcPr>
            <w:tcW w:w="1890" w:type="dxa"/>
            <w:noWrap w:val="0"/>
            <w:tcMar>
              <w:top w:w="15" w:type="dxa"/>
              <w:left w:w="15" w:type="dxa"/>
              <w:right w:w="15" w:type="dxa"/>
            </w:tcMar>
            <w:vAlign w:val="center"/>
          </w:tcPr>
          <w:p w14:paraId="01184242">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Fonts w:hint="default" w:ascii="Times New Roman" w:hAnsi="Times New Roman" w:eastAsia="宋体" w:cs="Times New Roman"/>
                <w:i w:val="0"/>
                <w:color w:val="0000FF"/>
                <w:kern w:val="0"/>
                <w:sz w:val="20"/>
                <w:szCs w:val="20"/>
                <w:u w:val="none"/>
                <w:lang w:val="en-US" w:eastAsia="zh-CN" w:bidi="ar"/>
              </w:rPr>
              <w:t>73927.11</w:t>
            </w:r>
          </w:p>
        </w:tc>
      </w:tr>
      <w:tr w14:paraId="0BD94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7" w:hRule="atLeast"/>
          <w:jc w:val="center"/>
        </w:trPr>
        <w:tc>
          <w:tcPr>
            <w:tcW w:w="701" w:type="dxa"/>
            <w:noWrap w:val="0"/>
            <w:tcMar>
              <w:top w:w="15" w:type="dxa"/>
              <w:left w:w="15" w:type="dxa"/>
              <w:right w:w="15" w:type="dxa"/>
            </w:tcMar>
            <w:vAlign w:val="center"/>
          </w:tcPr>
          <w:p w14:paraId="38D96C90">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Fonts w:hint="default" w:ascii="Times New Roman" w:hAnsi="Times New Roman" w:eastAsia="宋体" w:cs="Times New Roman"/>
                <w:i w:val="0"/>
                <w:color w:val="0000FF"/>
                <w:kern w:val="0"/>
                <w:sz w:val="20"/>
                <w:szCs w:val="20"/>
                <w:u w:val="none"/>
                <w:lang w:val="en-US" w:eastAsia="zh-CN" w:bidi="ar"/>
              </w:rPr>
              <w:t>23</w:t>
            </w:r>
          </w:p>
        </w:tc>
        <w:tc>
          <w:tcPr>
            <w:tcW w:w="3384" w:type="dxa"/>
            <w:noWrap w:val="0"/>
            <w:tcMar>
              <w:top w:w="15" w:type="dxa"/>
              <w:left w:w="15" w:type="dxa"/>
              <w:right w:w="15" w:type="dxa"/>
            </w:tcMar>
            <w:vAlign w:val="center"/>
          </w:tcPr>
          <w:p w14:paraId="2DCBCC7E">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Style w:val="7"/>
                <w:rFonts w:hint="default" w:ascii="Times New Roman" w:hAnsi="Times New Roman" w:cs="Times New Roman"/>
                <w:color w:val="0000FF"/>
                <w:sz w:val="20"/>
                <w:szCs w:val="20"/>
                <w:lang w:val="en-US" w:eastAsia="zh-CN" w:bidi="ar"/>
              </w:rPr>
              <w:t>淀粉及淀粉制品</w:t>
            </w:r>
          </w:p>
        </w:tc>
        <w:tc>
          <w:tcPr>
            <w:tcW w:w="2005" w:type="dxa"/>
            <w:noWrap w:val="0"/>
            <w:tcMar>
              <w:top w:w="15" w:type="dxa"/>
              <w:left w:w="15" w:type="dxa"/>
              <w:right w:w="15" w:type="dxa"/>
            </w:tcMar>
            <w:vAlign w:val="center"/>
          </w:tcPr>
          <w:p w14:paraId="3219B7DB">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Fonts w:hint="default" w:ascii="Times New Roman" w:hAnsi="Times New Roman" w:eastAsia="宋体" w:cs="Times New Roman"/>
                <w:i w:val="0"/>
                <w:color w:val="0000FF"/>
                <w:kern w:val="0"/>
                <w:sz w:val="20"/>
                <w:szCs w:val="20"/>
                <w:u w:val="none"/>
                <w:lang w:val="en-US" w:eastAsia="zh-CN" w:bidi="ar"/>
              </w:rPr>
              <w:t>9</w:t>
            </w:r>
          </w:p>
        </w:tc>
        <w:tc>
          <w:tcPr>
            <w:tcW w:w="1890" w:type="dxa"/>
            <w:noWrap w:val="0"/>
            <w:tcMar>
              <w:top w:w="15" w:type="dxa"/>
              <w:left w:w="15" w:type="dxa"/>
              <w:right w:w="15" w:type="dxa"/>
            </w:tcMar>
            <w:vAlign w:val="center"/>
          </w:tcPr>
          <w:p w14:paraId="30625231">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Fonts w:hint="default" w:ascii="Times New Roman" w:hAnsi="Times New Roman" w:eastAsia="宋体" w:cs="Times New Roman"/>
                <w:i w:val="0"/>
                <w:color w:val="0000FF"/>
                <w:kern w:val="0"/>
                <w:sz w:val="20"/>
                <w:szCs w:val="20"/>
                <w:u w:val="none"/>
                <w:lang w:val="en-US" w:eastAsia="zh-CN" w:bidi="ar"/>
              </w:rPr>
              <w:t>17982.27</w:t>
            </w:r>
          </w:p>
        </w:tc>
      </w:tr>
      <w:tr w14:paraId="08F88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7" w:hRule="atLeast"/>
          <w:jc w:val="center"/>
        </w:trPr>
        <w:tc>
          <w:tcPr>
            <w:tcW w:w="701" w:type="dxa"/>
            <w:noWrap w:val="0"/>
            <w:tcMar>
              <w:top w:w="15" w:type="dxa"/>
              <w:left w:w="15" w:type="dxa"/>
              <w:right w:w="15" w:type="dxa"/>
            </w:tcMar>
            <w:vAlign w:val="center"/>
          </w:tcPr>
          <w:p w14:paraId="7215248F">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Fonts w:hint="default" w:ascii="Times New Roman" w:hAnsi="Times New Roman" w:eastAsia="宋体" w:cs="Times New Roman"/>
                <w:i w:val="0"/>
                <w:color w:val="0000FF"/>
                <w:kern w:val="0"/>
                <w:sz w:val="20"/>
                <w:szCs w:val="20"/>
                <w:u w:val="none"/>
                <w:lang w:val="en-US" w:eastAsia="zh-CN" w:bidi="ar"/>
              </w:rPr>
              <w:t>24</w:t>
            </w:r>
          </w:p>
        </w:tc>
        <w:tc>
          <w:tcPr>
            <w:tcW w:w="3384" w:type="dxa"/>
            <w:noWrap w:val="0"/>
            <w:tcMar>
              <w:top w:w="15" w:type="dxa"/>
              <w:left w:w="15" w:type="dxa"/>
              <w:right w:w="15" w:type="dxa"/>
            </w:tcMar>
            <w:vAlign w:val="center"/>
          </w:tcPr>
          <w:p w14:paraId="08C10B5E">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Style w:val="7"/>
                <w:rFonts w:hint="default" w:ascii="Times New Roman" w:hAnsi="Times New Roman" w:cs="Times New Roman"/>
                <w:color w:val="0000FF"/>
                <w:sz w:val="20"/>
                <w:szCs w:val="20"/>
                <w:lang w:val="en-US" w:eastAsia="zh-CN" w:bidi="ar"/>
              </w:rPr>
              <w:t>糕点</w:t>
            </w:r>
          </w:p>
        </w:tc>
        <w:tc>
          <w:tcPr>
            <w:tcW w:w="2005" w:type="dxa"/>
            <w:noWrap w:val="0"/>
            <w:tcMar>
              <w:top w:w="15" w:type="dxa"/>
              <w:left w:w="15" w:type="dxa"/>
              <w:right w:w="15" w:type="dxa"/>
            </w:tcMar>
            <w:vAlign w:val="center"/>
          </w:tcPr>
          <w:p w14:paraId="226805DD">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Fonts w:hint="default" w:ascii="Times New Roman" w:hAnsi="Times New Roman" w:eastAsia="宋体" w:cs="Times New Roman"/>
                <w:i w:val="0"/>
                <w:color w:val="0000FF"/>
                <w:kern w:val="0"/>
                <w:sz w:val="20"/>
                <w:szCs w:val="20"/>
                <w:u w:val="none"/>
                <w:lang w:val="en-US" w:eastAsia="zh-CN" w:bidi="ar"/>
              </w:rPr>
              <w:t>132</w:t>
            </w:r>
          </w:p>
        </w:tc>
        <w:tc>
          <w:tcPr>
            <w:tcW w:w="1890" w:type="dxa"/>
            <w:noWrap w:val="0"/>
            <w:tcMar>
              <w:top w:w="15" w:type="dxa"/>
              <w:left w:w="15" w:type="dxa"/>
              <w:right w:w="15" w:type="dxa"/>
            </w:tcMar>
            <w:vAlign w:val="center"/>
          </w:tcPr>
          <w:p w14:paraId="41E65828">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Fonts w:hint="default" w:ascii="Times New Roman" w:hAnsi="Times New Roman" w:eastAsia="宋体" w:cs="Times New Roman"/>
                <w:i w:val="0"/>
                <w:color w:val="0000FF"/>
                <w:kern w:val="0"/>
                <w:sz w:val="20"/>
                <w:szCs w:val="20"/>
                <w:u w:val="none"/>
                <w:lang w:val="en-US" w:eastAsia="zh-CN" w:bidi="ar"/>
              </w:rPr>
              <w:t>263739.96</w:t>
            </w:r>
          </w:p>
        </w:tc>
      </w:tr>
      <w:tr w14:paraId="0480F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7" w:hRule="atLeast"/>
          <w:jc w:val="center"/>
        </w:trPr>
        <w:tc>
          <w:tcPr>
            <w:tcW w:w="701" w:type="dxa"/>
            <w:noWrap w:val="0"/>
            <w:tcMar>
              <w:top w:w="15" w:type="dxa"/>
              <w:left w:w="15" w:type="dxa"/>
              <w:right w:w="15" w:type="dxa"/>
            </w:tcMar>
            <w:vAlign w:val="center"/>
          </w:tcPr>
          <w:p w14:paraId="7EB020C9">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Fonts w:hint="default" w:ascii="Times New Roman" w:hAnsi="Times New Roman" w:eastAsia="宋体" w:cs="Times New Roman"/>
                <w:i w:val="0"/>
                <w:color w:val="0000FF"/>
                <w:kern w:val="0"/>
                <w:sz w:val="20"/>
                <w:szCs w:val="20"/>
                <w:u w:val="none"/>
                <w:lang w:val="en-US" w:eastAsia="zh-CN" w:bidi="ar"/>
              </w:rPr>
              <w:t>25</w:t>
            </w:r>
          </w:p>
        </w:tc>
        <w:tc>
          <w:tcPr>
            <w:tcW w:w="3384" w:type="dxa"/>
            <w:noWrap w:val="0"/>
            <w:tcMar>
              <w:top w:w="15" w:type="dxa"/>
              <w:left w:w="15" w:type="dxa"/>
              <w:right w:w="15" w:type="dxa"/>
            </w:tcMar>
            <w:vAlign w:val="center"/>
          </w:tcPr>
          <w:p w14:paraId="0D3997F2">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Style w:val="7"/>
                <w:rFonts w:hint="default" w:ascii="Times New Roman" w:hAnsi="Times New Roman" w:cs="Times New Roman"/>
                <w:color w:val="0000FF"/>
                <w:sz w:val="20"/>
                <w:szCs w:val="20"/>
                <w:lang w:val="en-US" w:eastAsia="zh-CN" w:bidi="ar"/>
              </w:rPr>
              <w:t>豆制品</w:t>
            </w:r>
          </w:p>
        </w:tc>
        <w:tc>
          <w:tcPr>
            <w:tcW w:w="2005" w:type="dxa"/>
            <w:noWrap w:val="0"/>
            <w:tcMar>
              <w:top w:w="15" w:type="dxa"/>
              <w:left w:w="15" w:type="dxa"/>
              <w:right w:w="15" w:type="dxa"/>
            </w:tcMar>
            <w:vAlign w:val="center"/>
          </w:tcPr>
          <w:p w14:paraId="524EBC36">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Fonts w:hint="default" w:ascii="Times New Roman" w:hAnsi="Times New Roman" w:eastAsia="宋体" w:cs="Times New Roman"/>
                <w:i w:val="0"/>
                <w:color w:val="0000FF"/>
                <w:kern w:val="0"/>
                <w:sz w:val="20"/>
                <w:szCs w:val="20"/>
                <w:u w:val="none"/>
                <w:lang w:val="en-US" w:eastAsia="zh-CN" w:bidi="ar"/>
              </w:rPr>
              <w:t>13</w:t>
            </w:r>
          </w:p>
        </w:tc>
        <w:tc>
          <w:tcPr>
            <w:tcW w:w="1890" w:type="dxa"/>
            <w:noWrap w:val="0"/>
            <w:tcMar>
              <w:top w:w="15" w:type="dxa"/>
              <w:left w:w="15" w:type="dxa"/>
              <w:right w:w="15" w:type="dxa"/>
            </w:tcMar>
            <w:vAlign w:val="center"/>
          </w:tcPr>
          <w:p w14:paraId="0AD3B6D6">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Fonts w:hint="default" w:ascii="Times New Roman" w:hAnsi="Times New Roman" w:eastAsia="宋体" w:cs="Times New Roman"/>
                <w:i w:val="0"/>
                <w:color w:val="0000FF"/>
                <w:kern w:val="0"/>
                <w:sz w:val="20"/>
                <w:szCs w:val="20"/>
                <w:u w:val="none"/>
                <w:lang w:val="en-US" w:eastAsia="zh-CN" w:bidi="ar"/>
              </w:rPr>
              <w:t>25974.39</w:t>
            </w:r>
          </w:p>
        </w:tc>
      </w:tr>
      <w:tr w14:paraId="56305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7" w:hRule="atLeast"/>
          <w:jc w:val="center"/>
        </w:trPr>
        <w:tc>
          <w:tcPr>
            <w:tcW w:w="701" w:type="dxa"/>
            <w:noWrap w:val="0"/>
            <w:tcMar>
              <w:top w:w="15" w:type="dxa"/>
              <w:left w:w="15" w:type="dxa"/>
              <w:right w:w="15" w:type="dxa"/>
            </w:tcMar>
            <w:vAlign w:val="center"/>
          </w:tcPr>
          <w:p w14:paraId="7F07BAFB">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Fonts w:hint="default" w:ascii="Times New Roman" w:hAnsi="Times New Roman" w:eastAsia="宋体" w:cs="Times New Roman"/>
                <w:i w:val="0"/>
                <w:color w:val="0000FF"/>
                <w:kern w:val="0"/>
                <w:sz w:val="20"/>
                <w:szCs w:val="20"/>
                <w:u w:val="none"/>
                <w:lang w:val="en-US" w:eastAsia="zh-CN" w:bidi="ar"/>
              </w:rPr>
              <w:t>26</w:t>
            </w:r>
          </w:p>
        </w:tc>
        <w:tc>
          <w:tcPr>
            <w:tcW w:w="3384" w:type="dxa"/>
            <w:noWrap w:val="0"/>
            <w:tcMar>
              <w:top w:w="15" w:type="dxa"/>
              <w:left w:w="15" w:type="dxa"/>
              <w:right w:w="15" w:type="dxa"/>
            </w:tcMar>
            <w:vAlign w:val="center"/>
          </w:tcPr>
          <w:p w14:paraId="5B6A88DC">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Style w:val="7"/>
                <w:rFonts w:hint="default" w:ascii="Times New Roman" w:hAnsi="Times New Roman" w:cs="Times New Roman"/>
                <w:color w:val="0000FF"/>
                <w:sz w:val="20"/>
                <w:szCs w:val="20"/>
                <w:lang w:val="en-US" w:eastAsia="zh-CN" w:bidi="ar"/>
              </w:rPr>
              <w:t>蜂产品</w:t>
            </w:r>
          </w:p>
        </w:tc>
        <w:tc>
          <w:tcPr>
            <w:tcW w:w="2005" w:type="dxa"/>
            <w:noWrap w:val="0"/>
            <w:tcMar>
              <w:top w:w="15" w:type="dxa"/>
              <w:left w:w="15" w:type="dxa"/>
              <w:right w:w="15" w:type="dxa"/>
            </w:tcMar>
            <w:vAlign w:val="center"/>
          </w:tcPr>
          <w:p w14:paraId="175B85C7">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Fonts w:hint="default" w:ascii="Times New Roman" w:hAnsi="Times New Roman" w:eastAsia="宋体" w:cs="Times New Roman"/>
                <w:i w:val="0"/>
                <w:color w:val="0000FF"/>
                <w:kern w:val="0"/>
                <w:sz w:val="20"/>
                <w:szCs w:val="20"/>
                <w:u w:val="none"/>
                <w:lang w:val="en-US" w:eastAsia="zh-CN" w:bidi="ar"/>
              </w:rPr>
              <w:t>6</w:t>
            </w:r>
          </w:p>
        </w:tc>
        <w:tc>
          <w:tcPr>
            <w:tcW w:w="1890" w:type="dxa"/>
            <w:noWrap w:val="0"/>
            <w:tcMar>
              <w:top w:w="15" w:type="dxa"/>
              <w:left w:w="15" w:type="dxa"/>
              <w:right w:w="15" w:type="dxa"/>
            </w:tcMar>
            <w:vAlign w:val="center"/>
          </w:tcPr>
          <w:p w14:paraId="067A637A">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Fonts w:hint="default" w:ascii="Times New Roman" w:hAnsi="Times New Roman" w:eastAsia="宋体" w:cs="Times New Roman"/>
                <w:i w:val="0"/>
                <w:color w:val="0000FF"/>
                <w:kern w:val="0"/>
                <w:sz w:val="20"/>
                <w:szCs w:val="20"/>
                <w:u w:val="none"/>
                <w:lang w:val="en-US" w:eastAsia="zh-CN" w:bidi="ar"/>
              </w:rPr>
              <w:t>11988.18</w:t>
            </w:r>
          </w:p>
        </w:tc>
      </w:tr>
      <w:tr w14:paraId="538B3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7" w:hRule="atLeast"/>
          <w:jc w:val="center"/>
        </w:trPr>
        <w:tc>
          <w:tcPr>
            <w:tcW w:w="701" w:type="dxa"/>
            <w:noWrap w:val="0"/>
            <w:tcMar>
              <w:top w:w="15" w:type="dxa"/>
              <w:left w:w="15" w:type="dxa"/>
              <w:right w:w="15" w:type="dxa"/>
            </w:tcMar>
            <w:vAlign w:val="center"/>
          </w:tcPr>
          <w:p w14:paraId="5FA11677">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Fonts w:hint="default" w:ascii="Times New Roman" w:hAnsi="Times New Roman" w:eastAsia="宋体" w:cs="Times New Roman"/>
                <w:i w:val="0"/>
                <w:color w:val="0000FF"/>
                <w:kern w:val="0"/>
                <w:sz w:val="20"/>
                <w:szCs w:val="20"/>
                <w:u w:val="none"/>
                <w:lang w:val="en-US" w:eastAsia="zh-CN" w:bidi="ar"/>
              </w:rPr>
              <w:t>27</w:t>
            </w:r>
          </w:p>
        </w:tc>
        <w:tc>
          <w:tcPr>
            <w:tcW w:w="3384" w:type="dxa"/>
            <w:noWrap w:val="0"/>
            <w:tcMar>
              <w:top w:w="15" w:type="dxa"/>
              <w:left w:w="15" w:type="dxa"/>
              <w:right w:w="15" w:type="dxa"/>
            </w:tcMar>
            <w:vAlign w:val="center"/>
          </w:tcPr>
          <w:p w14:paraId="15AEF76C">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Style w:val="7"/>
                <w:rFonts w:hint="default" w:ascii="Times New Roman" w:hAnsi="Times New Roman" w:cs="Times New Roman"/>
                <w:color w:val="0000FF"/>
                <w:sz w:val="20"/>
                <w:szCs w:val="20"/>
                <w:lang w:val="en-US" w:eastAsia="zh-CN" w:bidi="ar"/>
              </w:rPr>
              <w:t>特殊膳食食品</w:t>
            </w:r>
          </w:p>
        </w:tc>
        <w:tc>
          <w:tcPr>
            <w:tcW w:w="2005" w:type="dxa"/>
            <w:noWrap w:val="0"/>
            <w:tcMar>
              <w:top w:w="15" w:type="dxa"/>
              <w:left w:w="15" w:type="dxa"/>
              <w:right w:w="15" w:type="dxa"/>
            </w:tcMar>
            <w:vAlign w:val="center"/>
          </w:tcPr>
          <w:p w14:paraId="628535EE">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Fonts w:hint="default" w:ascii="Times New Roman" w:hAnsi="Times New Roman" w:eastAsia="宋体" w:cs="Times New Roman"/>
                <w:i w:val="0"/>
                <w:color w:val="0000FF"/>
                <w:kern w:val="0"/>
                <w:sz w:val="20"/>
                <w:szCs w:val="20"/>
                <w:u w:val="none"/>
                <w:lang w:val="en-US" w:eastAsia="zh-CN" w:bidi="ar"/>
              </w:rPr>
              <w:t>2</w:t>
            </w:r>
          </w:p>
        </w:tc>
        <w:tc>
          <w:tcPr>
            <w:tcW w:w="1890" w:type="dxa"/>
            <w:noWrap w:val="0"/>
            <w:tcMar>
              <w:top w:w="15" w:type="dxa"/>
              <w:left w:w="15" w:type="dxa"/>
              <w:right w:w="15" w:type="dxa"/>
            </w:tcMar>
            <w:vAlign w:val="center"/>
          </w:tcPr>
          <w:p w14:paraId="121836F6">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Fonts w:hint="default" w:ascii="Times New Roman" w:hAnsi="Times New Roman" w:eastAsia="宋体" w:cs="Times New Roman"/>
                <w:i w:val="0"/>
                <w:color w:val="0000FF"/>
                <w:kern w:val="0"/>
                <w:sz w:val="20"/>
                <w:szCs w:val="20"/>
                <w:u w:val="none"/>
                <w:lang w:val="en-US" w:eastAsia="zh-CN" w:bidi="ar"/>
              </w:rPr>
              <w:t>3996.06</w:t>
            </w:r>
          </w:p>
        </w:tc>
      </w:tr>
      <w:tr w14:paraId="79241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7" w:hRule="atLeast"/>
          <w:jc w:val="center"/>
        </w:trPr>
        <w:tc>
          <w:tcPr>
            <w:tcW w:w="701" w:type="dxa"/>
            <w:noWrap w:val="0"/>
            <w:tcMar>
              <w:top w:w="15" w:type="dxa"/>
              <w:left w:w="15" w:type="dxa"/>
              <w:right w:w="15" w:type="dxa"/>
            </w:tcMar>
            <w:vAlign w:val="center"/>
          </w:tcPr>
          <w:p w14:paraId="66D4A165">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Fonts w:hint="default" w:ascii="Times New Roman" w:hAnsi="Times New Roman" w:eastAsia="宋体" w:cs="Times New Roman"/>
                <w:i w:val="0"/>
                <w:color w:val="0000FF"/>
                <w:kern w:val="0"/>
                <w:sz w:val="20"/>
                <w:szCs w:val="20"/>
                <w:u w:val="none"/>
                <w:lang w:val="en-US" w:eastAsia="zh-CN" w:bidi="ar"/>
              </w:rPr>
              <w:t>28</w:t>
            </w:r>
          </w:p>
        </w:tc>
        <w:tc>
          <w:tcPr>
            <w:tcW w:w="3384" w:type="dxa"/>
            <w:noWrap w:val="0"/>
            <w:tcMar>
              <w:top w:w="15" w:type="dxa"/>
              <w:left w:w="15" w:type="dxa"/>
              <w:right w:w="15" w:type="dxa"/>
            </w:tcMar>
            <w:vAlign w:val="center"/>
          </w:tcPr>
          <w:p w14:paraId="62FA7422">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Style w:val="7"/>
                <w:rFonts w:hint="default" w:ascii="Times New Roman" w:hAnsi="Times New Roman" w:cs="Times New Roman"/>
                <w:color w:val="0000FF"/>
                <w:sz w:val="20"/>
                <w:szCs w:val="20"/>
                <w:lang w:val="en-US" w:eastAsia="zh-CN" w:bidi="ar"/>
              </w:rPr>
              <w:t>餐饮食品</w:t>
            </w:r>
          </w:p>
        </w:tc>
        <w:tc>
          <w:tcPr>
            <w:tcW w:w="2005" w:type="dxa"/>
            <w:noWrap w:val="0"/>
            <w:tcMar>
              <w:top w:w="15" w:type="dxa"/>
              <w:left w:w="15" w:type="dxa"/>
              <w:right w:w="15" w:type="dxa"/>
            </w:tcMar>
            <w:vAlign w:val="center"/>
          </w:tcPr>
          <w:p w14:paraId="759C8B7E">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Fonts w:hint="default" w:ascii="Times New Roman" w:hAnsi="Times New Roman" w:eastAsia="宋体" w:cs="Times New Roman"/>
                <w:i w:val="0"/>
                <w:color w:val="0000FF"/>
                <w:kern w:val="0"/>
                <w:sz w:val="20"/>
                <w:szCs w:val="20"/>
                <w:u w:val="none"/>
                <w:lang w:val="en-US" w:eastAsia="zh-CN" w:bidi="ar"/>
              </w:rPr>
              <w:t>97</w:t>
            </w:r>
          </w:p>
        </w:tc>
        <w:tc>
          <w:tcPr>
            <w:tcW w:w="1890" w:type="dxa"/>
            <w:noWrap w:val="0"/>
            <w:tcMar>
              <w:top w:w="15" w:type="dxa"/>
              <w:left w:w="15" w:type="dxa"/>
              <w:right w:w="15" w:type="dxa"/>
            </w:tcMar>
            <w:vAlign w:val="center"/>
          </w:tcPr>
          <w:p w14:paraId="0CBEC39B">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Fonts w:hint="default" w:ascii="Times New Roman" w:hAnsi="Times New Roman" w:eastAsia="宋体" w:cs="Times New Roman"/>
                <w:i w:val="0"/>
                <w:color w:val="0000FF"/>
                <w:kern w:val="0"/>
                <w:sz w:val="20"/>
                <w:szCs w:val="20"/>
                <w:u w:val="none"/>
                <w:lang w:val="en-US" w:eastAsia="zh-CN" w:bidi="ar"/>
              </w:rPr>
              <w:t>193808.91</w:t>
            </w:r>
          </w:p>
        </w:tc>
      </w:tr>
      <w:tr w14:paraId="09BCA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7" w:hRule="atLeast"/>
          <w:jc w:val="center"/>
        </w:trPr>
        <w:tc>
          <w:tcPr>
            <w:tcW w:w="701" w:type="dxa"/>
            <w:noWrap w:val="0"/>
            <w:tcMar>
              <w:top w:w="15" w:type="dxa"/>
              <w:left w:w="15" w:type="dxa"/>
              <w:right w:w="15" w:type="dxa"/>
            </w:tcMar>
            <w:vAlign w:val="center"/>
          </w:tcPr>
          <w:p w14:paraId="7A4221BA">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Fonts w:hint="default" w:ascii="Times New Roman" w:hAnsi="Times New Roman" w:eastAsia="宋体" w:cs="Times New Roman"/>
                <w:i w:val="0"/>
                <w:color w:val="0000FF"/>
                <w:kern w:val="0"/>
                <w:sz w:val="20"/>
                <w:szCs w:val="20"/>
                <w:u w:val="none"/>
                <w:lang w:val="en-US" w:eastAsia="zh-CN" w:bidi="ar"/>
              </w:rPr>
              <w:t>29</w:t>
            </w:r>
          </w:p>
        </w:tc>
        <w:tc>
          <w:tcPr>
            <w:tcW w:w="3384" w:type="dxa"/>
            <w:noWrap w:val="0"/>
            <w:tcMar>
              <w:top w:w="15" w:type="dxa"/>
              <w:left w:w="15" w:type="dxa"/>
              <w:right w:w="15" w:type="dxa"/>
            </w:tcMar>
            <w:vAlign w:val="center"/>
          </w:tcPr>
          <w:p w14:paraId="0FD32435">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Style w:val="7"/>
                <w:rFonts w:hint="default" w:ascii="Times New Roman" w:hAnsi="Times New Roman" w:cs="Times New Roman"/>
                <w:color w:val="0000FF"/>
                <w:sz w:val="20"/>
                <w:szCs w:val="20"/>
                <w:lang w:val="en-US" w:eastAsia="zh-CN" w:bidi="ar"/>
              </w:rPr>
              <w:t>食品添加剂</w:t>
            </w:r>
          </w:p>
        </w:tc>
        <w:tc>
          <w:tcPr>
            <w:tcW w:w="2005" w:type="dxa"/>
            <w:noWrap w:val="0"/>
            <w:tcMar>
              <w:top w:w="15" w:type="dxa"/>
              <w:left w:w="15" w:type="dxa"/>
              <w:right w:w="15" w:type="dxa"/>
            </w:tcMar>
            <w:vAlign w:val="center"/>
          </w:tcPr>
          <w:p w14:paraId="3598B979">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Fonts w:hint="default" w:ascii="Times New Roman" w:hAnsi="Times New Roman" w:eastAsia="宋体" w:cs="Times New Roman"/>
                <w:i w:val="0"/>
                <w:color w:val="0000FF"/>
                <w:kern w:val="0"/>
                <w:sz w:val="20"/>
                <w:szCs w:val="20"/>
                <w:u w:val="none"/>
                <w:lang w:val="en-US" w:eastAsia="zh-CN" w:bidi="ar"/>
              </w:rPr>
              <w:t>9</w:t>
            </w:r>
          </w:p>
        </w:tc>
        <w:tc>
          <w:tcPr>
            <w:tcW w:w="1890" w:type="dxa"/>
            <w:noWrap w:val="0"/>
            <w:tcMar>
              <w:top w:w="15" w:type="dxa"/>
              <w:left w:w="15" w:type="dxa"/>
              <w:right w:w="15" w:type="dxa"/>
            </w:tcMar>
            <w:vAlign w:val="center"/>
          </w:tcPr>
          <w:p w14:paraId="3F2B6693">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Fonts w:hint="default" w:ascii="Times New Roman" w:hAnsi="Times New Roman" w:eastAsia="宋体" w:cs="Times New Roman"/>
                <w:i w:val="0"/>
                <w:color w:val="0000FF"/>
                <w:kern w:val="0"/>
                <w:sz w:val="20"/>
                <w:szCs w:val="20"/>
                <w:u w:val="none"/>
                <w:lang w:val="en-US" w:eastAsia="zh-CN" w:bidi="ar"/>
              </w:rPr>
              <w:t>17982.27</w:t>
            </w:r>
          </w:p>
        </w:tc>
      </w:tr>
      <w:tr w14:paraId="62D88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7" w:hRule="atLeast"/>
          <w:jc w:val="center"/>
        </w:trPr>
        <w:tc>
          <w:tcPr>
            <w:tcW w:w="701" w:type="dxa"/>
            <w:noWrap w:val="0"/>
            <w:tcMar>
              <w:top w:w="15" w:type="dxa"/>
              <w:left w:w="15" w:type="dxa"/>
              <w:right w:w="15" w:type="dxa"/>
            </w:tcMar>
            <w:vAlign w:val="center"/>
          </w:tcPr>
          <w:p w14:paraId="2316ED8F">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Fonts w:hint="default" w:ascii="Times New Roman" w:hAnsi="Times New Roman" w:eastAsia="宋体" w:cs="Times New Roman"/>
                <w:i w:val="0"/>
                <w:color w:val="0000FF"/>
                <w:kern w:val="0"/>
                <w:sz w:val="20"/>
                <w:szCs w:val="20"/>
                <w:u w:val="none"/>
                <w:lang w:val="en-US" w:eastAsia="zh-CN" w:bidi="ar"/>
              </w:rPr>
              <w:t>30</w:t>
            </w:r>
          </w:p>
        </w:tc>
        <w:tc>
          <w:tcPr>
            <w:tcW w:w="3384" w:type="dxa"/>
            <w:noWrap w:val="0"/>
            <w:tcMar>
              <w:top w:w="15" w:type="dxa"/>
              <w:left w:w="15" w:type="dxa"/>
              <w:right w:w="15" w:type="dxa"/>
            </w:tcMar>
            <w:vAlign w:val="center"/>
          </w:tcPr>
          <w:p w14:paraId="46B8538F">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Style w:val="7"/>
                <w:rFonts w:hint="default" w:ascii="Times New Roman" w:hAnsi="Times New Roman" w:cs="Times New Roman"/>
                <w:color w:val="0000FF"/>
                <w:sz w:val="20"/>
                <w:szCs w:val="20"/>
                <w:lang w:val="en-US" w:eastAsia="zh-CN" w:bidi="ar"/>
              </w:rPr>
              <w:t>食用农产品</w:t>
            </w:r>
          </w:p>
        </w:tc>
        <w:tc>
          <w:tcPr>
            <w:tcW w:w="2005" w:type="dxa"/>
            <w:noWrap w:val="0"/>
            <w:tcMar>
              <w:top w:w="15" w:type="dxa"/>
              <w:left w:w="15" w:type="dxa"/>
              <w:right w:w="15" w:type="dxa"/>
            </w:tcMar>
            <w:vAlign w:val="center"/>
          </w:tcPr>
          <w:p w14:paraId="27F89DF9">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Fonts w:hint="default" w:ascii="Times New Roman" w:hAnsi="Times New Roman" w:eastAsia="宋体" w:cs="Times New Roman"/>
                <w:i w:val="0"/>
                <w:color w:val="0000FF"/>
                <w:kern w:val="0"/>
                <w:sz w:val="20"/>
                <w:szCs w:val="20"/>
                <w:u w:val="none"/>
                <w:lang w:val="en-US" w:eastAsia="zh-CN" w:bidi="ar"/>
              </w:rPr>
              <w:t>163</w:t>
            </w:r>
          </w:p>
        </w:tc>
        <w:tc>
          <w:tcPr>
            <w:tcW w:w="1890" w:type="dxa"/>
            <w:noWrap w:val="0"/>
            <w:tcMar>
              <w:top w:w="15" w:type="dxa"/>
              <w:left w:w="15" w:type="dxa"/>
              <w:right w:w="15" w:type="dxa"/>
            </w:tcMar>
            <w:vAlign w:val="center"/>
          </w:tcPr>
          <w:p w14:paraId="3390C931">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Fonts w:hint="default" w:ascii="Times New Roman" w:hAnsi="Times New Roman" w:eastAsia="宋体" w:cs="Times New Roman"/>
                <w:i w:val="0"/>
                <w:color w:val="0000FF"/>
                <w:kern w:val="0"/>
                <w:sz w:val="20"/>
                <w:szCs w:val="20"/>
                <w:u w:val="none"/>
                <w:lang w:val="en-US" w:eastAsia="zh-CN" w:bidi="ar"/>
              </w:rPr>
              <w:t>325678.89</w:t>
            </w:r>
          </w:p>
        </w:tc>
      </w:tr>
      <w:tr w14:paraId="6CE3D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7" w:hRule="atLeast"/>
          <w:jc w:val="center"/>
        </w:trPr>
        <w:tc>
          <w:tcPr>
            <w:tcW w:w="4085" w:type="dxa"/>
            <w:gridSpan w:val="2"/>
            <w:noWrap w:val="0"/>
            <w:tcMar>
              <w:top w:w="15" w:type="dxa"/>
              <w:left w:w="15" w:type="dxa"/>
              <w:right w:w="15" w:type="dxa"/>
            </w:tcMar>
            <w:vAlign w:val="center"/>
          </w:tcPr>
          <w:p w14:paraId="198E7F41">
            <w:pPr>
              <w:keepNext w:val="0"/>
              <w:keepLines w:val="0"/>
              <w:widowControl/>
              <w:suppressLineNumbers w:val="0"/>
              <w:jc w:val="center"/>
              <w:textAlignment w:val="center"/>
              <w:rPr>
                <w:rStyle w:val="7"/>
                <w:rFonts w:hint="default" w:ascii="Times New Roman" w:hAnsi="Times New Roman" w:cs="Times New Roman"/>
                <w:b/>
                <w:bCs w:val="0"/>
                <w:color w:val="0000FF"/>
                <w:sz w:val="20"/>
                <w:szCs w:val="20"/>
                <w:lang w:val="en-US" w:eastAsia="zh-CN" w:bidi="ar"/>
              </w:rPr>
            </w:pPr>
            <w:r>
              <w:rPr>
                <w:rFonts w:hint="default" w:ascii="Times New Roman" w:hAnsi="Times New Roman" w:eastAsia="宋体" w:cs="Times New Roman"/>
                <w:b/>
                <w:bCs w:val="0"/>
                <w:i w:val="0"/>
                <w:color w:val="0000FF"/>
                <w:kern w:val="0"/>
                <w:sz w:val="20"/>
                <w:szCs w:val="20"/>
                <w:u w:val="none"/>
                <w:lang w:val="en-US" w:eastAsia="zh-CN" w:bidi="ar"/>
              </w:rPr>
              <w:t>合计</w:t>
            </w:r>
          </w:p>
        </w:tc>
        <w:tc>
          <w:tcPr>
            <w:tcW w:w="2005" w:type="dxa"/>
            <w:noWrap w:val="0"/>
            <w:tcMar>
              <w:top w:w="15" w:type="dxa"/>
              <w:left w:w="15" w:type="dxa"/>
              <w:right w:w="15" w:type="dxa"/>
            </w:tcMar>
            <w:vAlign w:val="center"/>
          </w:tcPr>
          <w:p w14:paraId="7C33FD92">
            <w:pPr>
              <w:keepNext w:val="0"/>
              <w:keepLines w:val="0"/>
              <w:widowControl/>
              <w:suppressLineNumbers w:val="0"/>
              <w:jc w:val="center"/>
              <w:textAlignment w:val="center"/>
              <w:rPr>
                <w:rFonts w:hint="default" w:ascii="Times New Roman" w:hAnsi="Times New Roman" w:eastAsia="宋体" w:cs="Times New Roman"/>
                <w:b/>
                <w:bCs w:val="0"/>
                <w:i w:val="0"/>
                <w:color w:val="0000FF"/>
                <w:kern w:val="0"/>
                <w:sz w:val="20"/>
                <w:szCs w:val="20"/>
                <w:u w:val="none"/>
                <w:lang w:val="en-US" w:eastAsia="zh-CN" w:bidi="ar"/>
              </w:rPr>
            </w:pPr>
            <w:r>
              <w:rPr>
                <w:rFonts w:hint="default" w:ascii="Times New Roman" w:hAnsi="Times New Roman" w:eastAsia="宋体" w:cs="Times New Roman"/>
                <w:b/>
                <w:i w:val="0"/>
                <w:color w:val="0000FF"/>
                <w:kern w:val="0"/>
                <w:sz w:val="20"/>
                <w:szCs w:val="20"/>
                <w:u w:val="none"/>
                <w:lang w:val="en-US" w:eastAsia="zh-CN" w:bidi="ar"/>
              </w:rPr>
              <w:t>1030</w:t>
            </w:r>
          </w:p>
        </w:tc>
        <w:tc>
          <w:tcPr>
            <w:tcW w:w="1890" w:type="dxa"/>
            <w:noWrap w:val="0"/>
            <w:tcMar>
              <w:top w:w="15" w:type="dxa"/>
              <w:left w:w="15" w:type="dxa"/>
              <w:right w:w="15" w:type="dxa"/>
            </w:tcMar>
            <w:vAlign w:val="center"/>
          </w:tcPr>
          <w:p w14:paraId="5EE8D304">
            <w:pPr>
              <w:keepNext w:val="0"/>
              <w:keepLines w:val="0"/>
              <w:widowControl/>
              <w:suppressLineNumbers w:val="0"/>
              <w:jc w:val="center"/>
              <w:textAlignment w:val="center"/>
              <w:rPr>
                <w:rFonts w:hint="default" w:ascii="Times New Roman" w:hAnsi="Times New Roman" w:eastAsia="宋体" w:cs="Times New Roman"/>
                <w:b/>
                <w:bCs w:val="0"/>
                <w:i w:val="0"/>
                <w:color w:val="0000FF"/>
                <w:kern w:val="0"/>
                <w:sz w:val="20"/>
                <w:szCs w:val="20"/>
                <w:u w:val="none"/>
                <w:lang w:val="en-US" w:eastAsia="zh-CN" w:bidi="ar"/>
              </w:rPr>
            </w:pPr>
            <w:r>
              <w:rPr>
                <w:rFonts w:hint="default" w:ascii="Times New Roman" w:hAnsi="Times New Roman" w:eastAsia="宋体" w:cs="Times New Roman"/>
                <w:b/>
                <w:i w:val="0"/>
                <w:color w:val="0000FF"/>
                <w:kern w:val="0"/>
                <w:sz w:val="20"/>
                <w:szCs w:val="20"/>
                <w:u w:val="none"/>
                <w:lang w:val="en-US" w:eastAsia="zh-CN" w:bidi="ar"/>
              </w:rPr>
              <w:t>2057970.9</w:t>
            </w:r>
          </w:p>
        </w:tc>
      </w:tr>
    </w:tbl>
    <w:p w14:paraId="31FFF19F">
      <w:pPr>
        <w:pStyle w:val="6"/>
        <w:numPr>
          <w:ilvl w:val="0"/>
          <w:numId w:val="0"/>
        </w:numPr>
        <w:ind w:left="480" w:leftChars="0"/>
        <w:jc w:val="both"/>
        <w:rPr>
          <w:rFonts w:hint="default" w:ascii="Times New Roman" w:hAnsi="Times New Roman" w:eastAsia="宋体" w:cs="Times New Roman"/>
          <w:color w:val="0000FF"/>
          <w:sz w:val="20"/>
          <w:szCs w:val="20"/>
          <w:highlight w:val="none"/>
          <w:lang w:eastAsia="zh-CN"/>
        </w:rPr>
      </w:pPr>
    </w:p>
    <w:p w14:paraId="7FBBEC74">
      <w:pPr>
        <w:pStyle w:val="6"/>
        <w:numPr>
          <w:ilvl w:val="0"/>
          <w:numId w:val="0"/>
        </w:numPr>
        <w:jc w:val="both"/>
        <w:rPr>
          <w:rFonts w:hint="default" w:ascii="Times New Roman" w:hAnsi="Times New Roman" w:cs="Times New Roman"/>
          <w:b/>
          <w:bCs/>
          <w:color w:val="0000FF"/>
          <w:sz w:val="20"/>
          <w:szCs w:val="20"/>
          <w:highlight w:val="none"/>
          <w:lang w:eastAsia="zh-CN"/>
        </w:rPr>
      </w:pPr>
    </w:p>
    <w:p w14:paraId="3093D431">
      <w:pPr>
        <w:pStyle w:val="6"/>
        <w:numPr>
          <w:ilvl w:val="0"/>
          <w:numId w:val="0"/>
        </w:numPr>
        <w:jc w:val="both"/>
        <w:rPr>
          <w:rFonts w:hint="default" w:ascii="Times New Roman" w:hAnsi="Times New Roman" w:cs="Times New Roman"/>
          <w:color w:val="0000FF"/>
          <w:sz w:val="20"/>
          <w:szCs w:val="20"/>
          <w:highlight w:val="none"/>
          <w:lang w:val="en-US" w:eastAsia="zh-CN"/>
        </w:rPr>
      </w:pPr>
      <w:r>
        <w:rPr>
          <w:rFonts w:hint="eastAsia" w:ascii="Times New Roman" w:hAnsi="Times New Roman" w:cs="Times New Roman"/>
          <w:b/>
          <w:bCs/>
          <w:color w:val="0000FF"/>
          <w:sz w:val="20"/>
          <w:szCs w:val="20"/>
          <w:highlight w:val="none"/>
          <w:lang w:val="en-US" w:eastAsia="zh-CN"/>
        </w:rPr>
        <w:t>采购包</w:t>
      </w:r>
      <w:r>
        <w:rPr>
          <w:rFonts w:hint="default" w:ascii="Times New Roman" w:hAnsi="Times New Roman" w:cs="Times New Roman"/>
          <w:b/>
          <w:bCs/>
          <w:color w:val="0000FF"/>
          <w:sz w:val="20"/>
          <w:szCs w:val="20"/>
          <w:highlight w:val="none"/>
          <w:lang w:val="en-US" w:eastAsia="zh-CN"/>
        </w:rPr>
        <w:t>2</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51"/>
        <w:gridCol w:w="3517"/>
        <w:gridCol w:w="1917"/>
        <w:gridCol w:w="1600"/>
      </w:tblGrid>
      <w:tr w14:paraId="181E9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1" w:hRule="atLeast"/>
        </w:trPr>
        <w:tc>
          <w:tcPr>
            <w:tcW w:w="1051" w:type="dxa"/>
            <w:noWrap w:val="0"/>
            <w:tcMar>
              <w:top w:w="15" w:type="dxa"/>
              <w:left w:w="15" w:type="dxa"/>
              <w:right w:w="15" w:type="dxa"/>
            </w:tcMar>
            <w:vAlign w:val="center"/>
          </w:tcPr>
          <w:p w14:paraId="11FCE6C9">
            <w:pPr>
              <w:jc w:val="center"/>
              <w:rPr>
                <w:rFonts w:hint="default" w:ascii="Times New Roman" w:hAnsi="Times New Roman" w:eastAsia="宋体" w:cs="Times New Roman"/>
                <w:i w:val="0"/>
                <w:color w:val="0000FF"/>
                <w:sz w:val="20"/>
                <w:szCs w:val="20"/>
                <w:u w:val="none"/>
              </w:rPr>
            </w:pPr>
            <w:r>
              <w:rPr>
                <w:rFonts w:hint="default" w:ascii="Times New Roman" w:hAnsi="Times New Roman" w:eastAsia="宋体" w:cs="Times New Roman"/>
                <w:b/>
                <w:bCs/>
                <w:i w:val="0"/>
                <w:color w:val="0000FF"/>
                <w:sz w:val="20"/>
                <w:szCs w:val="20"/>
                <w:u w:val="none"/>
                <w:lang w:eastAsia="zh-CN"/>
              </w:rPr>
              <w:t>序号</w:t>
            </w:r>
          </w:p>
        </w:tc>
        <w:tc>
          <w:tcPr>
            <w:tcW w:w="3517" w:type="dxa"/>
            <w:noWrap w:val="0"/>
            <w:tcMar>
              <w:top w:w="15" w:type="dxa"/>
              <w:left w:w="15" w:type="dxa"/>
              <w:right w:w="15" w:type="dxa"/>
            </w:tcMar>
            <w:vAlign w:val="center"/>
          </w:tcPr>
          <w:p w14:paraId="2CFD1A6E">
            <w:pPr>
              <w:keepNext w:val="0"/>
              <w:keepLines w:val="0"/>
              <w:widowControl/>
              <w:suppressLineNumbers w:val="0"/>
              <w:jc w:val="center"/>
              <w:textAlignment w:val="center"/>
              <w:rPr>
                <w:rFonts w:hint="default" w:ascii="Times New Roman" w:hAnsi="Times New Roman" w:eastAsia="宋体" w:cs="Times New Roman"/>
                <w:b/>
                <w:i w:val="0"/>
                <w:color w:val="0000FF"/>
                <w:sz w:val="20"/>
                <w:szCs w:val="20"/>
                <w:u w:val="none"/>
              </w:rPr>
            </w:pPr>
            <w:r>
              <w:rPr>
                <w:rFonts w:hint="default" w:ascii="Times New Roman" w:hAnsi="Times New Roman" w:eastAsia="宋体" w:cs="Times New Roman"/>
                <w:b/>
                <w:bCs/>
                <w:i w:val="0"/>
                <w:color w:val="0000FF"/>
                <w:kern w:val="0"/>
                <w:sz w:val="20"/>
                <w:szCs w:val="20"/>
                <w:u w:val="none"/>
                <w:lang w:val="en-US" w:eastAsia="zh-CN" w:bidi="ar"/>
              </w:rPr>
              <w:t>食品大类（一级）</w:t>
            </w:r>
          </w:p>
        </w:tc>
        <w:tc>
          <w:tcPr>
            <w:tcW w:w="1917" w:type="dxa"/>
            <w:noWrap w:val="0"/>
            <w:tcMar>
              <w:top w:w="15" w:type="dxa"/>
              <w:left w:w="15" w:type="dxa"/>
              <w:right w:w="15" w:type="dxa"/>
            </w:tcMar>
            <w:vAlign w:val="center"/>
          </w:tcPr>
          <w:p w14:paraId="39EC8452">
            <w:pPr>
              <w:keepNext w:val="0"/>
              <w:keepLines w:val="0"/>
              <w:widowControl/>
              <w:suppressLineNumbers w:val="0"/>
              <w:jc w:val="center"/>
              <w:textAlignment w:val="center"/>
              <w:rPr>
                <w:rFonts w:hint="default" w:ascii="Times New Roman" w:hAnsi="Times New Roman" w:eastAsia="宋体" w:cs="Times New Roman"/>
                <w:b/>
                <w:i w:val="0"/>
                <w:color w:val="0000FF"/>
                <w:sz w:val="20"/>
                <w:szCs w:val="20"/>
                <w:u w:val="none"/>
              </w:rPr>
            </w:pPr>
            <w:r>
              <w:rPr>
                <w:rFonts w:hint="default" w:ascii="Times New Roman" w:hAnsi="Times New Roman" w:cs="Times New Roman"/>
                <w:b/>
                <w:bCs/>
                <w:i w:val="0"/>
                <w:color w:val="0000FF"/>
                <w:sz w:val="20"/>
                <w:szCs w:val="20"/>
                <w:u w:val="none"/>
                <w:lang w:eastAsia="zh-CN"/>
              </w:rPr>
              <w:t>任务量（批次）</w:t>
            </w:r>
          </w:p>
        </w:tc>
        <w:tc>
          <w:tcPr>
            <w:tcW w:w="1600" w:type="dxa"/>
            <w:noWrap w:val="0"/>
            <w:tcMar>
              <w:top w:w="15" w:type="dxa"/>
              <w:left w:w="15" w:type="dxa"/>
              <w:right w:w="15" w:type="dxa"/>
            </w:tcMar>
            <w:vAlign w:val="center"/>
          </w:tcPr>
          <w:p w14:paraId="23435A25">
            <w:pPr>
              <w:keepNext w:val="0"/>
              <w:keepLines w:val="0"/>
              <w:widowControl/>
              <w:suppressLineNumbers w:val="0"/>
              <w:jc w:val="center"/>
              <w:textAlignment w:val="center"/>
              <w:rPr>
                <w:rFonts w:hint="default" w:ascii="Times New Roman" w:hAnsi="Times New Roman" w:eastAsia="宋体" w:cs="Times New Roman"/>
                <w:b/>
                <w:i w:val="0"/>
                <w:color w:val="0000FF"/>
                <w:sz w:val="20"/>
                <w:szCs w:val="20"/>
                <w:u w:val="none"/>
              </w:rPr>
            </w:pPr>
            <w:r>
              <w:rPr>
                <w:rFonts w:hint="default" w:ascii="Times New Roman" w:hAnsi="Times New Roman" w:cs="Times New Roman"/>
                <w:b/>
                <w:bCs/>
                <w:i w:val="0"/>
                <w:color w:val="0000FF"/>
                <w:sz w:val="20"/>
                <w:szCs w:val="20"/>
                <w:u w:val="none"/>
                <w:lang w:eastAsia="zh-CN"/>
              </w:rPr>
              <w:t>预算（元）</w:t>
            </w:r>
          </w:p>
        </w:tc>
      </w:tr>
      <w:tr w14:paraId="019DC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8" w:hRule="atLeast"/>
        </w:trPr>
        <w:tc>
          <w:tcPr>
            <w:tcW w:w="1051" w:type="dxa"/>
            <w:noWrap w:val="0"/>
            <w:tcMar>
              <w:top w:w="15" w:type="dxa"/>
              <w:left w:w="15" w:type="dxa"/>
              <w:right w:w="15" w:type="dxa"/>
            </w:tcMar>
            <w:vAlign w:val="center"/>
          </w:tcPr>
          <w:p w14:paraId="3DF6935E">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Fonts w:hint="default" w:ascii="Times New Roman" w:hAnsi="Times New Roman" w:eastAsia="宋体" w:cs="Times New Roman"/>
                <w:i w:val="0"/>
                <w:color w:val="0000FF"/>
                <w:kern w:val="0"/>
                <w:sz w:val="20"/>
                <w:szCs w:val="20"/>
                <w:u w:val="none"/>
                <w:lang w:val="en-US" w:eastAsia="zh-CN" w:bidi="ar"/>
              </w:rPr>
              <w:t>1</w:t>
            </w:r>
          </w:p>
        </w:tc>
        <w:tc>
          <w:tcPr>
            <w:tcW w:w="3517" w:type="dxa"/>
            <w:noWrap w:val="0"/>
            <w:tcMar>
              <w:top w:w="15" w:type="dxa"/>
              <w:left w:w="15" w:type="dxa"/>
              <w:right w:w="15" w:type="dxa"/>
            </w:tcMar>
            <w:vAlign w:val="center"/>
          </w:tcPr>
          <w:p w14:paraId="67340D66">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Style w:val="7"/>
                <w:rFonts w:hint="default" w:ascii="Times New Roman" w:hAnsi="Times New Roman" w:cs="Times New Roman"/>
                <w:color w:val="0000FF"/>
                <w:sz w:val="20"/>
                <w:szCs w:val="20"/>
                <w:lang w:val="en-US" w:eastAsia="zh-CN" w:bidi="ar"/>
              </w:rPr>
              <w:t>粮食加工品</w:t>
            </w:r>
          </w:p>
        </w:tc>
        <w:tc>
          <w:tcPr>
            <w:tcW w:w="1917" w:type="dxa"/>
            <w:noWrap w:val="0"/>
            <w:tcMar>
              <w:top w:w="15" w:type="dxa"/>
              <w:left w:w="15" w:type="dxa"/>
              <w:right w:w="15" w:type="dxa"/>
            </w:tcMar>
            <w:vAlign w:val="center"/>
          </w:tcPr>
          <w:p w14:paraId="70B5F1FC">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Fonts w:hint="default" w:ascii="Times New Roman" w:hAnsi="Times New Roman" w:eastAsia="宋体" w:cs="Times New Roman"/>
                <w:i w:val="0"/>
                <w:color w:val="0000FF"/>
                <w:kern w:val="0"/>
                <w:sz w:val="20"/>
                <w:szCs w:val="20"/>
                <w:u w:val="none"/>
                <w:lang w:val="en-US" w:eastAsia="zh-CN" w:bidi="ar"/>
              </w:rPr>
              <w:t>47</w:t>
            </w:r>
          </w:p>
        </w:tc>
        <w:tc>
          <w:tcPr>
            <w:tcW w:w="1600" w:type="dxa"/>
            <w:noWrap w:val="0"/>
            <w:tcMar>
              <w:top w:w="15" w:type="dxa"/>
              <w:left w:w="15" w:type="dxa"/>
              <w:right w:w="15" w:type="dxa"/>
            </w:tcMar>
            <w:vAlign w:val="center"/>
          </w:tcPr>
          <w:p w14:paraId="79B73C32">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Fonts w:hint="default" w:ascii="Times New Roman" w:hAnsi="Times New Roman" w:eastAsia="宋体" w:cs="Times New Roman"/>
                <w:i w:val="0"/>
                <w:color w:val="0000FF"/>
                <w:kern w:val="0"/>
                <w:sz w:val="20"/>
                <w:szCs w:val="20"/>
                <w:u w:val="none"/>
                <w:lang w:val="en-US" w:eastAsia="zh-CN" w:bidi="ar"/>
              </w:rPr>
              <w:t>94116.56</w:t>
            </w:r>
          </w:p>
        </w:tc>
      </w:tr>
      <w:tr w14:paraId="535F2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8" w:hRule="atLeast"/>
        </w:trPr>
        <w:tc>
          <w:tcPr>
            <w:tcW w:w="1051" w:type="dxa"/>
            <w:noWrap w:val="0"/>
            <w:tcMar>
              <w:top w:w="15" w:type="dxa"/>
              <w:left w:w="15" w:type="dxa"/>
              <w:right w:w="15" w:type="dxa"/>
            </w:tcMar>
            <w:vAlign w:val="center"/>
          </w:tcPr>
          <w:p w14:paraId="1441C4E8">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Fonts w:hint="default" w:ascii="Times New Roman" w:hAnsi="Times New Roman" w:eastAsia="宋体" w:cs="Times New Roman"/>
                <w:i w:val="0"/>
                <w:color w:val="0000FF"/>
                <w:kern w:val="0"/>
                <w:sz w:val="20"/>
                <w:szCs w:val="20"/>
                <w:u w:val="none"/>
                <w:lang w:val="en-US" w:eastAsia="zh-CN" w:bidi="ar"/>
              </w:rPr>
              <w:t>2</w:t>
            </w:r>
          </w:p>
        </w:tc>
        <w:tc>
          <w:tcPr>
            <w:tcW w:w="3517" w:type="dxa"/>
            <w:noWrap w:val="0"/>
            <w:tcMar>
              <w:top w:w="15" w:type="dxa"/>
              <w:left w:w="15" w:type="dxa"/>
              <w:right w:w="15" w:type="dxa"/>
            </w:tcMar>
            <w:vAlign w:val="center"/>
          </w:tcPr>
          <w:p w14:paraId="3AA083AF">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Style w:val="7"/>
                <w:rFonts w:hint="default" w:ascii="Times New Roman" w:hAnsi="Times New Roman" w:cs="Times New Roman"/>
                <w:color w:val="0000FF"/>
                <w:sz w:val="20"/>
                <w:szCs w:val="20"/>
                <w:lang w:val="en-US" w:eastAsia="zh-CN" w:bidi="ar"/>
              </w:rPr>
              <w:t>食用油、油脂及其制品</w:t>
            </w:r>
          </w:p>
        </w:tc>
        <w:tc>
          <w:tcPr>
            <w:tcW w:w="1917" w:type="dxa"/>
            <w:noWrap w:val="0"/>
            <w:tcMar>
              <w:top w:w="15" w:type="dxa"/>
              <w:left w:w="15" w:type="dxa"/>
              <w:right w:w="15" w:type="dxa"/>
            </w:tcMar>
            <w:vAlign w:val="center"/>
          </w:tcPr>
          <w:p w14:paraId="179DD606">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Fonts w:hint="default" w:ascii="Times New Roman" w:hAnsi="Times New Roman" w:eastAsia="宋体" w:cs="Times New Roman"/>
                <w:i w:val="0"/>
                <w:color w:val="0000FF"/>
                <w:kern w:val="0"/>
                <w:sz w:val="20"/>
                <w:szCs w:val="20"/>
                <w:u w:val="none"/>
                <w:lang w:val="en-US" w:eastAsia="zh-CN" w:bidi="ar"/>
              </w:rPr>
              <w:t>91</w:t>
            </w:r>
          </w:p>
        </w:tc>
        <w:tc>
          <w:tcPr>
            <w:tcW w:w="1600" w:type="dxa"/>
            <w:noWrap w:val="0"/>
            <w:tcMar>
              <w:top w:w="15" w:type="dxa"/>
              <w:left w:w="15" w:type="dxa"/>
              <w:right w:w="15" w:type="dxa"/>
            </w:tcMar>
            <w:vAlign w:val="center"/>
          </w:tcPr>
          <w:p w14:paraId="53406CAE">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Fonts w:hint="default" w:ascii="Times New Roman" w:hAnsi="Times New Roman" w:eastAsia="宋体" w:cs="Times New Roman"/>
                <w:i w:val="0"/>
                <w:color w:val="0000FF"/>
                <w:kern w:val="0"/>
                <w:sz w:val="20"/>
                <w:szCs w:val="20"/>
                <w:u w:val="none"/>
                <w:lang w:val="en-US" w:eastAsia="zh-CN" w:bidi="ar"/>
              </w:rPr>
              <w:t>182225.68</w:t>
            </w:r>
          </w:p>
        </w:tc>
      </w:tr>
      <w:tr w14:paraId="7E5B9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8" w:hRule="atLeast"/>
        </w:trPr>
        <w:tc>
          <w:tcPr>
            <w:tcW w:w="1051" w:type="dxa"/>
            <w:noWrap w:val="0"/>
            <w:tcMar>
              <w:top w:w="15" w:type="dxa"/>
              <w:left w:w="15" w:type="dxa"/>
              <w:right w:w="15" w:type="dxa"/>
            </w:tcMar>
            <w:vAlign w:val="center"/>
          </w:tcPr>
          <w:p w14:paraId="4AF638FD">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Fonts w:hint="default" w:ascii="Times New Roman" w:hAnsi="Times New Roman" w:eastAsia="宋体" w:cs="Times New Roman"/>
                <w:i w:val="0"/>
                <w:color w:val="0000FF"/>
                <w:kern w:val="0"/>
                <w:sz w:val="20"/>
                <w:szCs w:val="20"/>
                <w:u w:val="none"/>
                <w:lang w:val="en-US" w:eastAsia="zh-CN" w:bidi="ar"/>
              </w:rPr>
              <w:t>3</w:t>
            </w:r>
          </w:p>
        </w:tc>
        <w:tc>
          <w:tcPr>
            <w:tcW w:w="3517" w:type="dxa"/>
            <w:noWrap w:val="0"/>
            <w:tcMar>
              <w:top w:w="15" w:type="dxa"/>
              <w:left w:w="15" w:type="dxa"/>
              <w:right w:w="15" w:type="dxa"/>
            </w:tcMar>
            <w:vAlign w:val="center"/>
          </w:tcPr>
          <w:p w14:paraId="10981641">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Style w:val="7"/>
                <w:rFonts w:hint="default" w:ascii="Times New Roman" w:hAnsi="Times New Roman" w:cs="Times New Roman"/>
                <w:color w:val="0000FF"/>
                <w:sz w:val="20"/>
                <w:szCs w:val="20"/>
                <w:lang w:val="en-US" w:eastAsia="zh-CN" w:bidi="ar"/>
              </w:rPr>
              <w:t>调味品</w:t>
            </w:r>
          </w:p>
        </w:tc>
        <w:tc>
          <w:tcPr>
            <w:tcW w:w="1917" w:type="dxa"/>
            <w:noWrap w:val="0"/>
            <w:tcMar>
              <w:top w:w="15" w:type="dxa"/>
              <w:left w:w="15" w:type="dxa"/>
              <w:right w:w="15" w:type="dxa"/>
            </w:tcMar>
            <w:vAlign w:val="center"/>
          </w:tcPr>
          <w:p w14:paraId="34BEDD75">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Fonts w:hint="default" w:ascii="Times New Roman" w:hAnsi="Times New Roman" w:eastAsia="宋体" w:cs="Times New Roman"/>
                <w:i w:val="0"/>
                <w:color w:val="0000FF"/>
                <w:kern w:val="0"/>
                <w:sz w:val="20"/>
                <w:szCs w:val="20"/>
                <w:u w:val="none"/>
                <w:lang w:val="en-US" w:eastAsia="zh-CN" w:bidi="ar"/>
              </w:rPr>
              <w:t>21</w:t>
            </w:r>
          </w:p>
        </w:tc>
        <w:tc>
          <w:tcPr>
            <w:tcW w:w="1600" w:type="dxa"/>
            <w:noWrap w:val="0"/>
            <w:tcMar>
              <w:top w:w="15" w:type="dxa"/>
              <w:left w:w="15" w:type="dxa"/>
              <w:right w:w="15" w:type="dxa"/>
            </w:tcMar>
            <w:vAlign w:val="center"/>
          </w:tcPr>
          <w:p w14:paraId="11EF0001">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Fonts w:hint="default" w:ascii="Times New Roman" w:hAnsi="Times New Roman" w:eastAsia="宋体" w:cs="Times New Roman"/>
                <w:i w:val="0"/>
                <w:color w:val="0000FF"/>
                <w:kern w:val="0"/>
                <w:sz w:val="20"/>
                <w:szCs w:val="20"/>
                <w:u w:val="none"/>
                <w:lang w:val="en-US" w:eastAsia="zh-CN" w:bidi="ar"/>
              </w:rPr>
              <w:t>42052.08</w:t>
            </w:r>
          </w:p>
        </w:tc>
      </w:tr>
      <w:tr w14:paraId="2A03F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8" w:hRule="atLeast"/>
        </w:trPr>
        <w:tc>
          <w:tcPr>
            <w:tcW w:w="1051" w:type="dxa"/>
            <w:noWrap w:val="0"/>
            <w:tcMar>
              <w:top w:w="15" w:type="dxa"/>
              <w:left w:w="15" w:type="dxa"/>
              <w:right w:w="15" w:type="dxa"/>
            </w:tcMar>
            <w:vAlign w:val="center"/>
          </w:tcPr>
          <w:p w14:paraId="75352A7B">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Fonts w:hint="default" w:ascii="Times New Roman" w:hAnsi="Times New Roman" w:eastAsia="宋体" w:cs="Times New Roman"/>
                <w:i w:val="0"/>
                <w:color w:val="0000FF"/>
                <w:kern w:val="0"/>
                <w:sz w:val="20"/>
                <w:szCs w:val="20"/>
                <w:u w:val="none"/>
                <w:lang w:val="en-US" w:eastAsia="zh-CN" w:bidi="ar"/>
              </w:rPr>
              <w:t>4</w:t>
            </w:r>
          </w:p>
        </w:tc>
        <w:tc>
          <w:tcPr>
            <w:tcW w:w="3517" w:type="dxa"/>
            <w:noWrap w:val="0"/>
            <w:tcMar>
              <w:top w:w="15" w:type="dxa"/>
              <w:left w:w="15" w:type="dxa"/>
              <w:right w:w="15" w:type="dxa"/>
            </w:tcMar>
            <w:vAlign w:val="center"/>
          </w:tcPr>
          <w:p w14:paraId="6ABDEA59">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Style w:val="7"/>
                <w:rFonts w:hint="default" w:ascii="Times New Roman" w:hAnsi="Times New Roman" w:cs="Times New Roman"/>
                <w:color w:val="0000FF"/>
                <w:sz w:val="20"/>
                <w:szCs w:val="20"/>
                <w:lang w:val="en-US" w:eastAsia="zh-CN" w:bidi="ar"/>
              </w:rPr>
              <w:t>肉制品</w:t>
            </w:r>
          </w:p>
        </w:tc>
        <w:tc>
          <w:tcPr>
            <w:tcW w:w="1917" w:type="dxa"/>
            <w:noWrap w:val="0"/>
            <w:tcMar>
              <w:top w:w="15" w:type="dxa"/>
              <w:left w:w="15" w:type="dxa"/>
              <w:right w:w="15" w:type="dxa"/>
            </w:tcMar>
            <w:vAlign w:val="center"/>
          </w:tcPr>
          <w:p w14:paraId="24FCDC3B">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Fonts w:hint="default" w:ascii="Times New Roman" w:hAnsi="Times New Roman" w:eastAsia="宋体" w:cs="Times New Roman"/>
                <w:i w:val="0"/>
                <w:color w:val="0000FF"/>
                <w:kern w:val="0"/>
                <w:sz w:val="20"/>
                <w:szCs w:val="20"/>
                <w:u w:val="none"/>
                <w:lang w:val="en-US" w:eastAsia="zh-CN" w:bidi="ar"/>
              </w:rPr>
              <w:t>82</w:t>
            </w:r>
          </w:p>
        </w:tc>
        <w:tc>
          <w:tcPr>
            <w:tcW w:w="1600" w:type="dxa"/>
            <w:noWrap w:val="0"/>
            <w:tcMar>
              <w:top w:w="15" w:type="dxa"/>
              <w:left w:w="15" w:type="dxa"/>
              <w:right w:w="15" w:type="dxa"/>
            </w:tcMar>
            <w:vAlign w:val="center"/>
          </w:tcPr>
          <w:p w14:paraId="0D6FA8A1">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Fonts w:hint="default" w:ascii="Times New Roman" w:hAnsi="Times New Roman" w:eastAsia="宋体" w:cs="Times New Roman"/>
                <w:i w:val="0"/>
                <w:color w:val="0000FF"/>
                <w:kern w:val="0"/>
                <w:sz w:val="20"/>
                <w:szCs w:val="20"/>
                <w:u w:val="none"/>
                <w:lang w:val="en-US" w:eastAsia="zh-CN" w:bidi="ar"/>
              </w:rPr>
              <w:t>164203.36</w:t>
            </w:r>
          </w:p>
        </w:tc>
      </w:tr>
      <w:tr w14:paraId="25B46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8" w:hRule="atLeast"/>
        </w:trPr>
        <w:tc>
          <w:tcPr>
            <w:tcW w:w="1051" w:type="dxa"/>
            <w:noWrap w:val="0"/>
            <w:tcMar>
              <w:top w:w="15" w:type="dxa"/>
              <w:left w:w="15" w:type="dxa"/>
              <w:right w:w="15" w:type="dxa"/>
            </w:tcMar>
            <w:vAlign w:val="center"/>
          </w:tcPr>
          <w:p w14:paraId="4799BD07">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Fonts w:hint="default" w:ascii="Times New Roman" w:hAnsi="Times New Roman" w:eastAsia="宋体" w:cs="Times New Roman"/>
                <w:i w:val="0"/>
                <w:color w:val="0000FF"/>
                <w:kern w:val="0"/>
                <w:sz w:val="20"/>
                <w:szCs w:val="20"/>
                <w:u w:val="none"/>
                <w:lang w:val="en-US" w:eastAsia="zh-CN" w:bidi="ar"/>
              </w:rPr>
              <w:t>5</w:t>
            </w:r>
          </w:p>
        </w:tc>
        <w:tc>
          <w:tcPr>
            <w:tcW w:w="3517" w:type="dxa"/>
            <w:noWrap w:val="0"/>
            <w:tcMar>
              <w:top w:w="15" w:type="dxa"/>
              <w:left w:w="15" w:type="dxa"/>
              <w:right w:w="15" w:type="dxa"/>
            </w:tcMar>
            <w:vAlign w:val="center"/>
          </w:tcPr>
          <w:p w14:paraId="1692261E">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Style w:val="7"/>
                <w:rFonts w:hint="default" w:ascii="Times New Roman" w:hAnsi="Times New Roman" w:cs="Times New Roman"/>
                <w:color w:val="0000FF"/>
                <w:sz w:val="20"/>
                <w:szCs w:val="20"/>
                <w:lang w:val="en-US" w:eastAsia="zh-CN" w:bidi="ar"/>
              </w:rPr>
              <w:t>乳制品</w:t>
            </w:r>
          </w:p>
        </w:tc>
        <w:tc>
          <w:tcPr>
            <w:tcW w:w="1917" w:type="dxa"/>
            <w:noWrap w:val="0"/>
            <w:tcMar>
              <w:top w:w="15" w:type="dxa"/>
              <w:left w:w="15" w:type="dxa"/>
              <w:right w:w="15" w:type="dxa"/>
            </w:tcMar>
            <w:vAlign w:val="center"/>
          </w:tcPr>
          <w:p w14:paraId="4E5DA0F8">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Fonts w:hint="default" w:ascii="Times New Roman" w:hAnsi="Times New Roman" w:eastAsia="宋体" w:cs="Times New Roman"/>
                <w:i w:val="0"/>
                <w:color w:val="0000FF"/>
                <w:kern w:val="0"/>
                <w:sz w:val="20"/>
                <w:szCs w:val="20"/>
                <w:u w:val="none"/>
                <w:lang w:val="en-US" w:eastAsia="zh-CN" w:bidi="ar"/>
              </w:rPr>
              <w:t>1</w:t>
            </w:r>
          </w:p>
        </w:tc>
        <w:tc>
          <w:tcPr>
            <w:tcW w:w="1600" w:type="dxa"/>
            <w:noWrap w:val="0"/>
            <w:tcMar>
              <w:top w:w="15" w:type="dxa"/>
              <w:left w:w="15" w:type="dxa"/>
              <w:right w:w="15" w:type="dxa"/>
            </w:tcMar>
            <w:vAlign w:val="center"/>
          </w:tcPr>
          <w:p w14:paraId="416FE7E9">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Fonts w:hint="default" w:ascii="Times New Roman" w:hAnsi="Times New Roman" w:eastAsia="宋体" w:cs="Times New Roman"/>
                <w:i w:val="0"/>
                <w:color w:val="0000FF"/>
                <w:kern w:val="0"/>
                <w:sz w:val="20"/>
                <w:szCs w:val="20"/>
                <w:u w:val="none"/>
                <w:lang w:val="en-US" w:eastAsia="zh-CN" w:bidi="ar"/>
              </w:rPr>
              <w:t>2002.48</w:t>
            </w:r>
          </w:p>
        </w:tc>
      </w:tr>
      <w:tr w14:paraId="1D379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8" w:hRule="atLeast"/>
        </w:trPr>
        <w:tc>
          <w:tcPr>
            <w:tcW w:w="1051" w:type="dxa"/>
            <w:noWrap w:val="0"/>
            <w:tcMar>
              <w:top w:w="15" w:type="dxa"/>
              <w:left w:w="15" w:type="dxa"/>
              <w:right w:w="15" w:type="dxa"/>
            </w:tcMar>
            <w:vAlign w:val="center"/>
          </w:tcPr>
          <w:p w14:paraId="3247314E">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Fonts w:hint="default" w:ascii="Times New Roman" w:hAnsi="Times New Roman" w:eastAsia="宋体" w:cs="Times New Roman"/>
                <w:i w:val="0"/>
                <w:color w:val="0000FF"/>
                <w:kern w:val="0"/>
                <w:sz w:val="20"/>
                <w:szCs w:val="20"/>
                <w:u w:val="none"/>
                <w:lang w:val="en-US" w:eastAsia="zh-CN" w:bidi="ar"/>
              </w:rPr>
              <w:t>6</w:t>
            </w:r>
          </w:p>
        </w:tc>
        <w:tc>
          <w:tcPr>
            <w:tcW w:w="3517" w:type="dxa"/>
            <w:noWrap w:val="0"/>
            <w:tcMar>
              <w:top w:w="15" w:type="dxa"/>
              <w:left w:w="15" w:type="dxa"/>
              <w:right w:w="15" w:type="dxa"/>
            </w:tcMar>
            <w:vAlign w:val="center"/>
          </w:tcPr>
          <w:p w14:paraId="5239B8F6">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Style w:val="7"/>
                <w:rFonts w:hint="default" w:ascii="Times New Roman" w:hAnsi="Times New Roman" w:cs="Times New Roman"/>
                <w:color w:val="0000FF"/>
                <w:sz w:val="20"/>
                <w:szCs w:val="20"/>
                <w:lang w:val="en-US" w:eastAsia="zh-CN" w:bidi="ar"/>
              </w:rPr>
              <w:t>饮料</w:t>
            </w:r>
          </w:p>
        </w:tc>
        <w:tc>
          <w:tcPr>
            <w:tcW w:w="1917" w:type="dxa"/>
            <w:noWrap w:val="0"/>
            <w:tcMar>
              <w:top w:w="15" w:type="dxa"/>
              <w:left w:w="15" w:type="dxa"/>
              <w:right w:w="15" w:type="dxa"/>
            </w:tcMar>
            <w:vAlign w:val="center"/>
          </w:tcPr>
          <w:p w14:paraId="2F8C15B9">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Fonts w:hint="default" w:ascii="Times New Roman" w:hAnsi="Times New Roman" w:eastAsia="宋体" w:cs="Times New Roman"/>
                <w:i w:val="0"/>
                <w:color w:val="0000FF"/>
                <w:kern w:val="0"/>
                <w:sz w:val="20"/>
                <w:szCs w:val="20"/>
                <w:u w:val="none"/>
                <w:lang w:val="en-US" w:eastAsia="zh-CN" w:bidi="ar"/>
              </w:rPr>
              <w:t>45</w:t>
            </w:r>
          </w:p>
        </w:tc>
        <w:tc>
          <w:tcPr>
            <w:tcW w:w="1600" w:type="dxa"/>
            <w:noWrap w:val="0"/>
            <w:tcMar>
              <w:top w:w="15" w:type="dxa"/>
              <w:left w:w="15" w:type="dxa"/>
              <w:right w:w="15" w:type="dxa"/>
            </w:tcMar>
            <w:vAlign w:val="center"/>
          </w:tcPr>
          <w:p w14:paraId="7FB19DDF">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Fonts w:hint="default" w:ascii="Times New Roman" w:hAnsi="Times New Roman" w:eastAsia="宋体" w:cs="Times New Roman"/>
                <w:i w:val="0"/>
                <w:color w:val="0000FF"/>
                <w:kern w:val="0"/>
                <w:sz w:val="20"/>
                <w:szCs w:val="20"/>
                <w:u w:val="none"/>
                <w:lang w:val="en-US" w:eastAsia="zh-CN" w:bidi="ar"/>
              </w:rPr>
              <w:t>90111.6</w:t>
            </w:r>
          </w:p>
        </w:tc>
      </w:tr>
      <w:tr w14:paraId="05053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8" w:hRule="atLeast"/>
        </w:trPr>
        <w:tc>
          <w:tcPr>
            <w:tcW w:w="1051" w:type="dxa"/>
            <w:noWrap w:val="0"/>
            <w:tcMar>
              <w:top w:w="15" w:type="dxa"/>
              <w:left w:w="15" w:type="dxa"/>
              <w:right w:w="15" w:type="dxa"/>
            </w:tcMar>
            <w:vAlign w:val="center"/>
          </w:tcPr>
          <w:p w14:paraId="3A20AAF6">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Fonts w:hint="default" w:ascii="Times New Roman" w:hAnsi="Times New Roman" w:eastAsia="宋体" w:cs="Times New Roman"/>
                <w:i w:val="0"/>
                <w:color w:val="0000FF"/>
                <w:kern w:val="0"/>
                <w:sz w:val="20"/>
                <w:szCs w:val="20"/>
                <w:u w:val="none"/>
                <w:lang w:val="en-US" w:eastAsia="zh-CN" w:bidi="ar"/>
              </w:rPr>
              <w:t>7</w:t>
            </w:r>
          </w:p>
        </w:tc>
        <w:tc>
          <w:tcPr>
            <w:tcW w:w="3517" w:type="dxa"/>
            <w:noWrap w:val="0"/>
            <w:tcMar>
              <w:top w:w="15" w:type="dxa"/>
              <w:left w:w="15" w:type="dxa"/>
              <w:right w:w="15" w:type="dxa"/>
            </w:tcMar>
            <w:vAlign w:val="center"/>
          </w:tcPr>
          <w:p w14:paraId="0988A244">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Style w:val="7"/>
                <w:rFonts w:hint="default" w:ascii="Times New Roman" w:hAnsi="Times New Roman" w:cs="Times New Roman"/>
                <w:color w:val="0000FF"/>
                <w:sz w:val="20"/>
                <w:szCs w:val="20"/>
                <w:lang w:val="en-US" w:eastAsia="zh-CN" w:bidi="ar"/>
              </w:rPr>
              <w:t>方便食品</w:t>
            </w:r>
          </w:p>
        </w:tc>
        <w:tc>
          <w:tcPr>
            <w:tcW w:w="1917" w:type="dxa"/>
            <w:noWrap w:val="0"/>
            <w:tcMar>
              <w:top w:w="15" w:type="dxa"/>
              <w:left w:w="15" w:type="dxa"/>
              <w:right w:w="15" w:type="dxa"/>
            </w:tcMar>
            <w:vAlign w:val="center"/>
          </w:tcPr>
          <w:p w14:paraId="36FB15FC">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Fonts w:hint="default" w:ascii="Times New Roman" w:hAnsi="Times New Roman" w:eastAsia="宋体" w:cs="Times New Roman"/>
                <w:i w:val="0"/>
                <w:color w:val="0000FF"/>
                <w:kern w:val="0"/>
                <w:sz w:val="20"/>
                <w:szCs w:val="20"/>
                <w:u w:val="none"/>
                <w:lang w:val="en-US" w:eastAsia="zh-CN" w:bidi="ar"/>
              </w:rPr>
              <w:t>8</w:t>
            </w:r>
          </w:p>
        </w:tc>
        <w:tc>
          <w:tcPr>
            <w:tcW w:w="1600" w:type="dxa"/>
            <w:noWrap w:val="0"/>
            <w:tcMar>
              <w:top w:w="15" w:type="dxa"/>
              <w:left w:w="15" w:type="dxa"/>
              <w:right w:w="15" w:type="dxa"/>
            </w:tcMar>
            <w:vAlign w:val="center"/>
          </w:tcPr>
          <w:p w14:paraId="041360F3">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Fonts w:hint="default" w:ascii="Times New Roman" w:hAnsi="Times New Roman" w:eastAsia="宋体" w:cs="Times New Roman"/>
                <w:i w:val="0"/>
                <w:color w:val="0000FF"/>
                <w:kern w:val="0"/>
                <w:sz w:val="20"/>
                <w:szCs w:val="20"/>
                <w:u w:val="none"/>
                <w:lang w:val="en-US" w:eastAsia="zh-CN" w:bidi="ar"/>
              </w:rPr>
              <w:t>16019.84</w:t>
            </w:r>
          </w:p>
        </w:tc>
      </w:tr>
      <w:tr w14:paraId="1AD8C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8" w:hRule="atLeast"/>
        </w:trPr>
        <w:tc>
          <w:tcPr>
            <w:tcW w:w="1051" w:type="dxa"/>
            <w:noWrap w:val="0"/>
            <w:tcMar>
              <w:top w:w="15" w:type="dxa"/>
              <w:left w:w="15" w:type="dxa"/>
              <w:right w:w="15" w:type="dxa"/>
            </w:tcMar>
            <w:vAlign w:val="center"/>
          </w:tcPr>
          <w:p w14:paraId="7A9C77E0">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Fonts w:hint="default" w:ascii="Times New Roman" w:hAnsi="Times New Roman" w:eastAsia="宋体" w:cs="Times New Roman"/>
                <w:i w:val="0"/>
                <w:color w:val="0000FF"/>
                <w:kern w:val="0"/>
                <w:sz w:val="20"/>
                <w:szCs w:val="20"/>
                <w:u w:val="none"/>
                <w:lang w:val="en-US" w:eastAsia="zh-CN" w:bidi="ar"/>
              </w:rPr>
              <w:t>8</w:t>
            </w:r>
          </w:p>
        </w:tc>
        <w:tc>
          <w:tcPr>
            <w:tcW w:w="3517" w:type="dxa"/>
            <w:noWrap w:val="0"/>
            <w:tcMar>
              <w:top w:w="15" w:type="dxa"/>
              <w:left w:w="15" w:type="dxa"/>
              <w:right w:w="15" w:type="dxa"/>
            </w:tcMar>
            <w:vAlign w:val="center"/>
          </w:tcPr>
          <w:p w14:paraId="099EE3CA">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Style w:val="7"/>
                <w:rFonts w:hint="default" w:ascii="Times New Roman" w:hAnsi="Times New Roman" w:cs="Times New Roman"/>
                <w:color w:val="0000FF"/>
                <w:sz w:val="20"/>
                <w:szCs w:val="20"/>
                <w:lang w:val="en-US" w:eastAsia="zh-CN" w:bidi="ar"/>
              </w:rPr>
              <w:t>饼干</w:t>
            </w:r>
          </w:p>
        </w:tc>
        <w:tc>
          <w:tcPr>
            <w:tcW w:w="1917" w:type="dxa"/>
            <w:noWrap w:val="0"/>
            <w:tcMar>
              <w:top w:w="15" w:type="dxa"/>
              <w:left w:w="15" w:type="dxa"/>
              <w:right w:w="15" w:type="dxa"/>
            </w:tcMar>
            <w:vAlign w:val="center"/>
          </w:tcPr>
          <w:p w14:paraId="76C8D16F">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Fonts w:hint="default" w:ascii="Times New Roman" w:hAnsi="Times New Roman" w:eastAsia="宋体" w:cs="Times New Roman"/>
                <w:i w:val="0"/>
                <w:color w:val="0000FF"/>
                <w:kern w:val="0"/>
                <w:sz w:val="20"/>
                <w:szCs w:val="20"/>
                <w:u w:val="none"/>
                <w:lang w:val="en-US" w:eastAsia="zh-CN" w:bidi="ar"/>
              </w:rPr>
              <w:t>23</w:t>
            </w:r>
          </w:p>
        </w:tc>
        <w:tc>
          <w:tcPr>
            <w:tcW w:w="1600" w:type="dxa"/>
            <w:noWrap w:val="0"/>
            <w:tcMar>
              <w:top w:w="15" w:type="dxa"/>
              <w:left w:w="15" w:type="dxa"/>
              <w:right w:w="15" w:type="dxa"/>
            </w:tcMar>
            <w:vAlign w:val="center"/>
          </w:tcPr>
          <w:p w14:paraId="3676A105">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Fonts w:hint="default" w:ascii="Times New Roman" w:hAnsi="Times New Roman" w:eastAsia="宋体" w:cs="Times New Roman"/>
                <w:i w:val="0"/>
                <w:color w:val="0000FF"/>
                <w:kern w:val="0"/>
                <w:sz w:val="20"/>
                <w:szCs w:val="20"/>
                <w:u w:val="none"/>
                <w:lang w:val="en-US" w:eastAsia="zh-CN" w:bidi="ar"/>
              </w:rPr>
              <w:t>46057.04</w:t>
            </w:r>
          </w:p>
        </w:tc>
      </w:tr>
      <w:tr w14:paraId="5E6F8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8" w:hRule="atLeast"/>
        </w:trPr>
        <w:tc>
          <w:tcPr>
            <w:tcW w:w="1051" w:type="dxa"/>
            <w:noWrap w:val="0"/>
            <w:tcMar>
              <w:top w:w="15" w:type="dxa"/>
              <w:left w:w="15" w:type="dxa"/>
              <w:right w:w="15" w:type="dxa"/>
            </w:tcMar>
            <w:vAlign w:val="center"/>
          </w:tcPr>
          <w:p w14:paraId="4C13DE5F">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Fonts w:hint="default" w:ascii="Times New Roman" w:hAnsi="Times New Roman" w:eastAsia="宋体" w:cs="Times New Roman"/>
                <w:i w:val="0"/>
                <w:color w:val="0000FF"/>
                <w:kern w:val="0"/>
                <w:sz w:val="20"/>
                <w:szCs w:val="20"/>
                <w:u w:val="none"/>
                <w:lang w:val="en-US" w:eastAsia="zh-CN" w:bidi="ar"/>
              </w:rPr>
              <w:t>9</w:t>
            </w:r>
          </w:p>
        </w:tc>
        <w:tc>
          <w:tcPr>
            <w:tcW w:w="3517" w:type="dxa"/>
            <w:noWrap w:val="0"/>
            <w:tcMar>
              <w:top w:w="15" w:type="dxa"/>
              <w:left w:w="15" w:type="dxa"/>
              <w:right w:w="15" w:type="dxa"/>
            </w:tcMar>
            <w:vAlign w:val="center"/>
          </w:tcPr>
          <w:p w14:paraId="06C870A9">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Style w:val="7"/>
                <w:rFonts w:hint="default" w:ascii="Times New Roman" w:hAnsi="Times New Roman" w:cs="Times New Roman"/>
                <w:color w:val="0000FF"/>
                <w:sz w:val="20"/>
                <w:szCs w:val="20"/>
                <w:lang w:val="en-US" w:eastAsia="zh-CN" w:bidi="ar"/>
              </w:rPr>
              <w:t>罐头</w:t>
            </w:r>
          </w:p>
        </w:tc>
        <w:tc>
          <w:tcPr>
            <w:tcW w:w="1917" w:type="dxa"/>
            <w:noWrap w:val="0"/>
            <w:tcMar>
              <w:top w:w="15" w:type="dxa"/>
              <w:left w:w="15" w:type="dxa"/>
              <w:right w:w="15" w:type="dxa"/>
            </w:tcMar>
            <w:vAlign w:val="center"/>
          </w:tcPr>
          <w:p w14:paraId="627F32A5">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Fonts w:hint="default" w:ascii="Times New Roman" w:hAnsi="Times New Roman" w:eastAsia="宋体" w:cs="Times New Roman"/>
                <w:i w:val="0"/>
                <w:color w:val="0000FF"/>
                <w:kern w:val="0"/>
                <w:sz w:val="20"/>
                <w:szCs w:val="20"/>
                <w:u w:val="none"/>
                <w:lang w:val="en-US" w:eastAsia="zh-CN" w:bidi="ar"/>
              </w:rPr>
              <w:t>9</w:t>
            </w:r>
          </w:p>
        </w:tc>
        <w:tc>
          <w:tcPr>
            <w:tcW w:w="1600" w:type="dxa"/>
            <w:noWrap w:val="0"/>
            <w:tcMar>
              <w:top w:w="15" w:type="dxa"/>
              <w:left w:w="15" w:type="dxa"/>
              <w:right w:w="15" w:type="dxa"/>
            </w:tcMar>
            <w:vAlign w:val="center"/>
          </w:tcPr>
          <w:p w14:paraId="26E081AA">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Fonts w:hint="default" w:ascii="Times New Roman" w:hAnsi="Times New Roman" w:eastAsia="宋体" w:cs="Times New Roman"/>
                <w:i w:val="0"/>
                <w:color w:val="0000FF"/>
                <w:kern w:val="0"/>
                <w:sz w:val="20"/>
                <w:szCs w:val="20"/>
                <w:u w:val="none"/>
                <w:lang w:val="en-US" w:eastAsia="zh-CN" w:bidi="ar"/>
              </w:rPr>
              <w:t>18022.32</w:t>
            </w:r>
          </w:p>
        </w:tc>
      </w:tr>
      <w:tr w14:paraId="4A801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8" w:hRule="atLeast"/>
        </w:trPr>
        <w:tc>
          <w:tcPr>
            <w:tcW w:w="1051" w:type="dxa"/>
            <w:noWrap w:val="0"/>
            <w:tcMar>
              <w:top w:w="15" w:type="dxa"/>
              <w:left w:w="15" w:type="dxa"/>
              <w:right w:w="15" w:type="dxa"/>
            </w:tcMar>
            <w:vAlign w:val="center"/>
          </w:tcPr>
          <w:p w14:paraId="29ECC07A">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Fonts w:hint="default" w:ascii="Times New Roman" w:hAnsi="Times New Roman" w:eastAsia="宋体" w:cs="Times New Roman"/>
                <w:i w:val="0"/>
                <w:color w:val="0000FF"/>
                <w:kern w:val="0"/>
                <w:sz w:val="20"/>
                <w:szCs w:val="20"/>
                <w:u w:val="none"/>
                <w:lang w:val="en-US" w:eastAsia="zh-CN" w:bidi="ar"/>
              </w:rPr>
              <w:t>10</w:t>
            </w:r>
          </w:p>
        </w:tc>
        <w:tc>
          <w:tcPr>
            <w:tcW w:w="3517" w:type="dxa"/>
            <w:noWrap w:val="0"/>
            <w:tcMar>
              <w:top w:w="15" w:type="dxa"/>
              <w:left w:w="15" w:type="dxa"/>
              <w:right w:w="15" w:type="dxa"/>
            </w:tcMar>
            <w:vAlign w:val="center"/>
          </w:tcPr>
          <w:p w14:paraId="5F4B0415">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Style w:val="7"/>
                <w:rFonts w:hint="default" w:ascii="Times New Roman" w:hAnsi="Times New Roman" w:cs="Times New Roman"/>
                <w:color w:val="0000FF"/>
                <w:sz w:val="20"/>
                <w:szCs w:val="20"/>
                <w:lang w:val="en-US" w:eastAsia="zh-CN" w:bidi="ar"/>
              </w:rPr>
              <w:t>冷冻饮品</w:t>
            </w:r>
          </w:p>
        </w:tc>
        <w:tc>
          <w:tcPr>
            <w:tcW w:w="1917" w:type="dxa"/>
            <w:noWrap w:val="0"/>
            <w:tcMar>
              <w:top w:w="15" w:type="dxa"/>
              <w:left w:w="15" w:type="dxa"/>
              <w:right w:w="15" w:type="dxa"/>
            </w:tcMar>
            <w:vAlign w:val="center"/>
          </w:tcPr>
          <w:p w14:paraId="73218EE6">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Fonts w:hint="default" w:ascii="Times New Roman" w:hAnsi="Times New Roman" w:eastAsia="宋体" w:cs="Times New Roman"/>
                <w:i w:val="0"/>
                <w:color w:val="0000FF"/>
                <w:kern w:val="0"/>
                <w:sz w:val="20"/>
                <w:szCs w:val="20"/>
                <w:u w:val="none"/>
                <w:lang w:val="en-US" w:eastAsia="zh-CN" w:bidi="ar"/>
              </w:rPr>
              <w:t>3</w:t>
            </w:r>
          </w:p>
        </w:tc>
        <w:tc>
          <w:tcPr>
            <w:tcW w:w="1600" w:type="dxa"/>
            <w:noWrap w:val="0"/>
            <w:tcMar>
              <w:top w:w="15" w:type="dxa"/>
              <w:left w:w="15" w:type="dxa"/>
              <w:right w:w="15" w:type="dxa"/>
            </w:tcMar>
            <w:vAlign w:val="center"/>
          </w:tcPr>
          <w:p w14:paraId="59D00707">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Fonts w:hint="default" w:ascii="Times New Roman" w:hAnsi="Times New Roman" w:eastAsia="宋体" w:cs="Times New Roman"/>
                <w:i w:val="0"/>
                <w:color w:val="0000FF"/>
                <w:kern w:val="0"/>
                <w:sz w:val="20"/>
                <w:szCs w:val="20"/>
                <w:u w:val="none"/>
                <w:lang w:val="en-US" w:eastAsia="zh-CN" w:bidi="ar"/>
              </w:rPr>
              <w:t>6007.44</w:t>
            </w:r>
          </w:p>
        </w:tc>
      </w:tr>
      <w:tr w14:paraId="7A79D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8" w:hRule="atLeast"/>
        </w:trPr>
        <w:tc>
          <w:tcPr>
            <w:tcW w:w="1051" w:type="dxa"/>
            <w:noWrap w:val="0"/>
            <w:tcMar>
              <w:top w:w="15" w:type="dxa"/>
              <w:left w:w="15" w:type="dxa"/>
              <w:right w:w="15" w:type="dxa"/>
            </w:tcMar>
            <w:vAlign w:val="center"/>
          </w:tcPr>
          <w:p w14:paraId="2238462E">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Fonts w:hint="default" w:ascii="Times New Roman" w:hAnsi="Times New Roman" w:eastAsia="宋体" w:cs="Times New Roman"/>
                <w:i w:val="0"/>
                <w:color w:val="0000FF"/>
                <w:kern w:val="0"/>
                <w:sz w:val="20"/>
                <w:szCs w:val="20"/>
                <w:u w:val="none"/>
                <w:lang w:val="en-US" w:eastAsia="zh-CN" w:bidi="ar"/>
              </w:rPr>
              <w:t>11</w:t>
            </w:r>
          </w:p>
        </w:tc>
        <w:tc>
          <w:tcPr>
            <w:tcW w:w="3517" w:type="dxa"/>
            <w:noWrap w:val="0"/>
            <w:tcMar>
              <w:top w:w="15" w:type="dxa"/>
              <w:left w:w="15" w:type="dxa"/>
              <w:right w:w="15" w:type="dxa"/>
            </w:tcMar>
            <w:vAlign w:val="center"/>
          </w:tcPr>
          <w:p w14:paraId="1C76F4E1">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Style w:val="7"/>
                <w:rFonts w:hint="default" w:ascii="Times New Roman" w:hAnsi="Times New Roman" w:cs="Times New Roman"/>
                <w:color w:val="0000FF"/>
                <w:sz w:val="20"/>
                <w:szCs w:val="20"/>
                <w:lang w:val="en-US" w:eastAsia="zh-CN" w:bidi="ar"/>
              </w:rPr>
              <w:t>速冻食品</w:t>
            </w:r>
          </w:p>
        </w:tc>
        <w:tc>
          <w:tcPr>
            <w:tcW w:w="1917" w:type="dxa"/>
            <w:noWrap w:val="0"/>
            <w:tcMar>
              <w:top w:w="15" w:type="dxa"/>
              <w:left w:w="15" w:type="dxa"/>
              <w:right w:w="15" w:type="dxa"/>
            </w:tcMar>
            <w:vAlign w:val="center"/>
          </w:tcPr>
          <w:p w14:paraId="565D9704">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Fonts w:hint="default" w:ascii="Times New Roman" w:hAnsi="Times New Roman" w:eastAsia="宋体" w:cs="Times New Roman"/>
                <w:i w:val="0"/>
                <w:color w:val="0000FF"/>
                <w:kern w:val="0"/>
                <w:sz w:val="20"/>
                <w:szCs w:val="20"/>
                <w:u w:val="none"/>
                <w:lang w:val="en-US" w:eastAsia="zh-CN" w:bidi="ar"/>
              </w:rPr>
              <w:t>55</w:t>
            </w:r>
          </w:p>
        </w:tc>
        <w:tc>
          <w:tcPr>
            <w:tcW w:w="1600" w:type="dxa"/>
            <w:noWrap w:val="0"/>
            <w:tcMar>
              <w:top w:w="15" w:type="dxa"/>
              <w:left w:w="15" w:type="dxa"/>
              <w:right w:w="15" w:type="dxa"/>
            </w:tcMar>
            <w:vAlign w:val="center"/>
          </w:tcPr>
          <w:p w14:paraId="4DD84E0C">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Fonts w:hint="default" w:ascii="Times New Roman" w:hAnsi="Times New Roman" w:eastAsia="宋体" w:cs="Times New Roman"/>
                <w:i w:val="0"/>
                <w:color w:val="0000FF"/>
                <w:kern w:val="0"/>
                <w:sz w:val="20"/>
                <w:szCs w:val="20"/>
                <w:u w:val="none"/>
                <w:lang w:val="en-US" w:eastAsia="zh-CN" w:bidi="ar"/>
              </w:rPr>
              <w:t>110136.4</w:t>
            </w:r>
          </w:p>
        </w:tc>
      </w:tr>
      <w:tr w14:paraId="06796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8" w:hRule="atLeast"/>
        </w:trPr>
        <w:tc>
          <w:tcPr>
            <w:tcW w:w="1051" w:type="dxa"/>
            <w:noWrap w:val="0"/>
            <w:tcMar>
              <w:top w:w="15" w:type="dxa"/>
              <w:left w:w="15" w:type="dxa"/>
              <w:right w:w="15" w:type="dxa"/>
            </w:tcMar>
            <w:vAlign w:val="center"/>
          </w:tcPr>
          <w:p w14:paraId="1C433C32">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Fonts w:hint="default" w:ascii="Times New Roman" w:hAnsi="Times New Roman" w:eastAsia="宋体" w:cs="Times New Roman"/>
                <w:i w:val="0"/>
                <w:color w:val="0000FF"/>
                <w:kern w:val="0"/>
                <w:sz w:val="20"/>
                <w:szCs w:val="20"/>
                <w:u w:val="none"/>
                <w:lang w:val="en-US" w:eastAsia="zh-CN" w:bidi="ar"/>
              </w:rPr>
              <w:t>12</w:t>
            </w:r>
          </w:p>
        </w:tc>
        <w:tc>
          <w:tcPr>
            <w:tcW w:w="3517" w:type="dxa"/>
            <w:noWrap w:val="0"/>
            <w:tcMar>
              <w:top w:w="15" w:type="dxa"/>
              <w:left w:w="15" w:type="dxa"/>
              <w:right w:w="15" w:type="dxa"/>
            </w:tcMar>
            <w:vAlign w:val="center"/>
          </w:tcPr>
          <w:p w14:paraId="1BB10D95">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Style w:val="7"/>
                <w:rFonts w:hint="default" w:ascii="Times New Roman" w:hAnsi="Times New Roman" w:cs="Times New Roman"/>
                <w:color w:val="0000FF"/>
                <w:sz w:val="20"/>
                <w:szCs w:val="20"/>
                <w:lang w:val="en-US" w:eastAsia="zh-CN" w:bidi="ar"/>
              </w:rPr>
              <w:t>薯类和膨化食品</w:t>
            </w:r>
          </w:p>
        </w:tc>
        <w:tc>
          <w:tcPr>
            <w:tcW w:w="1917" w:type="dxa"/>
            <w:noWrap w:val="0"/>
            <w:tcMar>
              <w:top w:w="15" w:type="dxa"/>
              <w:left w:w="15" w:type="dxa"/>
              <w:right w:w="15" w:type="dxa"/>
            </w:tcMar>
            <w:vAlign w:val="center"/>
          </w:tcPr>
          <w:p w14:paraId="34583F06">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Fonts w:hint="default" w:ascii="Times New Roman" w:hAnsi="Times New Roman" w:eastAsia="宋体" w:cs="Times New Roman"/>
                <w:i w:val="0"/>
                <w:color w:val="0000FF"/>
                <w:kern w:val="0"/>
                <w:sz w:val="20"/>
                <w:szCs w:val="20"/>
                <w:u w:val="none"/>
                <w:lang w:val="en-US" w:eastAsia="zh-CN" w:bidi="ar"/>
              </w:rPr>
              <w:t>13</w:t>
            </w:r>
          </w:p>
        </w:tc>
        <w:tc>
          <w:tcPr>
            <w:tcW w:w="1600" w:type="dxa"/>
            <w:noWrap w:val="0"/>
            <w:tcMar>
              <w:top w:w="15" w:type="dxa"/>
              <w:left w:w="15" w:type="dxa"/>
              <w:right w:w="15" w:type="dxa"/>
            </w:tcMar>
            <w:vAlign w:val="center"/>
          </w:tcPr>
          <w:p w14:paraId="76737B73">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Fonts w:hint="default" w:ascii="Times New Roman" w:hAnsi="Times New Roman" w:eastAsia="宋体" w:cs="Times New Roman"/>
                <w:i w:val="0"/>
                <w:color w:val="0000FF"/>
                <w:kern w:val="0"/>
                <w:sz w:val="20"/>
                <w:szCs w:val="20"/>
                <w:u w:val="none"/>
                <w:lang w:val="en-US" w:eastAsia="zh-CN" w:bidi="ar"/>
              </w:rPr>
              <w:t>26032.24</w:t>
            </w:r>
          </w:p>
        </w:tc>
      </w:tr>
      <w:tr w14:paraId="6B316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8" w:hRule="atLeast"/>
        </w:trPr>
        <w:tc>
          <w:tcPr>
            <w:tcW w:w="1051" w:type="dxa"/>
            <w:noWrap w:val="0"/>
            <w:tcMar>
              <w:top w:w="15" w:type="dxa"/>
              <w:left w:w="15" w:type="dxa"/>
              <w:right w:w="15" w:type="dxa"/>
            </w:tcMar>
            <w:vAlign w:val="center"/>
          </w:tcPr>
          <w:p w14:paraId="57600BDD">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Fonts w:hint="default" w:ascii="Times New Roman" w:hAnsi="Times New Roman" w:eastAsia="宋体" w:cs="Times New Roman"/>
                <w:i w:val="0"/>
                <w:color w:val="0000FF"/>
                <w:kern w:val="0"/>
                <w:sz w:val="20"/>
                <w:szCs w:val="20"/>
                <w:u w:val="none"/>
                <w:lang w:val="en-US" w:eastAsia="zh-CN" w:bidi="ar"/>
              </w:rPr>
              <w:t>13</w:t>
            </w:r>
          </w:p>
        </w:tc>
        <w:tc>
          <w:tcPr>
            <w:tcW w:w="3517" w:type="dxa"/>
            <w:noWrap w:val="0"/>
            <w:tcMar>
              <w:top w:w="15" w:type="dxa"/>
              <w:left w:w="15" w:type="dxa"/>
              <w:right w:w="15" w:type="dxa"/>
            </w:tcMar>
            <w:vAlign w:val="center"/>
          </w:tcPr>
          <w:p w14:paraId="6F0DF690">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Style w:val="7"/>
                <w:rFonts w:hint="default" w:ascii="Times New Roman" w:hAnsi="Times New Roman" w:cs="Times New Roman"/>
                <w:color w:val="0000FF"/>
                <w:sz w:val="20"/>
                <w:szCs w:val="20"/>
                <w:lang w:val="en-US" w:eastAsia="zh-CN" w:bidi="ar"/>
              </w:rPr>
              <w:t>糖果制品</w:t>
            </w:r>
          </w:p>
        </w:tc>
        <w:tc>
          <w:tcPr>
            <w:tcW w:w="1917" w:type="dxa"/>
            <w:noWrap w:val="0"/>
            <w:tcMar>
              <w:top w:w="15" w:type="dxa"/>
              <w:left w:w="15" w:type="dxa"/>
              <w:right w:w="15" w:type="dxa"/>
            </w:tcMar>
            <w:vAlign w:val="center"/>
          </w:tcPr>
          <w:p w14:paraId="105A2CAC">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Fonts w:hint="default" w:ascii="Times New Roman" w:hAnsi="Times New Roman" w:eastAsia="宋体" w:cs="Times New Roman"/>
                <w:i w:val="0"/>
                <w:color w:val="0000FF"/>
                <w:kern w:val="0"/>
                <w:sz w:val="20"/>
                <w:szCs w:val="20"/>
                <w:u w:val="none"/>
                <w:lang w:val="en-US" w:eastAsia="zh-CN" w:bidi="ar"/>
              </w:rPr>
              <w:t>34</w:t>
            </w:r>
          </w:p>
        </w:tc>
        <w:tc>
          <w:tcPr>
            <w:tcW w:w="1600" w:type="dxa"/>
            <w:noWrap w:val="0"/>
            <w:tcMar>
              <w:top w:w="15" w:type="dxa"/>
              <w:left w:w="15" w:type="dxa"/>
              <w:right w:w="15" w:type="dxa"/>
            </w:tcMar>
            <w:vAlign w:val="center"/>
          </w:tcPr>
          <w:p w14:paraId="661F278E">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Fonts w:hint="default" w:ascii="Times New Roman" w:hAnsi="Times New Roman" w:eastAsia="宋体" w:cs="Times New Roman"/>
                <w:i w:val="0"/>
                <w:color w:val="0000FF"/>
                <w:kern w:val="0"/>
                <w:sz w:val="20"/>
                <w:szCs w:val="20"/>
                <w:u w:val="none"/>
                <w:lang w:val="en-US" w:eastAsia="zh-CN" w:bidi="ar"/>
              </w:rPr>
              <w:t>68084.32</w:t>
            </w:r>
          </w:p>
        </w:tc>
      </w:tr>
      <w:tr w14:paraId="36E0D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8" w:hRule="atLeast"/>
        </w:trPr>
        <w:tc>
          <w:tcPr>
            <w:tcW w:w="1051" w:type="dxa"/>
            <w:noWrap w:val="0"/>
            <w:tcMar>
              <w:top w:w="15" w:type="dxa"/>
              <w:left w:w="15" w:type="dxa"/>
              <w:right w:w="15" w:type="dxa"/>
            </w:tcMar>
            <w:vAlign w:val="center"/>
          </w:tcPr>
          <w:p w14:paraId="7D2B097B">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Fonts w:hint="default" w:ascii="Times New Roman" w:hAnsi="Times New Roman" w:eastAsia="宋体" w:cs="Times New Roman"/>
                <w:i w:val="0"/>
                <w:color w:val="0000FF"/>
                <w:kern w:val="0"/>
                <w:sz w:val="20"/>
                <w:szCs w:val="20"/>
                <w:u w:val="none"/>
                <w:lang w:val="en-US" w:eastAsia="zh-CN" w:bidi="ar"/>
              </w:rPr>
              <w:t>14</w:t>
            </w:r>
          </w:p>
        </w:tc>
        <w:tc>
          <w:tcPr>
            <w:tcW w:w="3517" w:type="dxa"/>
            <w:noWrap w:val="0"/>
            <w:tcMar>
              <w:top w:w="15" w:type="dxa"/>
              <w:left w:w="15" w:type="dxa"/>
              <w:right w:w="15" w:type="dxa"/>
            </w:tcMar>
            <w:vAlign w:val="center"/>
          </w:tcPr>
          <w:p w14:paraId="246F6473">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Style w:val="7"/>
                <w:rFonts w:hint="default" w:ascii="Times New Roman" w:hAnsi="Times New Roman" w:cs="Times New Roman"/>
                <w:color w:val="0000FF"/>
                <w:sz w:val="20"/>
                <w:szCs w:val="20"/>
                <w:lang w:val="en-US" w:eastAsia="zh-CN" w:bidi="ar"/>
              </w:rPr>
              <w:t>茶叶及相关制品</w:t>
            </w:r>
          </w:p>
        </w:tc>
        <w:tc>
          <w:tcPr>
            <w:tcW w:w="1917" w:type="dxa"/>
            <w:noWrap w:val="0"/>
            <w:tcMar>
              <w:top w:w="15" w:type="dxa"/>
              <w:left w:w="15" w:type="dxa"/>
              <w:right w:w="15" w:type="dxa"/>
            </w:tcMar>
            <w:vAlign w:val="center"/>
          </w:tcPr>
          <w:p w14:paraId="487BFD30">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Fonts w:hint="default" w:ascii="Times New Roman" w:hAnsi="Times New Roman" w:eastAsia="宋体" w:cs="Times New Roman"/>
                <w:i w:val="0"/>
                <w:color w:val="0000FF"/>
                <w:kern w:val="0"/>
                <w:sz w:val="20"/>
                <w:szCs w:val="20"/>
                <w:u w:val="none"/>
                <w:lang w:val="en-US" w:eastAsia="zh-CN" w:bidi="ar"/>
              </w:rPr>
              <w:t>16</w:t>
            </w:r>
          </w:p>
        </w:tc>
        <w:tc>
          <w:tcPr>
            <w:tcW w:w="1600" w:type="dxa"/>
            <w:noWrap w:val="0"/>
            <w:tcMar>
              <w:top w:w="15" w:type="dxa"/>
              <w:left w:w="15" w:type="dxa"/>
              <w:right w:w="15" w:type="dxa"/>
            </w:tcMar>
            <w:vAlign w:val="center"/>
          </w:tcPr>
          <w:p w14:paraId="3B168D9E">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Fonts w:hint="default" w:ascii="Times New Roman" w:hAnsi="Times New Roman" w:eastAsia="宋体" w:cs="Times New Roman"/>
                <w:i w:val="0"/>
                <w:color w:val="0000FF"/>
                <w:kern w:val="0"/>
                <w:sz w:val="20"/>
                <w:szCs w:val="20"/>
                <w:u w:val="none"/>
                <w:lang w:val="en-US" w:eastAsia="zh-CN" w:bidi="ar"/>
              </w:rPr>
              <w:t>32039.68</w:t>
            </w:r>
          </w:p>
        </w:tc>
      </w:tr>
      <w:tr w14:paraId="06D44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8" w:hRule="atLeast"/>
        </w:trPr>
        <w:tc>
          <w:tcPr>
            <w:tcW w:w="1051" w:type="dxa"/>
            <w:noWrap w:val="0"/>
            <w:tcMar>
              <w:top w:w="15" w:type="dxa"/>
              <w:left w:w="15" w:type="dxa"/>
              <w:right w:w="15" w:type="dxa"/>
            </w:tcMar>
            <w:vAlign w:val="center"/>
          </w:tcPr>
          <w:p w14:paraId="2EB9F234">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Fonts w:hint="default" w:ascii="Times New Roman" w:hAnsi="Times New Roman" w:eastAsia="宋体" w:cs="Times New Roman"/>
                <w:i w:val="0"/>
                <w:color w:val="0000FF"/>
                <w:kern w:val="0"/>
                <w:sz w:val="20"/>
                <w:szCs w:val="20"/>
                <w:u w:val="none"/>
                <w:lang w:val="en-US" w:eastAsia="zh-CN" w:bidi="ar"/>
              </w:rPr>
              <w:t>15</w:t>
            </w:r>
          </w:p>
        </w:tc>
        <w:tc>
          <w:tcPr>
            <w:tcW w:w="3517" w:type="dxa"/>
            <w:noWrap w:val="0"/>
            <w:tcMar>
              <w:top w:w="15" w:type="dxa"/>
              <w:left w:w="15" w:type="dxa"/>
              <w:right w:w="15" w:type="dxa"/>
            </w:tcMar>
            <w:vAlign w:val="center"/>
          </w:tcPr>
          <w:p w14:paraId="5C50F82F">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Style w:val="7"/>
                <w:rFonts w:hint="default" w:ascii="Times New Roman" w:hAnsi="Times New Roman" w:cs="Times New Roman"/>
                <w:color w:val="0000FF"/>
                <w:sz w:val="20"/>
                <w:szCs w:val="20"/>
                <w:lang w:val="en-US" w:eastAsia="zh-CN" w:bidi="ar"/>
              </w:rPr>
              <w:t>酒类</w:t>
            </w:r>
          </w:p>
        </w:tc>
        <w:tc>
          <w:tcPr>
            <w:tcW w:w="1917" w:type="dxa"/>
            <w:noWrap w:val="0"/>
            <w:tcMar>
              <w:top w:w="15" w:type="dxa"/>
              <w:left w:w="15" w:type="dxa"/>
              <w:right w:w="15" w:type="dxa"/>
            </w:tcMar>
            <w:vAlign w:val="center"/>
          </w:tcPr>
          <w:p w14:paraId="5B74E553">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Fonts w:hint="default" w:ascii="Times New Roman" w:hAnsi="Times New Roman" w:eastAsia="宋体" w:cs="Times New Roman"/>
                <w:i w:val="0"/>
                <w:color w:val="0000FF"/>
                <w:kern w:val="0"/>
                <w:sz w:val="20"/>
                <w:szCs w:val="20"/>
                <w:u w:val="none"/>
                <w:lang w:val="en-US" w:eastAsia="zh-CN" w:bidi="ar"/>
              </w:rPr>
              <w:t>34</w:t>
            </w:r>
          </w:p>
        </w:tc>
        <w:tc>
          <w:tcPr>
            <w:tcW w:w="1600" w:type="dxa"/>
            <w:noWrap w:val="0"/>
            <w:tcMar>
              <w:top w:w="15" w:type="dxa"/>
              <w:left w:w="15" w:type="dxa"/>
              <w:right w:w="15" w:type="dxa"/>
            </w:tcMar>
            <w:vAlign w:val="center"/>
          </w:tcPr>
          <w:p w14:paraId="3606F409">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Fonts w:hint="default" w:ascii="Times New Roman" w:hAnsi="Times New Roman" w:eastAsia="宋体" w:cs="Times New Roman"/>
                <w:i w:val="0"/>
                <w:color w:val="0000FF"/>
                <w:kern w:val="0"/>
                <w:sz w:val="20"/>
                <w:szCs w:val="20"/>
                <w:u w:val="none"/>
                <w:lang w:val="en-US" w:eastAsia="zh-CN" w:bidi="ar"/>
              </w:rPr>
              <w:t>68084.32</w:t>
            </w:r>
          </w:p>
        </w:tc>
      </w:tr>
      <w:tr w14:paraId="02BD0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8" w:hRule="atLeast"/>
        </w:trPr>
        <w:tc>
          <w:tcPr>
            <w:tcW w:w="1051" w:type="dxa"/>
            <w:noWrap w:val="0"/>
            <w:tcMar>
              <w:top w:w="15" w:type="dxa"/>
              <w:left w:w="15" w:type="dxa"/>
              <w:right w:w="15" w:type="dxa"/>
            </w:tcMar>
            <w:vAlign w:val="center"/>
          </w:tcPr>
          <w:p w14:paraId="4BE39E2B">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Fonts w:hint="default" w:ascii="Times New Roman" w:hAnsi="Times New Roman" w:eastAsia="宋体" w:cs="Times New Roman"/>
                <w:i w:val="0"/>
                <w:color w:val="0000FF"/>
                <w:kern w:val="0"/>
                <w:sz w:val="20"/>
                <w:szCs w:val="20"/>
                <w:u w:val="none"/>
                <w:lang w:val="en-US" w:eastAsia="zh-CN" w:bidi="ar"/>
              </w:rPr>
              <w:t>16</w:t>
            </w:r>
          </w:p>
        </w:tc>
        <w:tc>
          <w:tcPr>
            <w:tcW w:w="3517" w:type="dxa"/>
            <w:noWrap w:val="0"/>
            <w:tcMar>
              <w:top w:w="15" w:type="dxa"/>
              <w:left w:w="15" w:type="dxa"/>
              <w:right w:w="15" w:type="dxa"/>
            </w:tcMar>
            <w:vAlign w:val="center"/>
          </w:tcPr>
          <w:p w14:paraId="74793D15">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Style w:val="7"/>
                <w:rFonts w:hint="default" w:ascii="Times New Roman" w:hAnsi="Times New Roman" w:cs="Times New Roman"/>
                <w:color w:val="0000FF"/>
                <w:sz w:val="20"/>
                <w:szCs w:val="20"/>
                <w:lang w:val="en-US" w:eastAsia="zh-CN" w:bidi="ar"/>
              </w:rPr>
              <w:t>蔬菜制品</w:t>
            </w:r>
          </w:p>
        </w:tc>
        <w:tc>
          <w:tcPr>
            <w:tcW w:w="1917" w:type="dxa"/>
            <w:noWrap w:val="0"/>
            <w:tcMar>
              <w:top w:w="15" w:type="dxa"/>
              <w:left w:w="15" w:type="dxa"/>
              <w:right w:w="15" w:type="dxa"/>
            </w:tcMar>
            <w:vAlign w:val="center"/>
          </w:tcPr>
          <w:p w14:paraId="147754A2">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Fonts w:hint="default" w:ascii="Times New Roman" w:hAnsi="Times New Roman" w:eastAsia="宋体" w:cs="Times New Roman"/>
                <w:i w:val="0"/>
                <w:color w:val="0000FF"/>
                <w:kern w:val="0"/>
                <w:sz w:val="20"/>
                <w:szCs w:val="20"/>
                <w:u w:val="none"/>
                <w:lang w:val="en-US" w:eastAsia="zh-CN" w:bidi="ar"/>
              </w:rPr>
              <w:t>25</w:t>
            </w:r>
          </w:p>
        </w:tc>
        <w:tc>
          <w:tcPr>
            <w:tcW w:w="1600" w:type="dxa"/>
            <w:noWrap w:val="0"/>
            <w:tcMar>
              <w:top w:w="15" w:type="dxa"/>
              <w:left w:w="15" w:type="dxa"/>
              <w:right w:w="15" w:type="dxa"/>
            </w:tcMar>
            <w:vAlign w:val="center"/>
          </w:tcPr>
          <w:p w14:paraId="0A8B0758">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Fonts w:hint="default" w:ascii="Times New Roman" w:hAnsi="Times New Roman" w:eastAsia="宋体" w:cs="Times New Roman"/>
                <w:i w:val="0"/>
                <w:color w:val="0000FF"/>
                <w:kern w:val="0"/>
                <w:sz w:val="20"/>
                <w:szCs w:val="20"/>
                <w:u w:val="none"/>
                <w:lang w:val="en-US" w:eastAsia="zh-CN" w:bidi="ar"/>
              </w:rPr>
              <w:t>50062</w:t>
            </w:r>
          </w:p>
        </w:tc>
      </w:tr>
      <w:tr w14:paraId="30938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8" w:hRule="atLeast"/>
        </w:trPr>
        <w:tc>
          <w:tcPr>
            <w:tcW w:w="1051" w:type="dxa"/>
            <w:noWrap w:val="0"/>
            <w:tcMar>
              <w:top w:w="15" w:type="dxa"/>
              <w:left w:w="15" w:type="dxa"/>
              <w:right w:w="15" w:type="dxa"/>
            </w:tcMar>
            <w:vAlign w:val="center"/>
          </w:tcPr>
          <w:p w14:paraId="756A13FE">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Fonts w:hint="default" w:ascii="Times New Roman" w:hAnsi="Times New Roman" w:eastAsia="宋体" w:cs="Times New Roman"/>
                <w:i w:val="0"/>
                <w:color w:val="0000FF"/>
                <w:kern w:val="0"/>
                <w:sz w:val="20"/>
                <w:szCs w:val="20"/>
                <w:u w:val="none"/>
                <w:lang w:val="en-US" w:eastAsia="zh-CN" w:bidi="ar"/>
              </w:rPr>
              <w:t>17</w:t>
            </w:r>
          </w:p>
        </w:tc>
        <w:tc>
          <w:tcPr>
            <w:tcW w:w="3517" w:type="dxa"/>
            <w:noWrap w:val="0"/>
            <w:tcMar>
              <w:top w:w="15" w:type="dxa"/>
              <w:left w:w="15" w:type="dxa"/>
              <w:right w:w="15" w:type="dxa"/>
            </w:tcMar>
            <w:vAlign w:val="center"/>
          </w:tcPr>
          <w:p w14:paraId="07FF7923">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Style w:val="7"/>
                <w:rFonts w:hint="default" w:ascii="Times New Roman" w:hAnsi="Times New Roman" w:cs="Times New Roman"/>
                <w:color w:val="0000FF"/>
                <w:sz w:val="20"/>
                <w:szCs w:val="20"/>
                <w:lang w:val="en-US" w:eastAsia="zh-CN" w:bidi="ar"/>
              </w:rPr>
              <w:t>水果制品</w:t>
            </w:r>
          </w:p>
        </w:tc>
        <w:tc>
          <w:tcPr>
            <w:tcW w:w="1917" w:type="dxa"/>
            <w:noWrap w:val="0"/>
            <w:tcMar>
              <w:top w:w="15" w:type="dxa"/>
              <w:left w:w="15" w:type="dxa"/>
              <w:right w:w="15" w:type="dxa"/>
            </w:tcMar>
            <w:vAlign w:val="center"/>
          </w:tcPr>
          <w:p w14:paraId="147A5547">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Fonts w:hint="default" w:ascii="Times New Roman" w:hAnsi="Times New Roman" w:eastAsia="宋体" w:cs="Times New Roman"/>
                <w:i w:val="0"/>
                <w:color w:val="0000FF"/>
                <w:kern w:val="0"/>
                <w:sz w:val="20"/>
                <w:szCs w:val="20"/>
                <w:u w:val="none"/>
                <w:lang w:val="en-US" w:eastAsia="zh-CN" w:bidi="ar"/>
              </w:rPr>
              <w:t>39</w:t>
            </w:r>
          </w:p>
        </w:tc>
        <w:tc>
          <w:tcPr>
            <w:tcW w:w="1600" w:type="dxa"/>
            <w:noWrap w:val="0"/>
            <w:tcMar>
              <w:top w:w="15" w:type="dxa"/>
              <w:left w:w="15" w:type="dxa"/>
              <w:right w:w="15" w:type="dxa"/>
            </w:tcMar>
            <w:vAlign w:val="center"/>
          </w:tcPr>
          <w:p w14:paraId="1F3183E7">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Fonts w:hint="default" w:ascii="Times New Roman" w:hAnsi="Times New Roman" w:eastAsia="宋体" w:cs="Times New Roman"/>
                <w:i w:val="0"/>
                <w:color w:val="0000FF"/>
                <w:kern w:val="0"/>
                <w:sz w:val="20"/>
                <w:szCs w:val="20"/>
                <w:u w:val="none"/>
                <w:lang w:val="en-US" w:eastAsia="zh-CN" w:bidi="ar"/>
              </w:rPr>
              <w:t>78096.72</w:t>
            </w:r>
          </w:p>
        </w:tc>
      </w:tr>
      <w:tr w14:paraId="31226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8" w:hRule="atLeast"/>
        </w:trPr>
        <w:tc>
          <w:tcPr>
            <w:tcW w:w="1051" w:type="dxa"/>
            <w:noWrap w:val="0"/>
            <w:tcMar>
              <w:top w:w="15" w:type="dxa"/>
              <w:left w:w="15" w:type="dxa"/>
              <w:right w:w="15" w:type="dxa"/>
            </w:tcMar>
            <w:vAlign w:val="center"/>
          </w:tcPr>
          <w:p w14:paraId="1E7AACC2">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Fonts w:hint="default" w:ascii="Times New Roman" w:hAnsi="Times New Roman" w:eastAsia="宋体" w:cs="Times New Roman"/>
                <w:i w:val="0"/>
                <w:color w:val="0000FF"/>
                <w:kern w:val="0"/>
                <w:sz w:val="20"/>
                <w:szCs w:val="20"/>
                <w:u w:val="none"/>
                <w:lang w:val="en-US" w:eastAsia="zh-CN" w:bidi="ar"/>
              </w:rPr>
              <w:t>18</w:t>
            </w:r>
          </w:p>
        </w:tc>
        <w:tc>
          <w:tcPr>
            <w:tcW w:w="3517" w:type="dxa"/>
            <w:noWrap w:val="0"/>
            <w:tcMar>
              <w:top w:w="15" w:type="dxa"/>
              <w:left w:w="15" w:type="dxa"/>
              <w:right w:w="15" w:type="dxa"/>
            </w:tcMar>
            <w:vAlign w:val="center"/>
          </w:tcPr>
          <w:p w14:paraId="2E5235D1">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Style w:val="7"/>
                <w:rFonts w:hint="default" w:ascii="Times New Roman" w:hAnsi="Times New Roman" w:cs="Times New Roman"/>
                <w:color w:val="0000FF"/>
                <w:sz w:val="20"/>
                <w:szCs w:val="20"/>
                <w:lang w:val="en-US" w:eastAsia="zh-CN" w:bidi="ar"/>
              </w:rPr>
              <w:t>炒货食品及坚果制品</w:t>
            </w:r>
          </w:p>
        </w:tc>
        <w:tc>
          <w:tcPr>
            <w:tcW w:w="1917" w:type="dxa"/>
            <w:noWrap w:val="0"/>
            <w:tcMar>
              <w:top w:w="15" w:type="dxa"/>
              <w:left w:w="15" w:type="dxa"/>
              <w:right w:w="15" w:type="dxa"/>
            </w:tcMar>
            <w:vAlign w:val="center"/>
          </w:tcPr>
          <w:p w14:paraId="0A711629">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Fonts w:hint="default" w:ascii="Times New Roman" w:hAnsi="Times New Roman" w:eastAsia="宋体" w:cs="Times New Roman"/>
                <w:i w:val="0"/>
                <w:color w:val="0000FF"/>
                <w:kern w:val="0"/>
                <w:sz w:val="20"/>
                <w:szCs w:val="20"/>
                <w:u w:val="none"/>
                <w:lang w:val="en-US" w:eastAsia="zh-CN" w:bidi="ar"/>
              </w:rPr>
              <w:t>10</w:t>
            </w:r>
          </w:p>
        </w:tc>
        <w:tc>
          <w:tcPr>
            <w:tcW w:w="1600" w:type="dxa"/>
            <w:noWrap w:val="0"/>
            <w:tcMar>
              <w:top w:w="15" w:type="dxa"/>
              <w:left w:w="15" w:type="dxa"/>
              <w:right w:w="15" w:type="dxa"/>
            </w:tcMar>
            <w:vAlign w:val="center"/>
          </w:tcPr>
          <w:p w14:paraId="5A8DCE98">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Fonts w:hint="default" w:ascii="Times New Roman" w:hAnsi="Times New Roman" w:eastAsia="宋体" w:cs="Times New Roman"/>
                <w:i w:val="0"/>
                <w:color w:val="0000FF"/>
                <w:kern w:val="0"/>
                <w:sz w:val="20"/>
                <w:szCs w:val="20"/>
                <w:u w:val="none"/>
                <w:lang w:val="en-US" w:eastAsia="zh-CN" w:bidi="ar"/>
              </w:rPr>
              <w:t>20024.8</w:t>
            </w:r>
          </w:p>
        </w:tc>
      </w:tr>
      <w:tr w14:paraId="1BCB6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8" w:hRule="atLeast"/>
        </w:trPr>
        <w:tc>
          <w:tcPr>
            <w:tcW w:w="1051" w:type="dxa"/>
            <w:noWrap w:val="0"/>
            <w:tcMar>
              <w:top w:w="15" w:type="dxa"/>
              <w:left w:w="15" w:type="dxa"/>
              <w:right w:w="15" w:type="dxa"/>
            </w:tcMar>
            <w:vAlign w:val="center"/>
          </w:tcPr>
          <w:p w14:paraId="1E9DAC55">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Fonts w:hint="default" w:ascii="Times New Roman" w:hAnsi="Times New Roman" w:eastAsia="宋体" w:cs="Times New Roman"/>
                <w:i w:val="0"/>
                <w:color w:val="0000FF"/>
                <w:kern w:val="0"/>
                <w:sz w:val="20"/>
                <w:szCs w:val="20"/>
                <w:u w:val="none"/>
                <w:lang w:val="en-US" w:eastAsia="zh-CN" w:bidi="ar"/>
              </w:rPr>
              <w:t>19</w:t>
            </w:r>
          </w:p>
        </w:tc>
        <w:tc>
          <w:tcPr>
            <w:tcW w:w="3517" w:type="dxa"/>
            <w:noWrap w:val="0"/>
            <w:tcMar>
              <w:top w:w="15" w:type="dxa"/>
              <w:left w:w="15" w:type="dxa"/>
              <w:right w:w="15" w:type="dxa"/>
            </w:tcMar>
            <w:vAlign w:val="center"/>
          </w:tcPr>
          <w:p w14:paraId="7F949D73">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Style w:val="7"/>
                <w:rFonts w:hint="default" w:ascii="Times New Roman" w:hAnsi="Times New Roman" w:cs="Times New Roman"/>
                <w:color w:val="0000FF"/>
                <w:sz w:val="20"/>
                <w:szCs w:val="20"/>
                <w:lang w:val="en-US" w:eastAsia="zh-CN" w:bidi="ar"/>
              </w:rPr>
              <w:t>蛋制品</w:t>
            </w:r>
          </w:p>
        </w:tc>
        <w:tc>
          <w:tcPr>
            <w:tcW w:w="1917" w:type="dxa"/>
            <w:noWrap w:val="0"/>
            <w:tcMar>
              <w:top w:w="15" w:type="dxa"/>
              <w:left w:w="15" w:type="dxa"/>
              <w:right w:w="15" w:type="dxa"/>
            </w:tcMar>
            <w:vAlign w:val="center"/>
          </w:tcPr>
          <w:p w14:paraId="29D9AC1A">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Fonts w:hint="default" w:ascii="Times New Roman" w:hAnsi="Times New Roman" w:eastAsia="宋体" w:cs="Times New Roman"/>
                <w:i w:val="0"/>
                <w:color w:val="0000FF"/>
                <w:kern w:val="0"/>
                <w:sz w:val="20"/>
                <w:szCs w:val="20"/>
                <w:u w:val="none"/>
                <w:lang w:val="en-US" w:eastAsia="zh-CN" w:bidi="ar"/>
              </w:rPr>
              <w:t>6</w:t>
            </w:r>
          </w:p>
        </w:tc>
        <w:tc>
          <w:tcPr>
            <w:tcW w:w="1600" w:type="dxa"/>
            <w:noWrap w:val="0"/>
            <w:tcMar>
              <w:top w:w="15" w:type="dxa"/>
              <w:left w:w="15" w:type="dxa"/>
              <w:right w:w="15" w:type="dxa"/>
            </w:tcMar>
            <w:vAlign w:val="center"/>
          </w:tcPr>
          <w:p w14:paraId="2250E628">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Fonts w:hint="default" w:ascii="Times New Roman" w:hAnsi="Times New Roman" w:eastAsia="宋体" w:cs="Times New Roman"/>
                <w:i w:val="0"/>
                <w:color w:val="0000FF"/>
                <w:kern w:val="0"/>
                <w:sz w:val="20"/>
                <w:szCs w:val="20"/>
                <w:u w:val="none"/>
                <w:lang w:val="en-US" w:eastAsia="zh-CN" w:bidi="ar"/>
              </w:rPr>
              <w:t>12014.88</w:t>
            </w:r>
          </w:p>
        </w:tc>
      </w:tr>
      <w:tr w14:paraId="181C9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8" w:hRule="atLeast"/>
        </w:trPr>
        <w:tc>
          <w:tcPr>
            <w:tcW w:w="1051" w:type="dxa"/>
            <w:noWrap w:val="0"/>
            <w:tcMar>
              <w:top w:w="15" w:type="dxa"/>
              <w:left w:w="15" w:type="dxa"/>
              <w:right w:w="15" w:type="dxa"/>
            </w:tcMar>
            <w:vAlign w:val="center"/>
          </w:tcPr>
          <w:p w14:paraId="3182104B">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Fonts w:hint="default" w:ascii="Times New Roman" w:hAnsi="Times New Roman" w:eastAsia="宋体" w:cs="Times New Roman"/>
                <w:i w:val="0"/>
                <w:color w:val="0000FF"/>
                <w:kern w:val="0"/>
                <w:sz w:val="20"/>
                <w:szCs w:val="20"/>
                <w:u w:val="none"/>
                <w:lang w:val="en-US" w:eastAsia="zh-CN" w:bidi="ar"/>
              </w:rPr>
              <w:t>20</w:t>
            </w:r>
          </w:p>
        </w:tc>
        <w:tc>
          <w:tcPr>
            <w:tcW w:w="3517" w:type="dxa"/>
            <w:noWrap w:val="0"/>
            <w:tcMar>
              <w:top w:w="15" w:type="dxa"/>
              <w:left w:w="15" w:type="dxa"/>
              <w:right w:w="15" w:type="dxa"/>
            </w:tcMar>
            <w:vAlign w:val="center"/>
          </w:tcPr>
          <w:p w14:paraId="330A7BD8">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Style w:val="7"/>
                <w:rFonts w:hint="default" w:ascii="Times New Roman" w:hAnsi="Times New Roman" w:cs="Times New Roman"/>
                <w:color w:val="0000FF"/>
                <w:sz w:val="20"/>
                <w:szCs w:val="20"/>
                <w:lang w:val="en-US" w:eastAsia="zh-CN" w:bidi="ar"/>
              </w:rPr>
              <w:t>可可及焙烤咖啡产品</w:t>
            </w:r>
          </w:p>
        </w:tc>
        <w:tc>
          <w:tcPr>
            <w:tcW w:w="1917" w:type="dxa"/>
            <w:noWrap w:val="0"/>
            <w:tcMar>
              <w:top w:w="15" w:type="dxa"/>
              <w:left w:w="15" w:type="dxa"/>
              <w:right w:w="15" w:type="dxa"/>
            </w:tcMar>
            <w:vAlign w:val="center"/>
          </w:tcPr>
          <w:p w14:paraId="681A5161">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Fonts w:hint="default" w:ascii="Times New Roman" w:hAnsi="Times New Roman" w:eastAsia="宋体" w:cs="Times New Roman"/>
                <w:i w:val="0"/>
                <w:color w:val="0000FF"/>
                <w:kern w:val="0"/>
                <w:sz w:val="20"/>
                <w:szCs w:val="20"/>
                <w:u w:val="none"/>
                <w:lang w:val="en-US" w:eastAsia="zh-CN" w:bidi="ar"/>
              </w:rPr>
              <w:t>0</w:t>
            </w:r>
          </w:p>
        </w:tc>
        <w:tc>
          <w:tcPr>
            <w:tcW w:w="1600" w:type="dxa"/>
            <w:noWrap w:val="0"/>
            <w:tcMar>
              <w:top w:w="15" w:type="dxa"/>
              <w:left w:w="15" w:type="dxa"/>
              <w:right w:w="15" w:type="dxa"/>
            </w:tcMar>
            <w:vAlign w:val="center"/>
          </w:tcPr>
          <w:p w14:paraId="5496102A">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Fonts w:hint="default" w:ascii="Times New Roman" w:hAnsi="Times New Roman" w:eastAsia="宋体" w:cs="Times New Roman"/>
                <w:i w:val="0"/>
                <w:color w:val="0000FF"/>
                <w:kern w:val="0"/>
                <w:sz w:val="20"/>
                <w:szCs w:val="20"/>
                <w:u w:val="none"/>
                <w:lang w:val="en-US" w:eastAsia="zh-CN" w:bidi="ar"/>
              </w:rPr>
              <w:t>0</w:t>
            </w:r>
          </w:p>
        </w:tc>
      </w:tr>
      <w:tr w14:paraId="128AC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8" w:hRule="atLeast"/>
        </w:trPr>
        <w:tc>
          <w:tcPr>
            <w:tcW w:w="1051" w:type="dxa"/>
            <w:noWrap w:val="0"/>
            <w:tcMar>
              <w:top w:w="15" w:type="dxa"/>
              <w:left w:w="15" w:type="dxa"/>
              <w:right w:w="15" w:type="dxa"/>
            </w:tcMar>
            <w:vAlign w:val="center"/>
          </w:tcPr>
          <w:p w14:paraId="4B479B10">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Fonts w:hint="default" w:ascii="Times New Roman" w:hAnsi="Times New Roman" w:eastAsia="宋体" w:cs="Times New Roman"/>
                <w:i w:val="0"/>
                <w:color w:val="0000FF"/>
                <w:kern w:val="0"/>
                <w:sz w:val="20"/>
                <w:szCs w:val="20"/>
                <w:u w:val="none"/>
                <w:lang w:val="en-US" w:eastAsia="zh-CN" w:bidi="ar"/>
              </w:rPr>
              <w:t>21</w:t>
            </w:r>
          </w:p>
        </w:tc>
        <w:tc>
          <w:tcPr>
            <w:tcW w:w="3517" w:type="dxa"/>
            <w:noWrap w:val="0"/>
            <w:tcMar>
              <w:top w:w="15" w:type="dxa"/>
              <w:left w:w="15" w:type="dxa"/>
              <w:right w:w="15" w:type="dxa"/>
            </w:tcMar>
            <w:vAlign w:val="center"/>
          </w:tcPr>
          <w:p w14:paraId="5B68C88A">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Style w:val="7"/>
                <w:rFonts w:hint="default" w:ascii="Times New Roman" w:hAnsi="Times New Roman" w:cs="Times New Roman"/>
                <w:color w:val="0000FF"/>
                <w:sz w:val="20"/>
                <w:szCs w:val="20"/>
                <w:lang w:val="en-US" w:eastAsia="zh-CN" w:bidi="ar"/>
              </w:rPr>
              <w:t>食糖</w:t>
            </w:r>
          </w:p>
        </w:tc>
        <w:tc>
          <w:tcPr>
            <w:tcW w:w="1917" w:type="dxa"/>
            <w:noWrap w:val="0"/>
            <w:tcMar>
              <w:top w:w="15" w:type="dxa"/>
              <w:left w:w="15" w:type="dxa"/>
              <w:right w:w="15" w:type="dxa"/>
            </w:tcMar>
            <w:vAlign w:val="center"/>
          </w:tcPr>
          <w:p w14:paraId="741D30F5">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Fonts w:hint="default" w:ascii="Times New Roman" w:hAnsi="Times New Roman" w:eastAsia="宋体" w:cs="Times New Roman"/>
                <w:i w:val="0"/>
                <w:color w:val="0000FF"/>
                <w:kern w:val="0"/>
                <w:sz w:val="20"/>
                <w:szCs w:val="20"/>
                <w:u w:val="none"/>
                <w:lang w:val="en-US" w:eastAsia="zh-CN" w:bidi="ar"/>
              </w:rPr>
              <w:t>6</w:t>
            </w:r>
          </w:p>
        </w:tc>
        <w:tc>
          <w:tcPr>
            <w:tcW w:w="1600" w:type="dxa"/>
            <w:noWrap w:val="0"/>
            <w:tcMar>
              <w:top w:w="15" w:type="dxa"/>
              <w:left w:w="15" w:type="dxa"/>
              <w:right w:w="15" w:type="dxa"/>
            </w:tcMar>
            <w:vAlign w:val="center"/>
          </w:tcPr>
          <w:p w14:paraId="0F9D2454">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Fonts w:hint="default" w:ascii="Times New Roman" w:hAnsi="Times New Roman" w:eastAsia="宋体" w:cs="Times New Roman"/>
                <w:i w:val="0"/>
                <w:color w:val="0000FF"/>
                <w:kern w:val="0"/>
                <w:sz w:val="20"/>
                <w:szCs w:val="20"/>
                <w:u w:val="none"/>
                <w:lang w:val="en-US" w:eastAsia="zh-CN" w:bidi="ar"/>
              </w:rPr>
              <w:t>12014.88</w:t>
            </w:r>
          </w:p>
        </w:tc>
      </w:tr>
      <w:tr w14:paraId="14154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8" w:hRule="atLeast"/>
        </w:trPr>
        <w:tc>
          <w:tcPr>
            <w:tcW w:w="1051" w:type="dxa"/>
            <w:noWrap w:val="0"/>
            <w:tcMar>
              <w:top w:w="15" w:type="dxa"/>
              <w:left w:w="15" w:type="dxa"/>
              <w:right w:w="15" w:type="dxa"/>
            </w:tcMar>
            <w:vAlign w:val="center"/>
          </w:tcPr>
          <w:p w14:paraId="3E3E5089">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Fonts w:hint="default" w:ascii="Times New Roman" w:hAnsi="Times New Roman" w:eastAsia="宋体" w:cs="Times New Roman"/>
                <w:i w:val="0"/>
                <w:color w:val="0000FF"/>
                <w:kern w:val="0"/>
                <w:sz w:val="20"/>
                <w:szCs w:val="20"/>
                <w:u w:val="none"/>
                <w:lang w:val="en-US" w:eastAsia="zh-CN" w:bidi="ar"/>
              </w:rPr>
              <w:t>22</w:t>
            </w:r>
          </w:p>
        </w:tc>
        <w:tc>
          <w:tcPr>
            <w:tcW w:w="3517" w:type="dxa"/>
            <w:noWrap w:val="0"/>
            <w:tcMar>
              <w:top w:w="15" w:type="dxa"/>
              <w:left w:w="15" w:type="dxa"/>
              <w:right w:w="15" w:type="dxa"/>
            </w:tcMar>
            <w:vAlign w:val="center"/>
          </w:tcPr>
          <w:p w14:paraId="107B3EE7">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Style w:val="7"/>
                <w:rFonts w:hint="default" w:ascii="Times New Roman" w:hAnsi="Times New Roman" w:cs="Times New Roman"/>
                <w:color w:val="0000FF"/>
                <w:sz w:val="20"/>
                <w:szCs w:val="20"/>
                <w:lang w:val="en-US" w:eastAsia="zh-CN" w:bidi="ar"/>
              </w:rPr>
              <w:t>水产制品</w:t>
            </w:r>
          </w:p>
        </w:tc>
        <w:tc>
          <w:tcPr>
            <w:tcW w:w="1917" w:type="dxa"/>
            <w:noWrap w:val="0"/>
            <w:tcMar>
              <w:top w:w="15" w:type="dxa"/>
              <w:left w:w="15" w:type="dxa"/>
              <w:right w:w="15" w:type="dxa"/>
            </w:tcMar>
            <w:vAlign w:val="center"/>
          </w:tcPr>
          <w:p w14:paraId="21D7B9E0">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Fonts w:hint="default" w:ascii="Times New Roman" w:hAnsi="Times New Roman" w:eastAsia="宋体" w:cs="Times New Roman"/>
                <w:i w:val="0"/>
                <w:color w:val="0000FF"/>
                <w:kern w:val="0"/>
                <w:sz w:val="20"/>
                <w:szCs w:val="20"/>
                <w:u w:val="none"/>
                <w:lang w:val="en-US" w:eastAsia="zh-CN" w:bidi="ar"/>
              </w:rPr>
              <w:t>38</w:t>
            </w:r>
          </w:p>
        </w:tc>
        <w:tc>
          <w:tcPr>
            <w:tcW w:w="1600" w:type="dxa"/>
            <w:noWrap w:val="0"/>
            <w:tcMar>
              <w:top w:w="15" w:type="dxa"/>
              <w:left w:w="15" w:type="dxa"/>
              <w:right w:w="15" w:type="dxa"/>
            </w:tcMar>
            <w:vAlign w:val="center"/>
          </w:tcPr>
          <w:p w14:paraId="0EC58CB6">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Fonts w:hint="default" w:ascii="Times New Roman" w:hAnsi="Times New Roman" w:eastAsia="宋体" w:cs="Times New Roman"/>
                <w:i w:val="0"/>
                <w:color w:val="0000FF"/>
                <w:kern w:val="0"/>
                <w:sz w:val="20"/>
                <w:szCs w:val="20"/>
                <w:u w:val="none"/>
                <w:lang w:val="en-US" w:eastAsia="zh-CN" w:bidi="ar"/>
              </w:rPr>
              <w:t>76094.24</w:t>
            </w:r>
          </w:p>
        </w:tc>
      </w:tr>
      <w:tr w14:paraId="658F2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6" w:hRule="atLeast"/>
        </w:trPr>
        <w:tc>
          <w:tcPr>
            <w:tcW w:w="1051" w:type="dxa"/>
            <w:noWrap w:val="0"/>
            <w:tcMar>
              <w:top w:w="15" w:type="dxa"/>
              <w:left w:w="15" w:type="dxa"/>
              <w:right w:w="15" w:type="dxa"/>
            </w:tcMar>
            <w:vAlign w:val="center"/>
          </w:tcPr>
          <w:p w14:paraId="4311AD17">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Fonts w:hint="default" w:ascii="Times New Roman" w:hAnsi="Times New Roman" w:eastAsia="宋体" w:cs="Times New Roman"/>
                <w:i w:val="0"/>
                <w:color w:val="0000FF"/>
                <w:kern w:val="0"/>
                <w:sz w:val="20"/>
                <w:szCs w:val="20"/>
                <w:u w:val="none"/>
                <w:lang w:val="en-US" w:eastAsia="zh-CN" w:bidi="ar"/>
              </w:rPr>
              <w:t>23</w:t>
            </w:r>
          </w:p>
        </w:tc>
        <w:tc>
          <w:tcPr>
            <w:tcW w:w="3517" w:type="dxa"/>
            <w:noWrap w:val="0"/>
            <w:tcMar>
              <w:top w:w="15" w:type="dxa"/>
              <w:left w:w="15" w:type="dxa"/>
              <w:right w:w="15" w:type="dxa"/>
            </w:tcMar>
            <w:vAlign w:val="center"/>
          </w:tcPr>
          <w:p w14:paraId="100C3FA7">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Style w:val="7"/>
                <w:rFonts w:hint="default" w:ascii="Times New Roman" w:hAnsi="Times New Roman" w:cs="Times New Roman"/>
                <w:color w:val="0000FF"/>
                <w:sz w:val="20"/>
                <w:szCs w:val="20"/>
                <w:lang w:val="en-US" w:eastAsia="zh-CN" w:bidi="ar"/>
              </w:rPr>
              <w:t>淀粉及淀粉制品</w:t>
            </w:r>
          </w:p>
        </w:tc>
        <w:tc>
          <w:tcPr>
            <w:tcW w:w="1917" w:type="dxa"/>
            <w:noWrap w:val="0"/>
            <w:tcMar>
              <w:top w:w="15" w:type="dxa"/>
              <w:left w:w="15" w:type="dxa"/>
              <w:right w:w="15" w:type="dxa"/>
            </w:tcMar>
            <w:vAlign w:val="center"/>
          </w:tcPr>
          <w:p w14:paraId="3A37558F">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Fonts w:hint="default" w:ascii="Times New Roman" w:hAnsi="Times New Roman" w:eastAsia="宋体" w:cs="Times New Roman"/>
                <w:i w:val="0"/>
                <w:color w:val="0000FF"/>
                <w:kern w:val="0"/>
                <w:sz w:val="20"/>
                <w:szCs w:val="20"/>
                <w:u w:val="none"/>
                <w:lang w:val="en-US" w:eastAsia="zh-CN" w:bidi="ar"/>
              </w:rPr>
              <w:t>8</w:t>
            </w:r>
          </w:p>
        </w:tc>
        <w:tc>
          <w:tcPr>
            <w:tcW w:w="1600" w:type="dxa"/>
            <w:noWrap w:val="0"/>
            <w:tcMar>
              <w:top w:w="15" w:type="dxa"/>
              <w:left w:w="15" w:type="dxa"/>
              <w:right w:w="15" w:type="dxa"/>
            </w:tcMar>
            <w:vAlign w:val="center"/>
          </w:tcPr>
          <w:p w14:paraId="746D44FF">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Fonts w:hint="default" w:ascii="Times New Roman" w:hAnsi="Times New Roman" w:eastAsia="宋体" w:cs="Times New Roman"/>
                <w:i w:val="0"/>
                <w:color w:val="0000FF"/>
                <w:kern w:val="0"/>
                <w:sz w:val="20"/>
                <w:szCs w:val="20"/>
                <w:u w:val="none"/>
                <w:lang w:val="en-US" w:eastAsia="zh-CN" w:bidi="ar"/>
              </w:rPr>
              <w:t>16019.84</w:t>
            </w:r>
          </w:p>
        </w:tc>
      </w:tr>
      <w:tr w14:paraId="528FF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6" w:hRule="atLeast"/>
        </w:trPr>
        <w:tc>
          <w:tcPr>
            <w:tcW w:w="1051" w:type="dxa"/>
            <w:noWrap w:val="0"/>
            <w:tcMar>
              <w:top w:w="15" w:type="dxa"/>
              <w:left w:w="15" w:type="dxa"/>
              <w:right w:w="15" w:type="dxa"/>
            </w:tcMar>
            <w:vAlign w:val="center"/>
          </w:tcPr>
          <w:p w14:paraId="5F96B20A">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Fonts w:hint="default" w:ascii="Times New Roman" w:hAnsi="Times New Roman" w:eastAsia="宋体" w:cs="Times New Roman"/>
                <w:i w:val="0"/>
                <w:color w:val="0000FF"/>
                <w:kern w:val="0"/>
                <w:sz w:val="20"/>
                <w:szCs w:val="20"/>
                <w:u w:val="none"/>
                <w:lang w:val="en-US" w:eastAsia="zh-CN" w:bidi="ar"/>
              </w:rPr>
              <w:t>24</w:t>
            </w:r>
          </w:p>
        </w:tc>
        <w:tc>
          <w:tcPr>
            <w:tcW w:w="3517" w:type="dxa"/>
            <w:noWrap w:val="0"/>
            <w:tcMar>
              <w:top w:w="15" w:type="dxa"/>
              <w:left w:w="15" w:type="dxa"/>
              <w:right w:w="15" w:type="dxa"/>
            </w:tcMar>
            <w:vAlign w:val="center"/>
          </w:tcPr>
          <w:p w14:paraId="5A4E3D20">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Style w:val="7"/>
                <w:rFonts w:hint="default" w:ascii="Times New Roman" w:hAnsi="Times New Roman" w:cs="Times New Roman"/>
                <w:color w:val="0000FF"/>
                <w:sz w:val="20"/>
                <w:szCs w:val="20"/>
                <w:lang w:val="en-US" w:eastAsia="zh-CN" w:bidi="ar"/>
              </w:rPr>
              <w:t>糕点</w:t>
            </w:r>
          </w:p>
        </w:tc>
        <w:tc>
          <w:tcPr>
            <w:tcW w:w="1917" w:type="dxa"/>
            <w:noWrap w:val="0"/>
            <w:tcMar>
              <w:top w:w="15" w:type="dxa"/>
              <w:left w:w="15" w:type="dxa"/>
              <w:right w:w="15" w:type="dxa"/>
            </w:tcMar>
            <w:vAlign w:val="center"/>
          </w:tcPr>
          <w:p w14:paraId="2127985B">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Fonts w:hint="default" w:ascii="Times New Roman" w:hAnsi="Times New Roman" w:eastAsia="宋体" w:cs="Times New Roman"/>
                <w:i w:val="0"/>
                <w:color w:val="0000FF"/>
                <w:kern w:val="0"/>
                <w:sz w:val="20"/>
                <w:szCs w:val="20"/>
                <w:u w:val="none"/>
                <w:lang w:val="en-US" w:eastAsia="zh-CN" w:bidi="ar"/>
              </w:rPr>
              <w:t>132</w:t>
            </w:r>
          </w:p>
        </w:tc>
        <w:tc>
          <w:tcPr>
            <w:tcW w:w="1600" w:type="dxa"/>
            <w:noWrap w:val="0"/>
            <w:tcMar>
              <w:top w:w="15" w:type="dxa"/>
              <w:left w:w="15" w:type="dxa"/>
              <w:right w:w="15" w:type="dxa"/>
            </w:tcMar>
            <w:vAlign w:val="center"/>
          </w:tcPr>
          <w:p w14:paraId="71CD7200">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Fonts w:hint="default" w:ascii="Times New Roman" w:hAnsi="Times New Roman" w:eastAsia="宋体" w:cs="Times New Roman"/>
                <w:i w:val="0"/>
                <w:color w:val="0000FF"/>
                <w:kern w:val="0"/>
                <w:sz w:val="20"/>
                <w:szCs w:val="20"/>
                <w:u w:val="none"/>
                <w:lang w:val="en-US" w:eastAsia="zh-CN" w:bidi="ar"/>
              </w:rPr>
              <w:t>264327.36</w:t>
            </w:r>
          </w:p>
        </w:tc>
      </w:tr>
      <w:tr w14:paraId="36300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6" w:hRule="atLeast"/>
        </w:trPr>
        <w:tc>
          <w:tcPr>
            <w:tcW w:w="1051" w:type="dxa"/>
            <w:noWrap w:val="0"/>
            <w:tcMar>
              <w:top w:w="15" w:type="dxa"/>
              <w:left w:w="15" w:type="dxa"/>
              <w:right w:w="15" w:type="dxa"/>
            </w:tcMar>
            <w:vAlign w:val="center"/>
          </w:tcPr>
          <w:p w14:paraId="00C83BB7">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Fonts w:hint="default" w:ascii="Times New Roman" w:hAnsi="Times New Roman" w:eastAsia="宋体" w:cs="Times New Roman"/>
                <w:i w:val="0"/>
                <w:color w:val="0000FF"/>
                <w:kern w:val="0"/>
                <w:sz w:val="20"/>
                <w:szCs w:val="20"/>
                <w:u w:val="none"/>
                <w:lang w:val="en-US" w:eastAsia="zh-CN" w:bidi="ar"/>
              </w:rPr>
              <w:t>25</w:t>
            </w:r>
          </w:p>
        </w:tc>
        <w:tc>
          <w:tcPr>
            <w:tcW w:w="3517" w:type="dxa"/>
            <w:noWrap w:val="0"/>
            <w:tcMar>
              <w:top w:w="15" w:type="dxa"/>
              <w:left w:w="15" w:type="dxa"/>
              <w:right w:w="15" w:type="dxa"/>
            </w:tcMar>
            <w:vAlign w:val="center"/>
          </w:tcPr>
          <w:p w14:paraId="3D614605">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Style w:val="7"/>
                <w:rFonts w:hint="default" w:ascii="Times New Roman" w:hAnsi="Times New Roman" w:cs="Times New Roman"/>
                <w:color w:val="0000FF"/>
                <w:sz w:val="20"/>
                <w:szCs w:val="20"/>
                <w:lang w:val="en-US" w:eastAsia="zh-CN" w:bidi="ar"/>
              </w:rPr>
              <w:t>豆制品</w:t>
            </w:r>
          </w:p>
        </w:tc>
        <w:tc>
          <w:tcPr>
            <w:tcW w:w="1917" w:type="dxa"/>
            <w:noWrap w:val="0"/>
            <w:tcMar>
              <w:top w:w="15" w:type="dxa"/>
              <w:left w:w="15" w:type="dxa"/>
              <w:right w:w="15" w:type="dxa"/>
            </w:tcMar>
            <w:vAlign w:val="center"/>
          </w:tcPr>
          <w:p w14:paraId="44EDFBA1">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Fonts w:hint="default" w:ascii="Times New Roman" w:hAnsi="Times New Roman" w:eastAsia="宋体" w:cs="Times New Roman"/>
                <w:i w:val="0"/>
                <w:color w:val="0000FF"/>
                <w:kern w:val="0"/>
                <w:sz w:val="20"/>
                <w:szCs w:val="20"/>
                <w:u w:val="none"/>
                <w:lang w:val="en-US" w:eastAsia="zh-CN" w:bidi="ar"/>
              </w:rPr>
              <w:t>11</w:t>
            </w:r>
          </w:p>
        </w:tc>
        <w:tc>
          <w:tcPr>
            <w:tcW w:w="1600" w:type="dxa"/>
            <w:noWrap w:val="0"/>
            <w:tcMar>
              <w:top w:w="15" w:type="dxa"/>
              <w:left w:w="15" w:type="dxa"/>
              <w:right w:w="15" w:type="dxa"/>
            </w:tcMar>
            <w:vAlign w:val="center"/>
          </w:tcPr>
          <w:p w14:paraId="269865B8">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Fonts w:hint="default" w:ascii="Times New Roman" w:hAnsi="Times New Roman" w:eastAsia="宋体" w:cs="Times New Roman"/>
                <w:i w:val="0"/>
                <w:color w:val="0000FF"/>
                <w:kern w:val="0"/>
                <w:sz w:val="20"/>
                <w:szCs w:val="20"/>
                <w:u w:val="none"/>
                <w:lang w:val="en-US" w:eastAsia="zh-CN" w:bidi="ar"/>
              </w:rPr>
              <w:t>22027.28</w:t>
            </w:r>
          </w:p>
        </w:tc>
      </w:tr>
      <w:tr w14:paraId="5F61B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6" w:hRule="atLeast"/>
        </w:trPr>
        <w:tc>
          <w:tcPr>
            <w:tcW w:w="1051" w:type="dxa"/>
            <w:noWrap w:val="0"/>
            <w:tcMar>
              <w:top w:w="15" w:type="dxa"/>
              <w:left w:w="15" w:type="dxa"/>
              <w:right w:w="15" w:type="dxa"/>
            </w:tcMar>
            <w:vAlign w:val="center"/>
          </w:tcPr>
          <w:p w14:paraId="206962D2">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Fonts w:hint="default" w:ascii="Times New Roman" w:hAnsi="Times New Roman" w:eastAsia="宋体" w:cs="Times New Roman"/>
                <w:i w:val="0"/>
                <w:color w:val="0000FF"/>
                <w:kern w:val="0"/>
                <w:sz w:val="20"/>
                <w:szCs w:val="20"/>
                <w:u w:val="none"/>
                <w:lang w:val="en-US" w:eastAsia="zh-CN" w:bidi="ar"/>
              </w:rPr>
              <w:t>26</w:t>
            </w:r>
          </w:p>
        </w:tc>
        <w:tc>
          <w:tcPr>
            <w:tcW w:w="3517" w:type="dxa"/>
            <w:noWrap w:val="0"/>
            <w:tcMar>
              <w:top w:w="15" w:type="dxa"/>
              <w:left w:w="15" w:type="dxa"/>
              <w:right w:w="15" w:type="dxa"/>
            </w:tcMar>
            <w:vAlign w:val="center"/>
          </w:tcPr>
          <w:p w14:paraId="404CC29B">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Style w:val="7"/>
                <w:rFonts w:hint="default" w:ascii="Times New Roman" w:hAnsi="Times New Roman" w:cs="Times New Roman"/>
                <w:color w:val="0000FF"/>
                <w:sz w:val="20"/>
                <w:szCs w:val="20"/>
                <w:lang w:val="en-US" w:eastAsia="zh-CN" w:bidi="ar"/>
              </w:rPr>
              <w:t>蜂产品</w:t>
            </w:r>
          </w:p>
        </w:tc>
        <w:tc>
          <w:tcPr>
            <w:tcW w:w="1917" w:type="dxa"/>
            <w:noWrap w:val="0"/>
            <w:tcMar>
              <w:top w:w="15" w:type="dxa"/>
              <w:left w:w="15" w:type="dxa"/>
              <w:right w:w="15" w:type="dxa"/>
            </w:tcMar>
            <w:vAlign w:val="center"/>
          </w:tcPr>
          <w:p w14:paraId="353CB33A">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Fonts w:hint="default" w:ascii="Times New Roman" w:hAnsi="Times New Roman" w:eastAsia="宋体" w:cs="Times New Roman"/>
                <w:i w:val="0"/>
                <w:color w:val="0000FF"/>
                <w:kern w:val="0"/>
                <w:sz w:val="20"/>
                <w:szCs w:val="20"/>
                <w:u w:val="none"/>
                <w:lang w:val="en-US" w:eastAsia="zh-CN" w:bidi="ar"/>
              </w:rPr>
              <w:t>6</w:t>
            </w:r>
          </w:p>
        </w:tc>
        <w:tc>
          <w:tcPr>
            <w:tcW w:w="1600" w:type="dxa"/>
            <w:noWrap w:val="0"/>
            <w:tcMar>
              <w:top w:w="15" w:type="dxa"/>
              <w:left w:w="15" w:type="dxa"/>
              <w:right w:w="15" w:type="dxa"/>
            </w:tcMar>
            <w:vAlign w:val="center"/>
          </w:tcPr>
          <w:p w14:paraId="2D9D3E27">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Fonts w:hint="default" w:ascii="Times New Roman" w:hAnsi="Times New Roman" w:eastAsia="宋体" w:cs="Times New Roman"/>
                <w:i w:val="0"/>
                <w:color w:val="0000FF"/>
                <w:kern w:val="0"/>
                <w:sz w:val="20"/>
                <w:szCs w:val="20"/>
                <w:u w:val="none"/>
                <w:lang w:val="en-US" w:eastAsia="zh-CN" w:bidi="ar"/>
              </w:rPr>
              <w:t>12014.88</w:t>
            </w:r>
          </w:p>
        </w:tc>
      </w:tr>
      <w:tr w14:paraId="278BC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6" w:hRule="atLeast"/>
        </w:trPr>
        <w:tc>
          <w:tcPr>
            <w:tcW w:w="1051" w:type="dxa"/>
            <w:noWrap w:val="0"/>
            <w:tcMar>
              <w:top w:w="15" w:type="dxa"/>
              <w:left w:w="15" w:type="dxa"/>
              <w:right w:w="15" w:type="dxa"/>
            </w:tcMar>
            <w:vAlign w:val="center"/>
          </w:tcPr>
          <w:p w14:paraId="67BFA4FA">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Fonts w:hint="default" w:ascii="Times New Roman" w:hAnsi="Times New Roman" w:eastAsia="宋体" w:cs="Times New Roman"/>
                <w:i w:val="0"/>
                <w:color w:val="0000FF"/>
                <w:kern w:val="0"/>
                <w:sz w:val="20"/>
                <w:szCs w:val="20"/>
                <w:u w:val="none"/>
                <w:lang w:val="en-US" w:eastAsia="zh-CN" w:bidi="ar"/>
              </w:rPr>
              <w:t>27</w:t>
            </w:r>
          </w:p>
        </w:tc>
        <w:tc>
          <w:tcPr>
            <w:tcW w:w="3517" w:type="dxa"/>
            <w:noWrap w:val="0"/>
            <w:tcMar>
              <w:top w:w="15" w:type="dxa"/>
              <w:left w:w="15" w:type="dxa"/>
              <w:right w:w="15" w:type="dxa"/>
            </w:tcMar>
            <w:vAlign w:val="center"/>
          </w:tcPr>
          <w:p w14:paraId="4B2C7E41">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Style w:val="7"/>
                <w:rFonts w:hint="default" w:ascii="Times New Roman" w:hAnsi="Times New Roman" w:cs="Times New Roman"/>
                <w:color w:val="0000FF"/>
                <w:sz w:val="20"/>
                <w:szCs w:val="20"/>
                <w:lang w:val="en-US" w:eastAsia="zh-CN" w:bidi="ar"/>
              </w:rPr>
              <w:t>特殊膳食食品</w:t>
            </w:r>
          </w:p>
        </w:tc>
        <w:tc>
          <w:tcPr>
            <w:tcW w:w="1917" w:type="dxa"/>
            <w:noWrap w:val="0"/>
            <w:tcMar>
              <w:top w:w="15" w:type="dxa"/>
              <w:left w:w="15" w:type="dxa"/>
              <w:right w:w="15" w:type="dxa"/>
            </w:tcMar>
            <w:vAlign w:val="center"/>
          </w:tcPr>
          <w:p w14:paraId="17651E16">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Fonts w:hint="default" w:ascii="Times New Roman" w:hAnsi="Times New Roman" w:eastAsia="宋体" w:cs="Times New Roman"/>
                <w:i w:val="0"/>
                <w:color w:val="0000FF"/>
                <w:kern w:val="0"/>
                <w:sz w:val="20"/>
                <w:szCs w:val="20"/>
                <w:u w:val="none"/>
                <w:lang w:val="en-US" w:eastAsia="zh-CN" w:bidi="ar"/>
              </w:rPr>
              <w:t>3</w:t>
            </w:r>
          </w:p>
        </w:tc>
        <w:tc>
          <w:tcPr>
            <w:tcW w:w="1600" w:type="dxa"/>
            <w:noWrap w:val="0"/>
            <w:tcMar>
              <w:top w:w="15" w:type="dxa"/>
              <w:left w:w="15" w:type="dxa"/>
              <w:right w:w="15" w:type="dxa"/>
            </w:tcMar>
            <w:vAlign w:val="center"/>
          </w:tcPr>
          <w:p w14:paraId="3F1806D4">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Fonts w:hint="default" w:ascii="Times New Roman" w:hAnsi="Times New Roman" w:eastAsia="宋体" w:cs="Times New Roman"/>
                <w:i w:val="0"/>
                <w:color w:val="0000FF"/>
                <w:kern w:val="0"/>
                <w:sz w:val="20"/>
                <w:szCs w:val="20"/>
                <w:u w:val="none"/>
                <w:lang w:val="en-US" w:eastAsia="zh-CN" w:bidi="ar"/>
              </w:rPr>
              <w:t>6007.44</w:t>
            </w:r>
          </w:p>
        </w:tc>
      </w:tr>
      <w:tr w14:paraId="122D6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6" w:hRule="atLeast"/>
        </w:trPr>
        <w:tc>
          <w:tcPr>
            <w:tcW w:w="1051" w:type="dxa"/>
            <w:noWrap w:val="0"/>
            <w:tcMar>
              <w:top w:w="15" w:type="dxa"/>
              <w:left w:w="15" w:type="dxa"/>
              <w:right w:w="15" w:type="dxa"/>
            </w:tcMar>
            <w:vAlign w:val="center"/>
          </w:tcPr>
          <w:p w14:paraId="55AB0F3D">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Fonts w:hint="default" w:ascii="Times New Roman" w:hAnsi="Times New Roman" w:eastAsia="宋体" w:cs="Times New Roman"/>
                <w:i w:val="0"/>
                <w:color w:val="0000FF"/>
                <w:kern w:val="0"/>
                <w:sz w:val="20"/>
                <w:szCs w:val="20"/>
                <w:u w:val="none"/>
                <w:lang w:val="en-US" w:eastAsia="zh-CN" w:bidi="ar"/>
              </w:rPr>
              <w:t>28</w:t>
            </w:r>
          </w:p>
        </w:tc>
        <w:tc>
          <w:tcPr>
            <w:tcW w:w="3517" w:type="dxa"/>
            <w:noWrap w:val="0"/>
            <w:tcMar>
              <w:top w:w="15" w:type="dxa"/>
              <w:left w:w="15" w:type="dxa"/>
              <w:right w:w="15" w:type="dxa"/>
            </w:tcMar>
            <w:vAlign w:val="center"/>
          </w:tcPr>
          <w:p w14:paraId="2256BF3F">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Style w:val="7"/>
                <w:rFonts w:hint="default" w:ascii="Times New Roman" w:hAnsi="Times New Roman" w:cs="Times New Roman"/>
                <w:color w:val="0000FF"/>
                <w:sz w:val="20"/>
                <w:szCs w:val="20"/>
                <w:lang w:val="en-US" w:eastAsia="zh-CN" w:bidi="ar"/>
              </w:rPr>
              <w:t>餐饮食品</w:t>
            </w:r>
          </w:p>
        </w:tc>
        <w:tc>
          <w:tcPr>
            <w:tcW w:w="1917" w:type="dxa"/>
            <w:noWrap w:val="0"/>
            <w:tcMar>
              <w:top w:w="15" w:type="dxa"/>
              <w:left w:w="15" w:type="dxa"/>
              <w:right w:w="15" w:type="dxa"/>
            </w:tcMar>
            <w:vAlign w:val="center"/>
          </w:tcPr>
          <w:p w14:paraId="296D576B">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Fonts w:hint="default" w:ascii="Times New Roman" w:hAnsi="Times New Roman" w:eastAsia="宋体" w:cs="Times New Roman"/>
                <w:i w:val="0"/>
                <w:color w:val="0000FF"/>
                <w:kern w:val="0"/>
                <w:sz w:val="20"/>
                <w:szCs w:val="20"/>
                <w:u w:val="none"/>
                <w:lang w:val="en-US" w:eastAsia="zh-CN" w:bidi="ar"/>
              </w:rPr>
              <w:t>96</w:t>
            </w:r>
          </w:p>
        </w:tc>
        <w:tc>
          <w:tcPr>
            <w:tcW w:w="1600" w:type="dxa"/>
            <w:noWrap w:val="0"/>
            <w:tcMar>
              <w:top w:w="15" w:type="dxa"/>
              <w:left w:w="15" w:type="dxa"/>
              <w:right w:w="15" w:type="dxa"/>
            </w:tcMar>
            <w:vAlign w:val="center"/>
          </w:tcPr>
          <w:p w14:paraId="74897AFA">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Fonts w:hint="default" w:ascii="Times New Roman" w:hAnsi="Times New Roman" w:eastAsia="宋体" w:cs="Times New Roman"/>
                <w:i w:val="0"/>
                <w:color w:val="0000FF"/>
                <w:kern w:val="0"/>
                <w:sz w:val="20"/>
                <w:szCs w:val="20"/>
                <w:u w:val="none"/>
                <w:lang w:val="en-US" w:eastAsia="zh-CN" w:bidi="ar"/>
              </w:rPr>
              <w:t>192238.08</w:t>
            </w:r>
          </w:p>
        </w:tc>
      </w:tr>
      <w:tr w14:paraId="4D8CE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6" w:hRule="atLeast"/>
        </w:trPr>
        <w:tc>
          <w:tcPr>
            <w:tcW w:w="1051" w:type="dxa"/>
            <w:noWrap w:val="0"/>
            <w:tcMar>
              <w:top w:w="15" w:type="dxa"/>
              <w:left w:w="15" w:type="dxa"/>
              <w:right w:w="15" w:type="dxa"/>
            </w:tcMar>
            <w:vAlign w:val="center"/>
          </w:tcPr>
          <w:p w14:paraId="4A1FBB48">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Fonts w:hint="default" w:ascii="Times New Roman" w:hAnsi="Times New Roman" w:eastAsia="宋体" w:cs="Times New Roman"/>
                <w:i w:val="0"/>
                <w:color w:val="0000FF"/>
                <w:kern w:val="0"/>
                <w:sz w:val="20"/>
                <w:szCs w:val="20"/>
                <w:u w:val="none"/>
                <w:lang w:val="en-US" w:eastAsia="zh-CN" w:bidi="ar"/>
              </w:rPr>
              <w:t>29</w:t>
            </w:r>
          </w:p>
        </w:tc>
        <w:tc>
          <w:tcPr>
            <w:tcW w:w="3517" w:type="dxa"/>
            <w:noWrap w:val="0"/>
            <w:tcMar>
              <w:top w:w="15" w:type="dxa"/>
              <w:left w:w="15" w:type="dxa"/>
              <w:right w:w="15" w:type="dxa"/>
            </w:tcMar>
            <w:vAlign w:val="center"/>
          </w:tcPr>
          <w:p w14:paraId="24D62C17">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Style w:val="7"/>
                <w:rFonts w:hint="default" w:ascii="Times New Roman" w:hAnsi="Times New Roman" w:cs="Times New Roman"/>
                <w:color w:val="0000FF"/>
                <w:sz w:val="20"/>
                <w:szCs w:val="20"/>
                <w:lang w:val="en-US" w:eastAsia="zh-CN" w:bidi="ar"/>
              </w:rPr>
              <w:t>食品添加剂</w:t>
            </w:r>
          </w:p>
        </w:tc>
        <w:tc>
          <w:tcPr>
            <w:tcW w:w="1917" w:type="dxa"/>
            <w:noWrap w:val="0"/>
            <w:tcMar>
              <w:top w:w="15" w:type="dxa"/>
              <w:left w:w="15" w:type="dxa"/>
              <w:right w:w="15" w:type="dxa"/>
            </w:tcMar>
            <w:vAlign w:val="center"/>
          </w:tcPr>
          <w:p w14:paraId="78E03E81">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Fonts w:hint="default" w:ascii="Times New Roman" w:hAnsi="Times New Roman" w:eastAsia="宋体" w:cs="Times New Roman"/>
                <w:i w:val="0"/>
                <w:color w:val="0000FF"/>
                <w:kern w:val="0"/>
                <w:sz w:val="20"/>
                <w:szCs w:val="20"/>
                <w:u w:val="none"/>
                <w:lang w:val="en-US" w:eastAsia="zh-CN" w:bidi="ar"/>
              </w:rPr>
              <w:t>10</w:t>
            </w:r>
          </w:p>
        </w:tc>
        <w:tc>
          <w:tcPr>
            <w:tcW w:w="1600" w:type="dxa"/>
            <w:noWrap w:val="0"/>
            <w:tcMar>
              <w:top w:w="15" w:type="dxa"/>
              <w:left w:w="15" w:type="dxa"/>
              <w:right w:w="15" w:type="dxa"/>
            </w:tcMar>
            <w:vAlign w:val="center"/>
          </w:tcPr>
          <w:p w14:paraId="3610F96D">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Fonts w:hint="default" w:ascii="Times New Roman" w:hAnsi="Times New Roman" w:eastAsia="宋体" w:cs="Times New Roman"/>
                <w:i w:val="0"/>
                <w:color w:val="0000FF"/>
                <w:kern w:val="0"/>
                <w:sz w:val="20"/>
                <w:szCs w:val="20"/>
                <w:u w:val="none"/>
                <w:lang w:val="en-US" w:eastAsia="zh-CN" w:bidi="ar"/>
              </w:rPr>
              <w:t>20024.8</w:t>
            </w:r>
          </w:p>
        </w:tc>
      </w:tr>
      <w:tr w14:paraId="3FA38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6" w:hRule="atLeast"/>
        </w:trPr>
        <w:tc>
          <w:tcPr>
            <w:tcW w:w="1051" w:type="dxa"/>
            <w:noWrap w:val="0"/>
            <w:tcMar>
              <w:top w:w="15" w:type="dxa"/>
              <w:left w:w="15" w:type="dxa"/>
              <w:right w:w="15" w:type="dxa"/>
            </w:tcMar>
            <w:vAlign w:val="center"/>
          </w:tcPr>
          <w:p w14:paraId="400F3B75">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Fonts w:hint="default" w:ascii="Times New Roman" w:hAnsi="Times New Roman" w:eastAsia="宋体" w:cs="Times New Roman"/>
                <w:i w:val="0"/>
                <w:color w:val="0000FF"/>
                <w:kern w:val="0"/>
                <w:sz w:val="20"/>
                <w:szCs w:val="20"/>
                <w:u w:val="none"/>
                <w:lang w:val="en-US" w:eastAsia="zh-CN" w:bidi="ar"/>
              </w:rPr>
              <w:t>30</w:t>
            </w:r>
          </w:p>
        </w:tc>
        <w:tc>
          <w:tcPr>
            <w:tcW w:w="3517" w:type="dxa"/>
            <w:noWrap w:val="0"/>
            <w:tcMar>
              <w:top w:w="15" w:type="dxa"/>
              <w:left w:w="15" w:type="dxa"/>
              <w:right w:w="15" w:type="dxa"/>
            </w:tcMar>
            <w:vAlign w:val="center"/>
          </w:tcPr>
          <w:p w14:paraId="20346BB1">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Style w:val="7"/>
                <w:rFonts w:hint="default" w:ascii="Times New Roman" w:hAnsi="Times New Roman" w:cs="Times New Roman"/>
                <w:color w:val="0000FF"/>
                <w:sz w:val="20"/>
                <w:szCs w:val="20"/>
                <w:lang w:val="en-US" w:eastAsia="zh-CN" w:bidi="ar"/>
              </w:rPr>
              <w:t>食用农产品</w:t>
            </w:r>
          </w:p>
        </w:tc>
        <w:tc>
          <w:tcPr>
            <w:tcW w:w="1917" w:type="dxa"/>
            <w:noWrap w:val="0"/>
            <w:tcMar>
              <w:top w:w="15" w:type="dxa"/>
              <w:left w:w="15" w:type="dxa"/>
              <w:right w:w="15" w:type="dxa"/>
            </w:tcMar>
            <w:vAlign w:val="center"/>
          </w:tcPr>
          <w:p w14:paraId="592E1588">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Fonts w:hint="default" w:ascii="Times New Roman" w:hAnsi="Times New Roman" w:eastAsia="宋体" w:cs="Times New Roman"/>
                <w:i w:val="0"/>
                <w:color w:val="0000FF"/>
                <w:kern w:val="0"/>
                <w:sz w:val="20"/>
                <w:szCs w:val="20"/>
                <w:u w:val="none"/>
                <w:lang w:val="en-US" w:eastAsia="zh-CN" w:bidi="ar"/>
              </w:rPr>
              <w:t>159</w:t>
            </w:r>
          </w:p>
        </w:tc>
        <w:tc>
          <w:tcPr>
            <w:tcW w:w="1600" w:type="dxa"/>
            <w:noWrap w:val="0"/>
            <w:tcMar>
              <w:top w:w="15" w:type="dxa"/>
              <w:left w:w="15" w:type="dxa"/>
              <w:right w:w="15" w:type="dxa"/>
            </w:tcMar>
            <w:vAlign w:val="center"/>
          </w:tcPr>
          <w:p w14:paraId="768133DE">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Fonts w:hint="default" w:ascii="Times New Roman" w:hAnsi="Times New Roman" w:eastAsia="宋体" w:cs="Times New Roman"/>
                <w:i w:val="0"/>
                <w:color w:val="0000FF"/>
                <w:kern w:val="0"/>
                <w:sz w:val="20"/>
                <w:szCs w:val="20"/>
                <w:u w:val="none"/>
                <w:lang w:val="en-US" w:eastAsia="zh-CN" w:bidi="ar"/>
              </w:rPr>
              <w:t>318394.32</w:t>
            </w:r>
          </w:p>
        </w:tc>
      </w:tr>
      <w:tr w14:paraId="023E6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6" w:hRule="atLeast"/>
        </w:trPr>
        <w:tc>
          <w:tcPr>
            <w:tcW w:w="4568" w:type="dxa"/>
            <w:gridSpan w:val="2"/>
            <w:noWrap w:val="0"/>
            <w:tcMar>
              <w:top w:w="15" w:type="dxa"/>
              <w:left w:w="15" w:type="dxa"/>
              <w:right w:w="15" w:type="dxa"/>
            </w:tcMar>
            <w:vAlign w:val="center"/>
          </w:tcPr>
          <w:p w14:paraId="0D5AAC8F">
            <w:pPr>
              <w:keepNext w:val="0"/>
              <w:keepLines w:val="0"/>
              <w:widowControl/>
              <w:suppressLineNumbers w:val="0"/>
              <w:jc w:val="center"/>
              <w:textAlignment w:val="center"/>
              <w:rPr>
                <w:rStyle w:val="7"/>
                <w:rFonts w:hint="default" w:ascii="Times New Roman" w:hAnsi="Times New Roman" w:cs="Times New Roman"/>
                <w:color w:val="0000FF"/>
                <w:sz w:val="20"/>
                <w:szCs w:val="20"/>
                <w:lang w:val="en-US" w:eastAsia="zh-CN" w:bidi="ar"/>
              </w:rPr>
            </w:pPr>
            <w:r>
              <w:rPr>
                <w:rFonts w:hint="default" w:ascii="Times New Roman" w:hAnsi="Times New Roman" w:eastAsia="宋体" w:cs="Times New Roman"/>
                <w:b/>
                <w:i w:val="0"/>
                <w:color w:val="0000FF"/>
                <w:kern w:val="0"/>
                <w:sz w:val="20"/>
                <w:szCs w:val="20"/>
                <w:u w:val="none"/>
                <w:lang w:val="en-US" w:eastAsia="zh-CN" w:bidi="ar"/>
              </w:rPr>
              <w:t>合计</w:t>
            </w:r>
          </w:p>
        </w:tc>
        <w:tc>
          <w:tcPr>
            <w:tcW w:w="1917" w:type="dxa"/>
            <w:noWrap w:val="0"/>
            <w:tcMar>
              <w:top w:w="15" w:type="dxa"/>
              <w:left w:w="15" w:type="dxa"/>
              <w:right w:w="15" w:type="dxa"/>
            </w:tcMar>
            <w:vAlign w:val="center"/>
          </w:tcPr>
          <w:p w14:paraId="4B7921B1">
            <w:pPr>
              <w:keepNext w:val="0"/>
              <w:keepLines w:val="0"/>
              <w:widowControl/>
              <w:suppressLineNumbers w:val="0"/>
              <w:jc w:val="center"/>
              <w:textAlignment w:val="center"/>
              <w:rPr>
                <w:rFonts w:hint="default" w:ascii="Times New Roman" w:hAnsi="Times New Roman" w:eastAsia="宋体" w:cs="Times New Roman"/>
                <w:i w:val="0"/>
                <w:color w:val="0000FF"/>
                <w:kern w:val="0"/>
                <w:sz w:val="20"/>
                <w:szCs w:val="20"/>
                <w:u w:val="none"/>
                <w:lang w:val="en-US" w:eastAsia="zh-CN" w:bidi="ar"/>
              </w:rPr>
            </w:pPr>
            <w:r>
              <w:rPr>
                <w:rFonts w:hint="default" w:ascii="Times New Roman" w:hAnsi="Times New Roman" w:eastAsia="宋体" w:cs="Times New Roman"/>
                <w:b/>
                <w:i w:val="0"/>
                <w:color w:val="0000FF"/>
                <w:kern w:val="0"/>
                <w:sz w:val="20"/>
                <w:szCs w:val="20"/>
                <w:u w:val="none"/>
                <w:lang w:val="en-US" w:eastAsia="zh-CN" w:bidi="ar"/>
              </w:rPr>
              <w:t>1031</w:t>
            </w:r>
          </w:p>
        </w:tc>
        <w:tc>
          <w:tcPr>
            <w:tcW w:w="1600" w:type="dxa"/>
            <w:noWrap w:val="0"/>
            <w:tcMar>
              <w:top w:w="15" w:type="dxa"/>
              <w:left w:w="15" w:type="dxa"/>
              <w:right w:w="15" w:type="dxa"/>
            </w:tcMar>
            <w:vAlign w:val="center"/>
          </w:tcPr>
          <w:p w14:paraId="67F2B6F6">
            <w:pPr>
              <w:keepNext w:val="0"/>
              <w:keepLines w:val="0"/>
              <w:widowControl/>
              <w:suppressLineNumbers w:val="0"/>
              <w:jc w:val="center"/>
              <w:textAlignment w:val="center"/>
              <w:rPr>
                <w:rFonts w:hint="default" w:ascii="Times New Roman" w:hAnsi="Times New Roman" w:eastAsia="宋体" w:cs="Times New Roman"/>
                <w:i w:val="0"/>
                <w:color w:val="0000FF"/>
                <w:kern w:val="0"/>
                <w:sz w:val="20"/>
                <w:szCs w:val="20"/>
                <w:u w:val="none"/>
                <w:lang w:val="en-US" w:eastAsia="zh-CN" w:bidi="ar"/>
              </w:rPr>
            </w:pPr>
            <w:r>
              <w:rPr>
                <w:rFonts w:hint="default" w:ascii="Times New Roman" w:hAnsi="Times New Roman" w:eastAsia="宋体" w:cs="Times New Roman"/>
                <w:b/>
                <w:i w:val="0"/>
                <w:color w:val="0000FF"/>
                <w:kern w:val="0"/>
                <w:sz w:val="20"/>
                <w:szCs w:val="20"/>
                <w:u w:val="none"/>
                <w:lang w:val="en-US" w:eastAsia="zh-CN" w:bidi="ar"/>
              </w:rPr>
              <w:t>2064556.88</w:t>
            </w:r>
          </w:p>
        </w:tc>
      </w:tr>
    </w:tbl>
    <w:p w14:paraId="381B01AD">
      <w:pPr>
        <w:pStyle w:val="6"/>
        <w:numPr>
          <w:ilvl w:val="0"/>
          <w:numId w:val="0"/>
        </w:numPr>
        <w:ind w:left="480" w:leftChars="0"/>
        <w:jc w:val="both"/>
        <w:rPr>
          <w:rFonts w:hint="default" w:ascii="Times New Roman" w:hAnsi="Times New Roman" w:eastAsia="宋体" w:cs="Times New Roman"/>
          <w:color w:val="0000FF"/>
          <w:sz w:val="20"/>
          <w:szCs w:val="20"/>
          <w:highlight w:val="none"/>
          <w:lang w:eastAsia="zh-CN"/>
        </w:rPr>
      </w:pPr>
    </w:p>
    <w:p w14:paraId="14356DA7">
      <w:pPr>
        <w:pStyle w:val="6"/>
        <w:numPr>
          <w:ilvl w:val="0"/>
          <w:numId w:val="0"/>
        </w:numPr>
        <w:jc w:val="both"/>
        <w:rPr>
          <w:rFonts w:hint="eastAsia" w:ascii="Times New Roman" w:hAnsi="Times New Roman" w:cs="Times New Roman"/>
          <w:b/>
          <w:bCs/>
          <w:color w:val="0000FF"/>
          <w:sz w:val="20"/>
          <w:szCs w:val="20"/>
          <w:highlight w:val="none"/>
          <w:lang w:val="en-US" w:eastAsia="zh-CN"/>
        </w:rPr>
      </w:pPr>
    </w:p>
    <w:p w14:paraId="60B67E4B">
      <w:pPr>
        <w:pStyle w:val="6"/>
        <w:numPr>
          <w:ilvl w:val="0"/>
          <w:numId w:val="0"/>
        </w:numPr>
        <w:jc w:val="both"/>
        <w:rPr>
          <w:rFonts w:hint="default" w:ascii="Times New Roman" w:hAnsi="Times New Roman" w:eastAsia="宋体" w:cs="Times New Roman"/>
          <w:b/>
          <w:bCs/>
          <w:color w:val="0000FF"/>
          <w:sz w:val="20"/>
          <w:szCs w:val="20"/>
          <w:highlight w:val="none"/>
          <w:lang w:val="en-US" w:eastAsia="zh-CN"/>
        </w:rPr>
      </w:pPr>
      <w:r>
        <w:rPr>
          <w:rFonts w:hint="eastAsia" w:ascii="Times New Roman" w:hAnsi="Times New Roman" w:cs="Times New Roman"/>
          <w:b/>
          <w:bCs/>
          <w:color w:val="0000FF"/>
          <w:sz w:val="20"/>
          <w:szCs w:val="20"/>
          <w:highlight w:val="none"/>
          <w:lang w:val="en-US" w:eastAsia="zh-CN"/>
        </w:rPr>
        <w:t>采购包</w:t>
      </w:r>
      <w:r>
        <w:rPr>
          <w:rFonts w:hint="default" w:ascii="Times New Roman" w:hAnsi="Times New Roman" w:cs="Times New Roman"/>
          <w:b/>
          <w:bCs/>
          <w:color w:val="0000FF"/>
          <w:sz w:val="20"/>
          <w:szCs w:val="20"/>
          <w:highlight w:val="none"/>
          <w:lang w:val="en-US" w:eastAsia="zh-CN"/>
        </w:rPr>
        <w:t>3</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82"/>
        <w:gridCol w:w="3136"/>
        <w:gridCol w:w="1983"/>
        <w:gridCol w:w="1619"/>
      </w:tblGrid>
      <w:tr w14:paraId="488E3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8" w:hRule="atLeast"/>
        </w:trPr>
        <w:tc>
          <w:tcPr>
            <w:tcW w:w="1282" w:type="dxa"/>
            <w:noWrap w:val="0"/>
            <w:tcMar>
              <w:top w:w="15" w:type="dxa"/>
              <w:left w:w="15" w:type="dxa"/>
              <w:right w:w="15" w:type="dxa"/>
            </w:tcMar>
            <w:vAlign w:val="center"/>
          </w:tcPr>
          <w:p w14:paraId="632B5D86">
            <w:pPr>
              <w:jc w:val="center"/>
              <w:rPr>
                <w:rFonts w:hint="default" w:ascii="Times New Roman" w:hAnsi="Times New Roman" w:eastAsia="宋体" w:cs="Times New Roman"/>
                <w:i w:val="0"/>
                <w:color w:val="0000FF"/>
                <w:sz w:val="20"/>
                <w:szCs w:val="20"/>
                <w:u w:val="none"/>
              </w:rPr>
            </w:pPr>
            <w:r>
              <w:rPr>
                <w:rFonts w:hint="default" w:ascii="Times New Roman" w:hAnsi="Times New Roman" w:eastAsia="宋体" w:cs="Times New Roman"/>
                <w:b/>
                <w:bCs/>
                <w:i w:val="0"/>
                <w:color w:val="0000FF"/>
                <w:sz w:val="20"/>
                <w:szCs w:val="20"/>
                <w:u w:val="none"/>
                <w:lang w:eastAsia="zh-CN"/>
              </w:rPr>
              <w:t>序号</w:t>
            </w:r>
          </w:p>
        </w:tc>
        <w:tc>
          <w:tcPr>
            <w:tcW w:w="3136" w:type="dxa"/>
            <w:noWrap w:val="0"/>
            <w:tcMar>
              <w:top w:w="15" w:type="dxa"/>
              <w:left w:w="15" w:type="dxa"/>
              <w:right w:w="15" w:type="dxa"/>
            </w:tcMar>
            <w:vAlign w:val="center"/>
          </w:tcPr>
          <w:p w14:paraId="66D1FEA9">
            <w:pPr>
              <w:keepNext w:val="0"/>
              <w:keepLines w:val="0"/>
              <w:widowControl/>
              <w:suppressLineNumbers w:val="0"/>
              <w:jc w:val="center"/>
              <w:textAlignment w:val="center"/>
              <w:rPr>
                <w:rFonts w:hint="default" w:ascii="Times New Roman" w:hAnsi="Times New Roman" w:eastAsia="宋体" w:cs="Times New Roman"/>
                <w:b/>
                <w:i w:val="0"/>
                <w:color w:val="0000FF"/>
                <w:sz w:val="20"/>
                <w:szCs w:val="20"/>
                <w:u w:val="none"/>
              </w:rPr>
            </w:pPr>
            <w:r>
              <w:rPr>
                <w:rFonts w:hint="default" w:ascii="Times New Roman" w:hAnsi="Times New Roman" w:eastAsia="宋体" w:cs="Times New Roman"/>
                <w:b/>
                <w:bCs/>
                <w:i w:val="0"/>
                <w:color w:val="0000FF"/>
                <w:kern w:val="0"/>
                <w:sz w:val="20"/>
                <w:szCs w:val="20"/>
                <w:u w:val="none"/>
                <w:lang w:val="en-US" w:eastAsia="zh-CN" w:bidi="ar"/>
              </w:rPr>
              <w:t>食品大类（一级）</w:t>
            </w:r>
          </w:p>
        </w:tc>
        <w:tc>
          <w:tcPr>
            <w:tcW w:w="1983" w:type="dxa"/>
            <w:noWrap w:val="0"/>
            <w:tcMar>
              <w:top w:w="15" w:type="dxa"/>
              <w:left w:w="15" w:type="dxa"/>
              <w:right w:w="15" w:type="dxa"/>
            </w:tcMar>
            <w:vAlign w:val="center"/>
          </w:tcPr>
          <w:p w14:paraId="643F0610">
            <w:pPr>
              <w:keepNext w:val="0"/>
              <w:keepLines w:val="0"/>
              <w:widowControl/>
              <w:suppressLineNumbers w:val="0"/>
              <w:jc w:val="center"/>
              <w:textAlignment w:val="center"/>
              <w:rPr>
                <w:rFonts w:hint="default" w:ascii="Times New Roman" w:hAnsi="Times New Roman" w:eastAsia="宋体" w:cs="Times New Roman"/>
                <w:b/>
                <w:i w:val="0"/>
                <w:color w:val="0000FF"/>
                <w:sz w:val="20"/>
                <w:szCs w:val="20"/>
                <w:u w:val="none"/>
              </w:rPr>
            </w:pPr>
            <w:r>
              <w:rPr>
                <w:rFonts w:hint="default" w:ascii="Times New Roman" w:hAnsi="Times New Roman" w:cs="Times New Roman"/>
                <w:b/>
                <w:bCs/>
                <w:i w:val="0"/>
                <w:color w:val="0000FF"/>
                <w:sz w:val="20"/>
                <w:szCs w:val="20"/>
                <w:u w:val="none"/>
                <w:lang w:eastAsia="zh-CN"/>
              </w:rPr>
              <w:t>任务量（批次）</w:t>
            </w:r>
          </w:p>
        </w:tc>
        <w:tc>
          <w:tcPr>
            <w:tcW w:w="1619" w:type="dxa"/>
            <w:noWrap w:val="0"/>
            <w:tcMar>
              <w:top w:w="15" w:type="dxa"/>
              <w:left w:w="15" w:type="dxa"/>
              <w:right w:w="15" w:type="dxa"/>
            </w:tcMar>
            <w:vAlign w:val="center"/>
          </w:tcPr>
          <w:p w14:paraId="6DB849CC">
            <w:pPr>
              <w:keepNext w:val="0"/>
              <w:keepLines w:val="0"/>
              <w:widowControl/>
              <w:suppressLineNumbers w:val="0"/>
              <w:jc w:val="center"/>
              <w:textAlignment w:val="center"/>
              <w:rPr>
                <w:rFonts w:hint="default" w:ascii="Times New Roman" w:hAnsi="Times New Roman" w:eastAsia="宋体" w:cs="Times New Roman"/>
                <w:b/>
                <w:i w:val="0"/>
                <w:color w:val="0000FF"/>
                <w:sz w:val="20"/>
                <w:szCs w:val="20"/>
                <w:u w:val="none"/>
              </w:rPr>
            </w:pPr>
            <w:r>
              <w:rPr>
                <w:rFonts w:hint="default" w:ascii="Times New Roman" w:hAnsi="Times New Roman" w:cs="Times New Roman"/>
                <w:b/>
                <w:bCs/>
                <w:i w:val="0"/>
                <w:color w:val="0000FF"/>
                <w:sz w:val="20"/>
                <w:szCs w:val="20"/>
                <w:u w:val="none"/>
                <w:lang w:eastAsia="zh-CN"/>
              </w:rPr>
              <w:t>预算（元）</w:t>
            </w:r>
          </w:p>
        </w:tc>
      </w:tr>
      <w:tr w14:paraId="3C2F5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7" w:hRule="atLeast"/>
        </w:trPr>
        <w:tc>
          <w:tcPr>
            <w:tcW w:w="1282" w:type="dxa"/>
            <w:noWrap w:val="0"/>
            <w:tcMar>
              <w:top w:w="15" w:type="dxa"/>
              <w:left w:w="15" w:type="dxa"/>
              <w:right w:w="15" w:type="dxa"/>
            </w:tcMar>
            <w:vAlign w:val="center"/>
          </w:tcPr>
          <w:p w14:paraId="2EC4CF93">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Fonts w:hint="default" w:ascii="Times New Roman" w:hAnsi="Times New Roman" w:eastAsia="宋体" w:cs="Times New Roman"/>
                <w:i w:val="0"/>
                <w:color w:val="0000FF"/>
                <w:kern w:val="0"/>
                <w:sz w:val="20"/>
                <w:szCs w:val="20"/>
                <w:u w:val="none"/>
                <w:lang w:val="en-US" w:eastAsia="zh-CN" w:bidi="ar"/>
              </w:rPr>
              <w:t>1</w:t>
            </w:r>
          </w:p>
        </w:tc>
        <w:tc>
          <w:tcPr>
            <w:tcW w:w="3136" w:type="dxa"/>
            <w:noWrap w:val="0"/>
            <w:tcMar>
              <w:top w:w="15" w:type="dxa"/>
              <w:left w:w="15" w:type="dxa"/>
              <w:right w:w="15" w:type="dxa"/>
            </w:tcMar>
            <w:vAlign w:val="center"/>
          </w:tcPr>
          <w:p w14:paraId="713BFEF9">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Style w:val="7"/>
                <w:rFonts w:hint="default" w:ascii="Times New Roman" w:hAnsi="Times New Roman" w:cs="Times New Roman"/>
                <w:color w:val="0000FF"/>
                <w:sz w:val="20"/>
                <w:szCs w:val="20"/>
                <w:lang w:val="en-US" w:eastAsia="zh-CN" w:bidi="ar"/>
              </w:rPr>
              <w:t>粮食加工品</w:t>
            </w:r>
          </w:p>
        </w:tc>
        <w:tc>
          <w:tcPr>
            <w:tcW w:w="1983" w:type="dxa"/>
            <w:noWrap w:val="0"/>
            <w:tcMar>
              <w:top w:w="15" w:type="dxa"/>
              <w:left w:w="15" w:type="dxa"/>
              <w:right w:w="15" w:type="dxa"/>
            </w:tcMar>
            <w:vAlign w:val="center"/>
          </w:tcPr>
          <w:p w14:paraId="0D31579D">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Fonts w:hint="default" w:ascii="Times New Roman" w:hAnsi="Times New Roman" w:eastAsia="宋体" w:cs="Times New Roman"/>
                <w:i w:val="0"/>
                <w:color w:val="0000FF"/>
                <w:kern w:val="0"/>
                <w:sz w:val="20"/>
                <w:szCs w:val="20"/>
                <w:u w:val="none"/>
                <w:lang w:val="en-US" w:eastAsia="zh-CN" w:bidi="ar"/>
              </w:rPr>
              <w:t>44</w:t>
            </w:r>
          </w:p>
        </w:tc>
        <w:tc>
          <w:tcPr>
            <w:tcW w:w="1619" w:type="dxa"/>
            <w:noWrap w:val="0"/>
            <w:tcMar>
              <w:top w:w="15" w:type="dxa"/>
              <w:left w:w="15" w:type="dxa"/>
              <w:right w:w="15" w:type="dxa"/>
            </w:tcMar>
            <w:vAlign w:val="center"/>
          </w:tcPr>
          <w:p w14:paraId="17A3B7FC">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Fonts w:hint="default" w:ascii="Times New Roman" w:hAnsi="Times New Roman" w:eastAsia="宋体" w:cs="Times New Roman"/>
                <w:i w:val="0"/>
                <w:color w:val="0000FF"/>
                <w:kern w:val="0"/>
                <w:sz w:val="20"/>
                <w:szCs w:val="20"/>
                <w:u w:val="none"/>
                <w:lang w:val="en-US" w:eastAsia="zh-CN" w:bidi="ar"/>
              </w:rPr>
              <w:t>88173.36</w:t>
            </w:r>
          </w:p>
        </w:tc>
      </w:tr>
      <w:tr w14:paraId="438FE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7" w:hRule="atLeast"/>
        </w:trPr>
        <w:tc>
          <w:tcPr>
            <w:tcW w:w="1282" w:type="dxa"/>
            <w:noWrap w:val="0"/>
            <w:tcMar>
              <w:top w:w="15" w:type="dxa"/>
              <w:left w:w="15" w:type="dxa"/>
              <w:right w:w="15" w:type="dxa"/>
            </w:tcMar>
            <w:vAlign w:val="center"/>
          </w:tcPr>
          <w:p w14:paraId="24FDD150">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Fonts w:hint="default" w:ascii="Times New Roman" w:hAnsi="Times New Roman" w:eastAsia="宋体" w:cs="Times New Roman"/>
                <w:i w:val="0"/>
                <w:color w:val="0000FF"/>
                <w:kern w:val="0"/>
                <w:sz w:val="20"/>
                <w:szCs w:val="20"/>
                <w:u w:val="none"/>
                <w:lang w:val="en-US" w:eastAsia="zh-CN" w:bidi="ar"/>
              </w:rPr>
              <w:t>2</w:t>
            </w:r>
          </w:p>
        </w:tc>
        <w:tc>
          <w:tcPr>
            <w:tcW w:w="3136" w:type="dxa"/>
            <w:noWrap w:val="0"/>
            <w:tcMar>
              <w:top w:w="15" w:type="dxa"/>
              <w:left w:w="15" w:type="dxa"/>
              <w:right w:w="15" w:type="dxa"/>
            </w:tcMar>
            <w:vAlign w:val="center"/>
          </w:tcPr>
          <w:p w14:paraId="04F7FC09">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Style w:val="7"/>
                <w:rFonts w:hint="default" w:ascii="Times New Roman" w:hAnsi="Times New Roman" w:cs="Times New Roman"/>
                <w:color w:val="0000FF"/>
                <w:sz w:val="20"/>
                <w:szCs w:val="20"/>
                <w:lang w:val="en-US" w:eastAsia="zh-CN" w:bidi="ar"/>
              </w:rPr>
              <w:t>食用油、油脂及其制品</w:t>
            </w:r>
          </w:p>
        </w:tc>
        <w:tc>
          <w:tcPr>
            <w:tcW w:w="1983" w:type="dxa"/>
            <w:noWrap w:val="0"/>
            <w:tcMar>
              <w:top w:w="15" w:type="dxa"/>
              <w:left w:w="15" w:type="dxa"/>
              <w:right w:w="15" w:type="dxa"/>
            </w:tcMar>
            <w:vAlign w:val="center"/>
          </w:tcPr>
          <w:p w14:paraId="7EF251D2">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Fonts w:hint="default" w:ascii="Times New Roman" w:hAnsi="Times New Roman" w:eastAsia="宋体" w:cs="Times New Roman"/>
                <w:i w:val="0"/>
                <w:color w:val="0000FF"/>
                <w:kern w:val="0"/>
                <w:sz w:val="20"/>
                <w:szCs w:val="20"/>
                <w:u w:val="none"/>
                <w:lang w:val="en-US" w:eastAsia="zh-CN" w:bidi="ar"/>
              </w:rPr>
              <w:t>92</w:t>
            </w:r>
          </w:p>
        </w:tc>
        <w:tc>
          <w:tcPr>
            <w:tcW w:w="1619" w:type="dxa"/>
            <w:noWrap w:val="0"/>
            <w:tcMar>
              <w:top w:w="15" w:type="dxa"/>
              <w:left w:w="15" w:type="dxa"/>
              <w:right w:w="15" w:type="dxa"/>
            </w:tcMar>
            <w:vAlign w:val="center"/>
          </w:tcPr>
          <w:p w14:paraId="4BFF5330">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Fonts w:hint="default" w:ascii="Times New Roman" w:hAnsi="Times New Roman" w:eastAsia="宋体" w:cs="Times New Roman"/>
                <w:i w:val="0"/>
                <w:color w:val="0000FF"/>
                <w:kern w:val="0"/>
                <w:sz w:val="20"/>
                <w:szCs w:val="20"/>
                <w:u w:val="none"/>
                <w:lang w:val="en-US" w:eastAsia="zh-CN" w:bidi="ar"/>
              </w:rPr>
              <w:t>184362.48</w:t>
            </w:r>
          </w:p>
        </w:tc>
      </w:tr>
      <w:tr w14:paraId="4C629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7" w:hRule="atLeast"/>
        </w:trPr>
        <w:tc>
          <w:tcPr>
            <w:tcW w:w="1282" w:type="dxa"/>
            <w:noWrap w:val="0"/>
            <w:tcMar>
              <w:top w:w="15" w:type="dxa"/>
              <w:left w:w="15" w:type="dxa"/>
              <w:right w:w="15" w:type="dxa"/>
            </w:tcMar>
            <w:vAlign w:val="center"/>
          </w:tcPr>
          <w:p w14:paraId="09806D31">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Fonts w:hint="default" w:ascii="Times New Roman" w:hAnsi="Times New Roman" w:eastAsia="宋体" w:cs="Times New Roman"/>
                <w:i w:val="0"/>
                <w:color w:val="0000FF"/>
                <w:kern w:val="0"/>
                <w:sz w:val="20"/>
                <w:szCs w:val="20"/>
                <w:u w:val="none"/>
                <w:lang w:val="en-US" w:eastAsia="zh-CN" w:bidi="ar"/>
              </w:rPr>
              <w:t>3</w:t>
            </w:r>
          </w:p>
        </w:tc>
        <w:tc>
          <w:tcPr>
            <w:tcW w:w="3136" w:type="dxa"/>
            <w:noWrap w:val="0"/>
            <w:tcMar>
              <w:top w:w="15" w:type="dxa"/>
              <w:left w:w="15" w:type="dxa"/>
              <w:right w:w="15" w:type="dxa"/>
            </w:tcMar>
            <w:vAlign w:val="center"/>
          </w:tcPr>
          <w:p w14:paraId="5F662B8B">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Style w:val="7"/>
                <w:rFonts w:hint="default" w:ascii="Times New Roman" w:hAnsi="Times New Roman" w:cs="Times New Roman"/>
                <w:color w:val="0000FF"/>
                <w:sz w:val="20"/>
                <w:szCs w:val="20"/>
                <w:lang w:val="en-US" w:eastAsia="zh-CN" w:bidi="ar"/>
              </w:rPr>
              <w:t>调味品</w:t>
            </w:r>
          </w:p>
        </w:tc>
        <w:tc>
          <w:tcPr>
            <w:tcW w:w="1983" w:type="dxa"/>
            <w:noWrap w:val="0"/>
            <w:tcMar>
              <w:top w:w="15" w:type="dxa"/>
              <w:left w:w="15" w:type="dxa"/>
              <w:right w:w="15" w:type="dxa"/>
            </w:tcMar>
            <w:vAlign w:val="center"/>
          </w:tcPr>
          <w:p w14:paraId="31AC6BB5">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Fonts w:hint="default" w:ascii="Times New Roman" w:hAnsi="Times New Roman" w:eastAsia="宋体" w:cs="Times New Roman"/>
                <w:i w:val="0"/>
                <w:color w:val="0000FF"/>
                <w:kern w:val="0"/>
                <w:sz w:val="20"/>
                <w:szCs w:val="20"/>
                <w:u w:val="none"/>
                <w:lang w:val="en-US" w:eastAsia="zh-CN" w:bidi="ar"/>
              </w:rPr>
              <w:t>24</w:t>
            </w:r>
          </w:p>
        </w:tc>
        <w:tc>
          <w:tcPr>
            <w:tcW w:w="1619" w:type="dxa"/>
            <w:noWrap w:val="0"/>
            <w:tcMar>
              <w:top w:w="15" w:type="dxa"/>
              <w:left w:w="15" w:type="dxa"/>
              <w:right w:w="15" w:type="dxa"/>
            </w:tcMar>
            <w:vAlign w:val="center"/>
          </w:tcPr>
          <w:p w14:paraId="3DEB8228">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Fonts w:hint="default" w:ascii="Times New Roman" w:hAnsi="Times New Roman" w:eastAsia="宋体" w:cs="Times New Roman"/>
                <w:i w:val="0"/>
                <w:color w:val="0000FF"/>
                <w:kern w:val="0"/>
                <w:sz w:val="20"/>
                <w:szCs w:val="20"/>
                <w:u w:val="none"/>
                <w:lang w:val="en-US" w:eastAsia="zh-CN" w:bidi="ar"/>
              </w:rPr>
              <w:t>48094.56</w:t>
            </w:r>
          </w:p>
        </w:tc>
      </w:tr>
      <w:tr w14:paraId="7E6B9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7" w:hRule="atLeast"/>
        </w:trPr>
        <w:tc>
          <w:tcPr>
            <w:tcW w:w="1282" w:type="dxa"/>
            <w:noWrap w:val="0"/>
            <w:tcMar>
              <w:top w:w="15" w:type="dxa"/>
              <w:left w:w="15" w:type="dxa"/>
              <w:right w:w="15" w:type="dxa"/>
            </w:tcMar>
            <w:vAlign w:val="center"/>
          </w:tcPr>
          <w:p w14:paraId="5D38ADEB">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Fonts w:hint="default" w:ascii="Times New Roman" w:hAnsi="Times New Roman" w:eastAsia="宋体" w:cs="Times New Roman"/>
                <w:i w:val="0"/>
                <w:color w:val="0000FF"/>
                <w:kern w:val="0"/>
                <w:sz w:val="20"/>
                <w:szCs w:val="20"/>
                <w:u w:val="none"/>
                <w:lang w:val="en-US" w:eastAsia="zh-CN" w:bidi="ar"/>
              </w:rPr>
              <w:t>4</w:t>
            </w:r>
          </w:p>
        </w:tc>
        <w:tc>
          <w:tcPr>
            <w:tcW w:w="3136" w:type="dxa"/>
            <w:noWrap w:val="0"/>
            <w:tcMar>
              <w:top w:w="15" w:type="dxa"/>
              <w:left w:w="15" w:type="dxa"/>
              <w:right w:w="15" w:type="dxa"/>
            </w:tcMar>
            <w:vAlign w:val="center"/>
          </w:tcPr>
          <w:p w14:paraId="477160A6">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Style w:val="7"/>
                <w:rFonts w:hint="default" w:ascii="Times New Roman" w:hAnsi="Times New Roman" w:cs="Times New Roman"/>
                <w:color w:val="0000FF"/>
                <w:sz w:val="20"/>
                <w:szCs w:val="20"/>
                <w:lang w:val="en-US" w:eastAsia="zh-CN" w:bidi="ar"/>
              </w:rPr>
              <w:t>肉制品</w:t>
            </w:r>
          </w:p>
        </w:tc>
        <w:tc>
          <w:tcPr>
            <w:tcW w:w="1983" w:type="dxa"/>
            <w:noWrap w:val="0"/>
            <w:tcMar>
              <w:top w:w="15" w:type="dxa"/>
              <w:left w:w="15" w:type="dxa"/>
              <w:right w:w="15" w:type="dxa"/>
            </w:tcMar>
            <w:vAlign w:val="center"/>
          </w:tcPr>
          <w:p w14:paraId="1F82EFDE">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Fonts w:hint="default" w:ascii="Times New Roman" w:hAnsi="Times New Roman" w:eastAsia="宋体" w:cs="Times New Roman"/>
                <w:i w:val="0"/>
                <w:color w:val="0000FF"/>
                <w:kern w:val="0"/>
                <w:sz w:val="20"/>
                <w:szCs w:val="20"/>
                <w:u w:val="none"/>
                <w:lang w:val="en-US" w:eastAsia="zh-CN" w:bidi="ar"/>
              </w:rPr>
              <w:t>83</w:t>
            </w:r>
          </w:p>
        </w:tc>
        <w:tc>
          <w:tcPr>
            <w:tcW w:w="1619" w:type="dxa"/>
            <w:noWrap w:val="0"/>
            <w:tcMar>
              <w:top w:w="15" w:type="dxa"/>
              <w:left w:w="15" w:type="dxa"/>
              <w:right w:w="15" w:type="dxa"/>
            </w:tcMar>
            <w:vAlign w:val="center"/>
          </w:tcPr>
          <w:p w14:paraId="78B3D64A">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Fonts w:hint="default" w:ascii="Times New Roman" w:hAnsi="Times New Roman" w:eastAsia="宋体" w:cs="Times New Roman"/>
                <w:i w:val="0"/>
                <w:color w:val="0000FF"/>
                <w:kern w:val="0"/>
                <w:sz w:val="20"/>
                <w:szCs w:val="20"/>
                <w:u w:val="none"/>
                <w:lang w:val="en-US" w:eastAsia="zh-CN" w:bidi="ar"/>
              </w:rPr>
              <w:t>166327.02</w:t>
            </w:r>
          </w:p>
        </w:tc>
      </w:tr>
      <w:tr w14:paraId="264AE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7" w:hRule="atLeast"/>
        </w:trPr>
        <w:tc>
          <w:tcPr>
            <w:tcW w:w="1282" w:type="dxa"/>
            <w:noWrap w:val="0"/>
            <w:tcMar>
              <w:top w:w="15" w:type="dxa"/>
              <w:left w:w="15" w:type="dxa"/>
              <w:right w:w="15" w:type="dxa"/>
            </w:tcMar>
            <w:vAlign w:val="center"/>
          </w:tcPr>
          <w:p w14:paraId="694C07E5">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Fonts w:hint="default" w:ascii="Times New Roman" w:hAnsi="Times New Roman" w:eastAsia="宋体" w:cs="Times New Roman"/>
                <w:i w:val="0"/>
                <w:color w:val="0000FF"/>
                <w:kern w:val="0"/>
                <w:sz w:val="20"/>
                <w:szCs w:val="20"/>
                <w:u w:val="none"/>
                <w:lang w:val="en-US" w:eastAsia="zh-CN" w:bidi="ar"/>
              </w:rPr>
              <w:t>5</w:t>
            </w:r>
          </w:p>
        </w:tc>
        <w:tc>
          <w:tcPr>
            <w:tcW w:w="3136" w:type="dxa"/>
            <w:noWrap w:val="0"/>
            <w:tcMar>
              <w:top w:w="15" w:type="dxa"/>
              <w:left w:w="15" w:type="dxa"/>
              <w:right w:w="15" w:type="dxa"/>
            </w:tcMar>
            <w:vAlign w:val="center"/>
          </w:tcPr>
          <w:p w14:paraId="05FCC1DF">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Style w:val="7"/>
                <w:rFonts w:hint="default" w:ascii="Times New Roman" w:hAnsi="Times New Roman" w:cs="Times New Roman"/>
                <w:color w:val="0000FF"/>
                <w:sz w:val="20"/>
                <w:szCs w:val="20"/>
                <w:lang w:val="en-US" w:eastAsia="zh-CN" w:bidi="ar"/>
              </w:rPr>
              <w:t>乳制品</w:t>
            </w:r>
          </w:p>
        </w:tc>
        <w:tc>
          <w:tcPr>
            <w:tcW w:w="1983" w:type="dxa"/>
            <w:noWrap w:val="0"/>
            <w:tcMar>
              <w:top w:w="15" w:type="dxa"/>
              <w:left w:w="15" w:type="dxa"/>
              <w:right w:w="15" w:type="dxa"/>
            </w:tcMar>
            <w:vAlign w:val="center"/>
          </w:tcPr>
          <w:p w14:paraId="5A233622">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Fonts w:hint="default" w:ascii="Times New Roman" w:hAnsi="Times New Roman" w:eastAsia="宋体" w:cs="Times New Roman"/>
                <w:i w:val="0"/>
                <w:color w:val="0000FF"/>
                <w:kern w:val="0"/>
                <w:sz w:val="20"/>
                <w:szCs w:val="20"/>
                <w:u w:val="none"/>
                <w:lang w:val="en-US" w:eastAsia="zh-CN" w:bidi="ar"/>
              </w:rPr>
              <w:t>2</w:t>
            </w:r>
          </w:p>
        </w:tc>
        <w:tc>
          <w:tcPr>
            <w:tcW w:w="1619" w:type="dxa"/>
            <w:noWrap w:val="0"/>
            <w:tcMar>
              <w:top w:w="15" w:type="dxa"/>
              <w:left w:w="15" w:type="dxa"/>
              <w:right w:w="15" w:type="dxa"/>
            </w:tcMar>
            <w:vAlign w:val="center"/>
          </w:tcPr>
          <w:p w14:paraId="0A74E9FE">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Fonts w:hint="default" w:ascii="Times New Roman" w:hAnsi="Times New Roman" w:eastAsia="宋体" w:cs="Times New Roman"/>
                <w:i w:val="0"/>
                <w:color w:val="0000FF"/>
                <w:kern w:val="0"/>
                <w:sz w:val="20"/>
                <w:szCs w:val="20"/>
                <w:u w:val="none"/>
                <w:lang w:val="en-US" w:eastAsia="zh-CN" w:bidi="ar"/>
              </w:rPr>
              <w:t>4007.88</w:t>
            </w:r>
          </w:p>
        </w:tc>
      </w:tr>
      <w:tr w14:paraId="41BC2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7" w:hRule="atLeast"/>
        </w:trPr>
        <w:tc>
          <w:tcPr>
            <w:tcW w:w="1282" w:type="dxa"/>
            <w:noWrap w:val="0"/>
            <w:tcMar>
              <w:top w:w="15" w:type="dxa"/>
              <w:left w:w="15" w:type="dxa"/>
              <w:right w:w="15" w:type="dxa"/>
            </w:tcMar>
            <w:vAlign w:val="center"/>
          </w:tcPr>
          <w:p w14:paraId="340B9918">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Fonts w:hint="default" w:ascii="Times New Roman" w:hAnsi="Times New Roman" w:eastAsia="宋体" w:cs="Times New Roman"/>
                <w:i w:val="0"/>
                <w:color w:val="0000FF"/>
                <w:kern w:val="0"/>
                <w:sz w:val="20"/>
                <w:szCs w:val="20"/>
                <w:u w:val="none"/>
                <w:lang w:val="en-US" w:eastAsia="zh-CN" w:bidi="ar"/>
              </w:rPr>
              <w:t>6</w:t>
            </w:r>
          </w:p>
        </w:tc>
        <w:tc>
          <w:tcPr>
            <w:tcW w:w="3136" w:type="dxa"/>
            <w:noWrap w:val="0"/>
            <w:tcMar>
              <w:top w:w="15" w:type="dxa"/>
              <w:left w:w="15" w:type="dxa"/>
              <w:right w:w="15" w:type="dxa"/>
            </w:tcMar>
            <w:vAlign w:val="center"/>
          </w:tcPr>
          <w:p w14:paraId="68EBB05D">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Style w:val="7"/>
                <w:rFonts w:hint="default" w:ascii="Times New Roman" w:hAnsi="Times New Roman" w:cs="Times New Roman"/>
                <w:color w:val="0000FF"/>
                <w:sz w:val="20"/>
                <w:szCs w:val="20"/>
                <w:lang w:val="en-US" w:eastAsia="zh-CN" w:bidi="ar"/>
              </w:rPr>
              <w:t>饮料</w:t>
            </w:r>
          </w:p>
        </w:tc>
        <w:tc>
          <w:tcPr>
            <w:tcW w:w="1983" w:type="dxa"/>
            <w:noWrap w:val="0"/>
            <w:tcMar>
              <w:top w:w="15" w:type="dxa"/>
              <w:left w:w="15" w:type="dxa"/>
              <w:right w:w="15" w:type="dxa"/>
            </w:tcMar>
            <w:vAlign w:val="center"/>
          </w:tcPr>
          <w:p w14:paraId="3E2BF979">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Fonts w:hint="default" w:ascii="Times New Roman" w:hAnsi="Times New Roman" w:eastAsia="宋体" w:cs="Times New Roman"/>
                <w:i w:val="0"/>
                <w:color w:val="0000FF"/>
                <w:kern w:val="0"/>
                <w:sz w:val="20"/>
                <w:szCs w:val="20"/>
                <w:u w:val="none"/>
                <w:lang w:val="en-US" w:eastAsia="zh-CN" w:bidi="ar"/>
              </w:rPr>
              <w:t>45</w:t>
            </w:r>
          </w:p>
        </w:tc>
        <w:tc>
          <w:tcPr>
            <w:tcW w:w="1619" w:type="dxa"/>
            <w:noWrap w:val="0"/>
            <w:tcMar>
              <w:top w:w="15" w:type="dxa"/>
              <w:left w:w="15" w:type="dxa"/>
              <w:right w:w="15" w:type="dxa"/>
            </w:tcMar>
            <w:vAlign w:val="center"/>
          </w:tcPr>
          <w:p w14:paraId="6D980F48">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Fonts w:hint="default" w:ascii="Times New Roman" w:hAnsi="Times New Roman" w:eastAsia="宋体" w:cs="Times New Roman"/>
                <w:i w:val="0"/>
                <w:color w:val="0000FF"/>
                <w:kern w:val="0"/>
                <w:sz w:val="20"/>
                <w:szCs w:val="20"/>
                <w:u w:val="none"/>
                <w:lang w:val="en-US" w:eastAsia="zh-CN" w:bidi="ar"/>
              </w:rPr>
              <w:t>90177.3</w:t>
            </w:r>
          </w:p>
        </w:tc>
      </w:tr>
      <w:tr w14:paraId="7D851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7" w:hRule="atLeast"/>
        </w:trPr>
        <w:tc>
          <w:tcPr>
            <w:tcW w:w="1282" w:type="dxa"/>
            <w:noWrap w:val="0"/>
            <w:tcMar>
              <w:top w:w="15" w:type="dxa"/>
              <w:left w:w="15" w:type="dxa"/>
              <w:right w:w="15" w:type="dxa"/>
            </w:tcMar>
            <w:vAlign w:val="center"/>
          </w:tcPr>
          <w:p w14:paraId="45DE1FD3">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Fonts w:hint="default" w:ascii="Times New Roman" w:hAnsi="Times New Roman" w:eastAsia="宋体" w:cs="Times New Roman"/>
                <w:i w:val="0"/>
                <w:color w:val="0000FF"/>
                <w:kern w:val="0"/>
                <w:sz w:val="20"/>
                <w:szCs w:val="20"/>
                <w:u w:val="none"/>
                <w:lang w:val="en-US" w:eastAsia="zh-CN" w:bidi="ar"/>
              </w:rPr>
              <w:t>7</w:t>
            </w:r>
          </w:p>
        </w:tc>
        <w:tc>
          <w:tcPr>
            <w:tcW w:w="3136" w:type="dxa"/>
            <w:noWrap w:val="0"/>
            <w:tcMar>
              <w:top w:w="15" w:type="dxa"/>
              <w:left w:w="15" w:type="dxa"/>
              <w:right w:w="15" w:type="dxa"/>
            </w:tcMar>
            <w:vAlign w:val="center"/>
          </w:tcPr>
          <w:p w14:paraId="2D01964D">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Style w:val="7"/>
                <w:rFonts w:hint="default" w:ascii="Times New Roman" w:hAnsi="Times New Roman" w:cs="Times New Roman"/>
                <w:color w:val="0000FF"/>
                <w:sz w:val="20"/>
                <w:szCs w:val="20"/>
                <w:lang w:val="en-US" w:eastAsia="zh-CN" w:bidi="ar"/>
              </w:rPr>
              <w:t>方便食品</w:t>
            </w:r>
          </w:p>
        </w:tc>
        <w:tc>
          <w:tcPr>
            <w:tcW w:w="1983" w:type="dxa"/>
            <w:noWrap w:val="0"/>
            <w:tcMar>
              <w:top w:w="15" w:type="dxa"/>
              <w:left w:w="15" w:type="dxa"/>
              <w:right w:w="15" w:type="dxa"/>
            </w:tcMar>
            <w:vAlign w:val="center"/>
          </w:tcPr>
          <w:p w14:paraId="49EA30A2">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Fonts w:hint="default" w:ascii="Times New Roman" w:hAnsi="Times New Roman" w:eastAsia="宋体" w:cs="Times New Roman"/>
                <w:i w:val="0"/>
                <w:color w:val="0000FF"/>
                <w:kern w:val="0"/>
                <w:sz w:val="20"/>
                <w:szCs w:val="20"/>
                <w:u w:val="none"/>
                <w:lang w:val="en-US" w:eastAsia="zh-CN" w:bidi="ar"/>
              </w:rPr>
              <w:t>8</w:t>
            </w:r>
          </w:p>
        </w:tc>
        <w:tc>
          <w:tcPr>
            <w:tcW w:w="1619" w:type="dxa"/>
            <w:noWrap w:val="0"/>
            <w:tcMar>
              <w:top w:w="15" w:type="dxa"/>
              <w:left w:w="15" w:type="dxa"/>
              <w:right w:w="15" w:type="dxa"/>
            </w:tcMar>
            <w:vAlign w:val="center"/>
          </w:tcPr>
          <w:p w14:paraId="7FB3C3C9">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Fonts w:hint="default" w:ascii="Times New Roman" w:hAnsi="Times New Roman" w:eastAsia="宋体" w:cs="Times New Roman"/>
                <w:i w:val="0"/>
                <w:color w:val="0000FF"/>
                <w:kern w:val="0"/>
                <w:sz w:val="20"/>
                <w:szCs w:val="20"/>
                <w:u w:val="none"/>
                <w:lang w:val="en-US" w:eastAsia="zh-CN" w:bidi="ar"/>
              </w:rPr>
              <w:t>16031.52</w:t>
            </w:r>
          </w:p>
        </w:tc>
      </w:tr>
      <w:tr w14:paraId="41664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7" w:hRule="atLeast"/>
        </w:trPr>
        <w:tc>
          <w:tcPr>
            <w:tcW w:w="1282" w:type="dxa"/>
            <w:noWrap w:val="0"/>
            <w:tcMar>
              <w:top w:w="15" w:type="dxa"/>
              <w:left w:w="15" w:type="dxa"/>
              <w:right w:w="15" w:type="dxa"/>
            </w:tcMar>
            <w:vAlign w:val="center"/>
          </w:tcPr>
          <w:p w14:paraId="7BCACACA">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Fonts w:hint="default" w:ascii="Times New Roman" w:hAnsi="Times New Roman" w:eastAsia="宋体" w:cs="Times New Roman"/>
                <w:i w:val="0"/>
                <w:color w:val="0000FF"/>
                <w:kern w:val="0"/>
                <w:sz w:val="20"/>
                <w:szCs w:val="20"/>
                <w:u w:val="none"/>
                <w:lang w:val="en-US" w:eastAsia="zh-CN" w:bidi="ar"/>
              </w:rPr>
              <w:t>8</w:t>
            </w:r>
          </w:p>
        </w:tc>
        <w:tc>
          <w:tcPr>
            <w:tcW w:w="3136" w:type="dxa"/>
            <w:noWrap w:val="0"/>
            <w:tcMar>
              <w:top w:w="15" w:type="dxa"/>
              <w:left w:w="15" w:type="dxa"/>
              <w:right w:w="15" w:type="dxa"/>
            </w:tcMar>
            <w:vAlign w:val="center"/>
          </w:tcPr>
          <w:p w14:paraId="62186717">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Style w:val="7"/>
                <w:rFonts w:hint="default" w:ascii="Times New Roman" w:hAnsi="Times New Roman" w:cs="Times New Roman"/>
                <w:color w:val="0000FF"/>
                <w:sz w:val="20"/>
                <w:szCs w:val="20"/>
                <w:lang w:val="en-US" w:eastAsia="zh-CN" w:bidi="ar"/>
              </w:rPr>
              <w:t>饼干</w:t>
            </w:r>
          </w:p>
        </w:tc>
        <w:tc>
          <w:tcPr>
            <w:tcW w:w="1983" w:type="dxa"/>
            <w:noWrap w:val="0"/>
            <w:tcMar>
              <w:top w:w="15" w:type="dxa"/>
              <w:left w:w="15" w:type="dxa"/>
              <w:right w:w="15" w:type="dxa"/>
            </w:tcMar>
            <w:vAlign w:val="center"/>
          </w:tcPr>
          <w:p w14:paraId="44FF9F0C">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Fonts w:hint="default" w:ascii="Times New Roman" w:hAnsi="Times New Roman" w:eastAsia="宋体" w:cs="Times New Roman"/>
                <w:i w:val="0"/>
                <w:color w:val="0000FF"/>
                <w:kern w:val="0"/>
                <w:sz w:val="20"/>
                <w:szCs w:val="20"/>
                <w:u w:val="none"/>
                <w:lang w:val="en-US" w:eastAsia="zh-CN" w:bidi="ar"/>
              </w:rPr>
              <w:t>23</w:t>
            </w:r>
          </w:p>
        </w:tc>
        <w:tc>
          <w:tcPr>
            <w:tcW w:w="1619" w:type="dxa"/>
            <w:noWrap w:val="0"/>
            <w:tcMar>
              <w:top w:w="15" w:type="dxa"/>
              <w:left w:w="15" w:type="dxa"/>
              <w:right w:w="15" w:type="dxa"/>
            </w:tcMar>
            <w:vAlign w:val="center"/>
          </w:tcPr>
          <w:p w14:paraId="1018619A">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Fonts w:hint="default" w:ascii="Times New Roman" w:hAnsi="Times New Roman" w:eastAsia="宋体" w:cs="Times New Roman"/>
                <w:i w:val="0"/>
                <w:color w:val="0000FF"/>
                <w:kern w:val="0"/>
                <w:sz w:val="20"/>
                <w:szCs w:val="20"/>
                <w:u w:val="none"/>
                <w:lang w:val="en-US" w:eastAsia="zh-CN" w:bidi="ar"/>
              </w:rPr>
              <w:t>46090.62</w:t>
            </w:r>
          </w:p>
        </w:tc>
      </w:tr>
      <w:tr w14:paraId="767F4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7" w:hRule="atLeast"/>
        </w:trPr>
        <w:tc>
          <w:tcPr>
            <w:tcW w:w="1282" w:type="dxa"/>
            <w:noWrap w:val="0"/>
            <w:tcMar>
              <w:top w:w="15" w:type="dxa"/>
              <w:left w:w="15" w:type="dxa"/>
              <w:right w:w="15" w:type="dxa"/>
            </w:tcMar>
            <w:vAlign w:val="center"/>
          </w:tcPr>
          <w:p w14:paraId="05002A5C">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Fonts w:hint="default" w:ascii="Times New Roman" w:hAnsi="Times New Roman" w:eastAsia="宋体" w:cs="Times New Roman"/>
                <w:i w:val="0"/>
                <w:color w:val="0000FF"/>
                <w:kern w:val="0"/>
                <w:sz w:val="20"/>
                <w:szCs w:val="20"/>
                <w:u w:val="none"/>
                <w:lang w:val="en-US" w:eastAsia="zh-CN" w:bidi="ar"/>
              </w:rPr>
              <w:t>9</w:t>
            </w:r>
          </w:p>
        </w:tc>
        <w:tc>
          <w:tcPr>
            <w:tcW w:w="3136" w:type="dxa"/>
            <w:noWrap w:val="0"/>
            <w:tcMar>
              <w:top w:w="15" w:type="dxa"/>
              <w:left w:w="15" w:type="dxa"/>
              <w:right w:w="15" w:type="dxa"/>
            </w:tcMar>
            <w:vAlign w:val="center"/>
          </w:tcPr>
          <w:p w14:paraId="4C6C8DE2">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Style w:val="7"/>
                <w:rFonts w:hint="default" w:ascii="Times New Roman" w:hAnsi="Times New Roman" w:cs="Times New Roman"/>
                <w:color w:val="0000FF"/>
                <w:sz w:val="20"/>
                <w:szCs w:val="20"/>
                <w:lang w:val="en-US" w:eastAsia="zh-CN" w:bidi="ar"/>
              </w:rPr>
              <w:t>罐头</w:t>
            </w:r>
          </w:p>
        </w:tc>
        <w:tc>
          <w:tcPr>
            <w:tcW w:w="1983" w:type="dxa"/>
            <w:noWrap w:val="0"/>
            <w:tcMar>
              <w:top w:w="15" w:type="dxa"/>
              <w:left w:w="15" w:type="dxa"/>
              <w:right w:w="15" w:type="dxa"/>
            </w:tcMar>
            <w:vAlign w:val="center"/>
          </w:tcPr>
          <w:p w14:paraId="4B9C34BC">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Fonts w:hint="default" w:ascii="Times New Roman" w:hAnsi="Times New Roman" w:eastAsia="宋体" w:cs="Times New Roman"/>
                <w:i w:val="0"/>
                <w:color w:val="0000FF"/>
                <w:kern w:val="0"/>
                <w:sz w:val="20"/>
                <w:szCs w:val="20"/>
                <w:u w:val="none"/>
                <w:lang w:val="en-US" w:eastAsia="zh-CN" w:bidi="ar"/>
              </w:rPr>
              <w:t>8</w:t>
            </w:r>
          </w:p>
        </w:tc>
        <w:tc>
          <w:tcPr>
            <w:tcW w:w="1619" w:type="dxa"/>
            <w:noWrap w:val="0"/>
            <w:tcMar>
              <w:top w:w="15" w:type="dxa"/>
              <w:left w:w="15" w:type="dxa"/>
              <w:right w:w="15" w:type="dxa"/>
            </w:tcMar>
            <w:vAlign w:val="center"/>
          </w:tcPr>
          <w:p w14:paraId="5C74BDC2">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Fonts w:hint="default" w:ascii="Times New Roman" w:hAnsi="Times New Roman" w:eastAsia="宋体" w:cs="Times New Roman"/>
                <w:i w:val="0"/>
                <w:color w:val="0000FF"/>
                <w:kern w:val="0"/>
                <w:sz w:val="20"/>
                <w:szCs w:val="20"/>
                <w:u w:val="none"/>
                <w:lang w:val="en-US" w:eastAsia="zh-CN" w:bidi="ar"/>
              </w:rPr>
              <w:t>16031.52</w:t>
            </w:r>
          </w:p>
        </w:tc>
      </w:tr>
      <w:tr w14:paraId="3281C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7" w:hRule="atLeast"/>
        </w:trPr>
        <w:tc>
          <w:tcPr>
            <w:tcW w:w="1282" w:type="dxa"/>
            <w:noWrap w:val="0"/>
            <w:tcMar>
              <w:top w:w="15" w:type="dxa"/>
              <w:left w:w="15" w:type="dxa"/>
              <w:right w:w="15" w:type="dxa"/>
            </w:tcMar>
            <w:vAlign w:val="center"/>
          </w:tcPr>
          <w:p w14:paraId="4EE2B6CF">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Fonts w:hint="default" w:ascii="Times New Roman" w:hAnsi="Times New Roman" w:eastAsia="宋体" w:cs="Times New Roman"/>
                <w:i w:val="0"/>
                <w:color w:val="0000FF"/>
                <w:kern w:val="0"/>
                <w:sz w:val="20"/>
                <w:szCs w:val="20"/>
                <w:u w:val="none"/>
                <w:lang w:val="en-US" w:eastAsia="zh-CN" w:bidi="ar"/>
              </w:rPr>
              <w:t>10</w:t>
            </w:r>
          </w:p>
        </w:tc>
        <w:tc>
          <w:tcPr>
            <w:tcW w:w="3136" w:type="dxa"/>
            <w:noWrap w:val="0"/>
            <w:tcMar>
              <w:top w:w="15" w:type="dxa"/>
              <w:left w:w="15" w:type="dxa"/>
              <w:right w:w="15" w:type="dxa"/>
            </w:tcMar>
            <w:vAlign w:val="center"/>
          </w:tcPr>
          <w:p w14:paraId="33344226">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Style w:val="7"/>
                <w:rFonts w:hint="default" w:ascii="Times New Roman" w:hAnsi="Times New Roman" w:cs="Times New Roman"/>
                <w:color w:val="0000FF"/>
                <w:sz w:val="20"/>
                <w:szCs w:val="20"/>
                <w:lang w:val="en-US" w:eastAsia="zh-CN" w:bidi="ar"/>
              </w:rPr>
              <w:t>冷冻饮品</w:t>
            </w:r>
          </w:p>
        </w:tc>
        <w:tc>
          <w:tcPr>
            <w:tcW w:w="1983" w:type="dxa"/>
            <w:noWrap w:val="0"/>
            <w:tcMar>
              <w:top w:w="15" w:type="dxa"/>
              <w:left w:w="15" w:type="dxa"/>
              <w:right w:w="15" w:type="dxa"/>
            </w:tcMar>
            <w:vAlign w:val="center"/>
          </w:tcPr>
          <w:p w14:paraId="5E8CECE3">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Fonts w:hint="default" w:ascii="Times New Roman" w:hAnsi="Times New Roman" w:eastAsia="宋体" w:cs="Times New Roman"/>
                <w:i w:val="0"/>
                <w:color w:val="0000FF"/>
                <w:kern w:val="0"/>
                <w:sz w:val="20"/>
                <w:szCs w:val="20"/>
                <w:u w:val="none"/>
                <w:lang w:val="en-US" w:eastAsia="zh-CN" w:bidi="ar"/>
              </w:rPr>
              <w:t>3</w:t>
            </w:r>
          </w:p>
        </w:tc>
        <w:tc>
          <w:tcPr>
            <w:tcW w:w="1619" w:type="dxa"/>
            <w:noWrap w:val="0"/>
            <w:tcMar>
              <w:top w:w="15" w:type="dxa"/>
              <w:left w:w="15" w:type="dxa"/>
              <w:right w:w="15" w:type="dxa"/>
            </w:tcMar>
            <w:vAlign w:val="center"/>
          </w:tcPr>
          <w:p w14:paraId="44E302B9">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Fonts w:hint="default" w:ascii="Times New Roman" w:hAnsi="Times New Roman" w:eastAsia="宋体" w:cs="Times New Roman"/>
                <w:i w:val="0"/>
                <w:color w:val="0000FF"/>
                <w:kern w:val="0"/>
                <w:sz w:val="20"/>
                <w:szCs w:val="20"/>
                <w:u w:val="none"/>
                <w:lang w:val="en-US" w:eastAsia="zh-CN" w:bidi="ar"/>
              </w:rPr>
              <w:t>6011.82</w:t>
            </w:r>
          </w:p>
        </w:tc>
      </w:tr>
      <w:tr w14:paraId="3234A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7" w:hRule="atLeast"/>
        </w:trPr>
        <w:tc>
          <w:tcPr>
            <w:tcW w:w="1282" w:type="dxa"/>
            <w:noWrap w:val="0"/>
            <w:tcMar>
              <w:top w:w="15" w:type="dxa"/>
              <w:left w:w="15" w:type="dxa"/>
              <w:right w:w="15" w:type="dxa"/>
            </w:tcMar>
            <w:vAlign w:val="center"/>
          </w:tcPr>
          <w:p w14:paraId="79E85020">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Fonts w:hint="default" w:ascii="Times New Roman" w:hAnsi="Times New Roman" w:eastAsia="宋体" w:cs="Times New Roman"/>
                <w:i w:val="0"/>
                <w:color w:val="0000FF"/>
                <w:kern w:val="0"/>
                <w:sz w:val="20"/>
                <w:szCs w:val="20"/>
                <w:u w:val="none"/>
                <w:lang w:val="en-US" w:eastAsia="zh-CN" w:bidi="ar"/>
              </w:rPr>
              <w:t>11</w:t>
            </w:r>
          </w:p>
        </w:tc>
        <w:tc>
          <w:tcPr>
            <w:tcW w:w="3136" w:type="dxa"/>
            <w:noWrap w:val="0"/>
            <w:tcMar>
              <w:top w:w="15" w:type="dxa"/>
              <w:left w:w="15" w:type="dxa"/>
              <w:right w:w="15" w:type="dxa"/>
            </w:tcMar>
            <w:vAlign w:val="center"/>
          </w:tcPr>
          <w:p w14:paraId="26E486DB">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Style w:val="7"/>
                <w:rFonts w:hint="default" w:ascii="Times New Roman" w:hAnsi="Times New Roman" w:cs="Times New Roman"/>
                <w:color w:val="0000FF"/>
                <w:sz w:val="20"/>
                <w:szCs w:val="20"/>
                <w:lang w:val="en-US" w:eastAsia="zh-CN" w:bidi="ar"/>
              </w:rPr>
              <w:t>速冻食品</w:t>
            </w:r>
          </w:p>
        </w:tc>
        <w:tc>
          <w:tcPr>
            <w:tcW w:w="1983" w:type="dxa"/>
            <w:noWrap w:val="0"/>
            <w:tcMar>
              <w:top w:w="15" w:type="dxa"/>
              <w:left w:w="15" w:type="dxa"/>
              <w:right w:w="15" w:type="dxa"/>
            </w:tcMar>
            <w:vAlign w:val="center"/>
          </w:tcPr>
          <w:p w14:paraId="09946DD8">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Fonts w:hint="default" w:ascii="Times New Roman" w:hAnsi="Times New Roman" w:eastAsia="宋体" w:cs="Times New Roman"/>
                <w:i w:val="0"/>
                <w:color w:val="0000FF"/>
                <w:kern w:val="0"/>
                <w:sz w:val="20"/>
                <w:szCs w:val="20"/>
                <w:u w:val="none"/>
                <w:lang w:val="en-US" w:eastAsia="zh-CN" w:bidi="ar"/>
              </w:rPr>
              <w:t>53</w:t>
            </w:r>
          </w:p>
        </w:tc>
        <w:tc>
          <w:tcPr>
            <w:tcW w:w="1619" w:type="dxa"/>
            <w:noWrap w:val="0"/>
            <w:tcMar>
              <w:top w:w="15" w:type="dxa"/>
              <w:left w:w="15" w:type="dxa"/>
              <w:right w:w="15" w:type="dxa"/>
            </w:tcMar>
            <w:vAlign w:val="center"/>
          </w:tcPr>
          <w:p w14:paraId="57BCC674">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Fonts w:hint="default" w:ascii="Times New Roman" w:hAnsi="Times New Roman" w:eastAsia="宋体" w:cs="Times New Roman"/>
                <w:i w:val="0"/>
                <w:color w:val="0000FF"/>
                <w:kern w:val="0"/>
                <w:sz w:val="20"/>
                <w:szCs w:val="20"/>
                <w:u w:val="none"/>
                <w:lang w:val="en-US" w:eastAsia="zh-CN" w:bidi="ar"/>
              </w:rPr>
              <w:t>106208.82</w:t>
            </w:r>
          </w:p>
        </w:tc>
      </w:tr>
      <w:tr w14:paraId="2E8FD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7" w:hRule="atLeast"/>
        </w:trPr>
        <w:tc>
          <w:tcPr>
            <w:tcW w:w="1282" w:type="dxa"/>
            <w:noWrap w:val="0"/>
            <w:tcMar>
              <w:top w:w="15" w:type="dxa"/>
              <w:left w:w="15" w:type="dxa"/>
              <w:right w:w="15" w:type="dxa"/>
            </w:tcMar>
            <w:vAlign w:val="center"/>
          </w:tcPr>
          <w:p w14:paraId="690C5346">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Fonts w:hint="default" w:ascii="Times New Roman" w:hAnsi="Times New Roman" w:eastAsia="宋体" w:cs="Times New Roman"/>
                <w:i w:val="0"/>
                <w:color w:val="0000FF"/>
                <w:kern w:val="0"/>
                <w:sz w:val="20"/>
                <w:szCs w:val="20"/>
                <w:u w:val="none"/>
                <w:lang w:val="en-US" w:eastAsia="zh-CN" w:bidi="ar"/>
              </w:rPr>
              <w:t>12</w:t>
            </w:r>
          </w:p>
        </w:tc>
        <w:tc>
          <w:tcPr>
            <w:tcW w:w="3136" w:type="dxa"/>
            <w:noWrap w:val="0"/>
            <w:tcMar>
              <w:top w:w="15" w:type="dxa"/>
              <w:left w:w="15" w:type="dxa"/>
              <w:right w:w="15" w:type="dxa"/>
            </w:tcMar>
            <w:vAlign w:val="center"/>
          </w:tcPr>
          <w:p w14:paraId="6DB3F353">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Style w:val="7"/>
                <w:rFonts w:hint="default" w:ascii="Times New Roman" w:hAnsi="Times New Roman" w:cs="Times New Roman"/>
                <w:color w:val="0000FF"/>
                <w:sz w:val="20"/>
                <w:szCs w:val="20"/>
                <w:lang w:val="en-US" w:eastAsia="zh-CN" w:bidi="ar"/>
              </w:rPr>
              <w:t>薯类和膨化食品</w:t>
            </w:r>
          </w:p>
        </w:tc>
        <w:tc>
          <w:tcPr>
            <w:tcW w:w="1983" w:type="dxa"/>
            <w:noWrap w:val="0"/>
            <w:tcMar>
              <w:top w:w="15" w:type="dxa"/>
              <w:left w:w="15" w:type="dxa"/>
              <w:right w:w="15" w:type="dxa"/>
            </w:tcMar>
            <w:vAlign w:val="center"/>
          </w:tcPr>
          <w:p w14:paraId="109C81C9">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Fonts w:hint="default" w:ascii="Times New Roman" w:hAnsi="Times New Roman" w:eastAsia="宋体" w:cs="Times New Roman"/>
                <w:i w:val="0"/>
                <w:color w:val="0000FF"/>
                <w:kern w:val="0"/>
                <w:sz w:val="20"/>
                <w:szCs w:val="20"/>
                <w:u w:val="none"/>
                <w:lang w:val="en-US" w:eastAsia="zh-CN" w:bidi="ar"/>
              </w:rPr>
              <w:t>13</w:t>
            </w:r>
          </w:p>
        </w:tc>
        <w:tc>
          <w:tcPr>
            <w:tcW w:w="1619" w:type="dxa"/>
            <w:noWrap w:val="0"/>
            <w:tcMar>
              <w:top w:w="15" w:type="dxa"/>
              <w:left w:w="15" w:type="dxa"/>
              <w:right w:w="15" w:type="dxa"/>
            </w:tcMar>
            <w:vAlign w:val="center"/>
          </w:tcPr>
          <w:p w14:paraId="528906BF">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Fonts w:hint="default" w:ascii="Times New Roman" w:hAnsi="Times New Roman" w:eastAsia="宋体" w:cs="Times New Roman"/>
                <w:i w:val="0"/>
                <w:color w:val="0000FF"/>
                <w:kern w:val="0"/>
                <w:sz w:val="20"/>
                <w:szCs w:val="20"/>
                <w:u w:val="none"/>
                <w:lang w:val="en-US" w:eastAsia="zh-CN" w:bidi="ar"/>
              </w:rPr>
              <w:t>26051.22</w:t>
            </w:r>
          </w:p>
        </w:tc>
      </w:tr>
      <w:tr w14:paraId="5D36E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7" w:hRule="atLeast"/>
        </w:trPr>
        <w:tc>
          <w:tcPr>
            <w:tcW w:w="1282" w:type="dxa"/>
            <w:noWrap w:val="0"/>
            <w:tcMar>
              <w:top w:w="15" w:type="dxa"/>
              <w:left w:w="15" w:type="dxa"/>
              <w:right w:w="15" w:type="dxa"/>
            </w:tcMar>
            <w:vAlign w:val="center"/>
          </w:tcPr>
          <w:p w14:paraId="08D8A302">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Fonts w:hint="default" w:ascii="Times New Roman" w:hAnsi="Times New Roman" w:eastAsia="宋体" w:cs="Times New Roman"/>
                <w:i w:val="0"/>
                <w:color w:val="0000FF"/>
                <w:kern w:val="0"/>
                <w:sz w:val="20"/>
                <w:szCs w:val="20"/>
                <w:u w:val="none"/>
                <w:lang w:val="en-US" w:eastAsia="zh-CN" w:bidi="ar"/>
              </w:rPr>
              <w:t>13</w:t>
            </w:r>
          </w:p>
        </w:tc>
        <w:tc>
          <w:tcPr>
            <w:tcW w:w="3136" w:type="dxa"/>
            <w:noWrap w:val="0"/>
            <w:tcMar>
              <w:top w:w="15" w:type="dxa"/>
              <w:left w:w="15" w:type="dxa"/>
              <w:right w:w="15" w:type="dxa"/>
            </w:tcMar>
            <w:vAlign w:val="center"/>
          </w:tcPr>
          <w:p w14:paraId="795D4353">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Style w:val="7"/>
                <w:rFonts w:hint="default" w:ascii="Times New Roman" w:hAnsi="Times New Roman" w:cs="Times New Roman"/>
                <w:color w:val="0000FF"/>
                <w:sz w:val="20"/>
                <w:szCs w:val="20"/>
                <w:lang w:val="en-US" w:eastAsia="zh-CN" w:bidi="ar"/>
              </w:rPr>
              <w:t>糖果制品</w:t>
            </w:r>
          </w:p>
        </w:tc>
        <w:tc>
          <w:tcPr>
            <w:tcW w:w="1983" w:type="dxa"/>
            <w:noWrap w:val="0"/>
            <w:tcMar>
              <w:top w:w="15" w:type="dxa"/>
              <w:left w:w="15" w:type="dxa"/>
              <w:right w:w="15" w:type="dxa"/>
            </w:tcMar>
            <w:vAlign w:val="center"/>
          </w:tcPr>
          <w:p w14:paraId="585CAE54">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Fonts w:hint="default" w:ascii="Times New Roman" w:hAnsi="Times New Roman" w:eastAsia="宋体" w:cs="Times New Roman"/>
                <w:i w:val="0"/>
                <w:color w:val="0000FF"/>
                <w:kern w:val="0"/>
                <w:sz w:val="20"/>
                <w:szCs w:val="20"/>
                <w:u w:val="none"/>
                <w:lang w:val="en-US" w:eastAsia="zh-CN" w:bidi="ar"/>
              </w:rPr>
              <w:t>35</w:t>
            </w:r>
          </w:p>
        </w:tc>
        <w:tc>
          <w:tcPr>
            <w:tcW w:w="1619" w:type="dxa"/>
            <w:noWrap w:val="0"/>
            <w:tcMar>
              <w:top w:w="15" w:type="dxa"/>
              <w:left w:w="15" w:type="dxa"/>
              <w:right w:w="15" w:type="dxa"/>
            </w:tcMar>
            <w:vAlign w:val="center"/>
          </w:tcPr>
          <w:p w14:paraId="4E821377">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Fonts w:hint="default" w:ascii="Times New Roman" w:hAnsi="Times New Roman" w:eastAsia="宋体" w:cs="Times New Roman"/>
                <w:i w:val="0"/>
                <w:color w:val="0000FF"/>
                <w:kern w:val="0"/>
                <w:sz w:val="20"/>
                <w:szCs w:val="20"/>
                <w:u w:val="none"/>
                <w:lang w:val="en-US" w:eastAsia="zh-CN" w:bidi="ar"/>
              </w:rPr>
              <w:t>70137.9</w:t>
            </w:r>
          </w:p>
        </w:tc>
      </w:tr>
      <w:tr w14:paraId="08856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7" w:hRule="atLeast"/>
        </w:trPr>
        <w:tc>
          <w:tcPr>
            <w:tcW w:w="1282" w:type="dxa"/>
            <w:noWrap w:val="0"/>
            <w:tcMar>
              <w:top w:w="15" w:type="dxa"/>
              <w:left w:w="15" w:type="dxa"/>
              <w:right w:w="15" w:type="dxa"/>
            </w:tcMar>
            <w:vAlign w:val="center"/>
          </w:tcPr>
          <w:p w14:paraId="72CA0A9A">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Fonts w:hint="default" w:ascii="Times New Roman" w:hAnsi="Times New Roman" w:eastAsia="宋体" w:cs="Times New Roman"/>
                <w:i w:val="0"/>
                <w:color w:val="0000FF"/>
                <w:kern w:val="0"/>
                <w:sz w:val="20"/>
                <w:szCs w:val="20"/>
                <w:u w:val="none"/>
                <w:lang w:val="en-US" w:eastAsia="zh-CN" w:bidi="ar"/>
              </w:rPr>
              <w:t>14</w:t>
            </w:r>
          </w:p>
        </w:tc>
        <w:tc>
          <w:tcPr>
            <w:tcW w:w="3136" w:type="dxa"/>
            <w:noWrap w:val="0"/>
            <w:tcMar>
              <w:top w:w="15" w:type="dxa"/>
              <w:left w:w="15" w:type="dxa"/>
              <w:right w:w="15" w:type="dxa"/>
            </w:tcMar>
            <w:vAlign w:val="center"/>
          </w:tcPr>
          <w:p w14:paraId="55AE269C">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Style w:val="7"/>
                <w:rFonts w:hint="default" w:ascii="Times New Roman" w:hAnsi="Times New Roman" w:cs="Times New Roman"/>
                <w:color w:val="0000FF"/>
                <w:sz w:val="20"/>
                <w:szCs w:val="20"/>
                <w:lang w:val="en-US" w:eastAsia="zh-CN" w:bidi="ar"/>
              </w:rPr>
              <w:t>茶叶及相关制品</w:t>
            </w:r>
          </w:p>
        </w:tc>
        <w:tc>
          <w:tcPr>
            <w:tcW w:w="1983" w:type="dxa"/>
            <w:noWrap w:val="0"/>
            <w:tcMar>
              <w:top w:w="15" w:type="dxa"/>
              <w:left w:w="15" w:type="dxa"/>
              <w:right w:w="15" w:type="dxa"/>
            </w:tcMar>
            <w:vAlign w:val="center"/>
          </w:tcPr>
          <w:p w14:paraId="70E1C5B1">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Fonts w:hint="default" w:ascii="Times New Roman" w:hAnsi="Times New Roman" w:eastAsia="宋体" w:cs="Times New Roman"/>
                <w:i w:val="0"/>
                <w:color w:val="0000FF"/>
                <w:kern w:val="0"/>
                <w:sz w:val="20"/>
                <w:szCs w:val="20"/>
                <w:u w:val="none"/>
                <w:lang w:val="en-US" w:eastAsia="zh-CN" w:bidi="ar"/>
              </w:rPr>
              <w:t>17</w:t>
            </w:r>
          </w:p>
        </w:tc>
        <w:tc>
          <w:tcPr>
            <w:tcW w:w="1619" w:type="dxa"/>
            <w:noWrap w:val="0"/>
            <w:tcMar>
              <w:top w:w="15" w:type="dxa"/>
              <w:left w:w="15" w:type="dxa"/>
              <w:right w:w="15" w:type="dxa"/>
            </w:tcMar>
            <w:vAlign w:val="center"/>
          </w:tcPr>
          <w:p w14:paraId="3F08714A">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Fonts w:hint="default" w:ascii="Times New Roman" w:hAnsi="Times New Roman" w:eastAsia="宋体" w:cs="Times New Roman"/>
                <w:i w:val="0"/>
                <w:color w:val="0000FF"/>
                <w:kern w:val="0"/>
                <w:sz w:val="20"/>
                <w:szCs w:val="20"/>
                <w:u w:val="none"/>
                <w:lang w:val="en-US" w:eastAsia="zh-CN" w:bidi="ar"/>
              </w:rPr>
              <w:t>34066.98</w:t>
            </w:r>
          </w:p>
        </w:tc>
      </w:tr>
      <w:tr w14:paraId="24982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7" w:hRule="atLeast"/>
        </w:trPr>
        <w:tc>
          <w:tcPr>
            <w:tcW w:w="1282" w:type="dxa"/>
            <w:noWrap w:val="0"/>
            <w:tcMar>
              <w:top w:w="15" w:type="dxa"/>
              <w:left w:w="15" w:type="dxa"/>
              <w:right w:w="15" w:type="dxa"/>
            </w:tcMar>
            <w:vAlign w:val="center"/>
          </w:tcPr>
          <w:p w14:paraId="53BC3960">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Fonts w:hint="default" w:ascii="Times New Roman" w:hAnsi="Times New Roman" w:eastAsia="宋体" w:cs="Times New Roman"/>
                <w:i w:val="0"/>
                <w:color w:val="0000FF"/>
                <w:kern w:val="0"/>
                <w:sz w:val="20"/>
                <w:szCs w:val="20"/>
                <w:u w:val="none"/>
                <w:lang w:val="en-US" w:eastAsia="zh-CN" w:bidi="ar"/>
              </w:rPr>
              <w:t>15</w:t>
            </w:r>
          </w:p>
        </w:tc>
        <w:tc>
          <w:tcPr>
            <w:tcW w:w="3136" w:type="dxa"/>
            <w:noWrap w:val="0"/>
            <w:tcMar>
              <w:top w:w="15" w:type="dxa"/>
              <w:left w:w="15" w:type="dxa"/>
              <w:right w:w="15" w:type="dxa"/>
            </w:tcMar>
            <w:vAlign w:val="center"/>
          </w:tcPr>
          <w:p w14:paraId="54280E26">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Style w:val="7"/>
                <w:rFonts w:hint="default" w:ascii="Times New Roman" w:hAnsi="Times New Roman" w:cs="Times New Roman"/>
                <w:color w:val="0000FF"/>
                <w:sz w:val="20"/>
                <w:szCs w:val="20"/>
                <w:lang w:val="en-US" w:eastAsia="zh-CN" w:bidi="ar"/>
              </w:rPr>
              <w:t>酒类</w:t>
            </w:r>
          </w:p>
        </w:tc>
        <w:tc>
          <w:tcPr>
            <w:tcW w:w="1983" w:type="dxa"/>
            <w:noWrap w:val="0"/>
            <w:tcMar>
              <w:top w:w="15" w:type="dxa"/>
              <w:left w:w="15" w:type="dxa"/>
              <w:right w:w="15" w:type="dxa"/>
            </w:tcMar>
            <w:vAlign w:val="center"/>
          </w:tcPr>
          <w:p w14:paraId="1D9EEA6F">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Fonts w:hint="default" w:ascii="Times New Roman" w:hAnsi="Times New Roman" w:eastAsia="宋体" w:cs="Times New Roman"/>
                <w:i w:val="0"/>
                <w:color w:val="0000FF"/>
                <w:kern w:val="0"/>
                <w:sz w:val="20"/>
                <w:szCs w:val="20"/>
                <w:u w:val="none"/>
                <w:lang w:val="en-US" w:eastAsia="zh-CN" w:bidi="ar"/>
              </w:rPr>
              <w:t>34</w:t>
            </w:r>
          </w:p>
        </w:tc>
        <w:tc>
          <w:tcPr>
            <w:tcW w:w="1619" w:type="dxa"/>
            <w:noWrap w:val="0"/>
            <w:tcMar>
              <w:top w:w="15" w:type="dxa"/>
              <w:left w:w="15" w:type="dxa"/>
              <w:right w:w="15" w:type="dxa"/>
            </w:tcMar>
            <w:vAlign w:val="center"/>
          </w:tcPr>
          <w:p w14:paraId="40C72EBF">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Fonts w:hint="default" w:ascii="Times New Roman" w:hAnsi="Times New Roman" w:eastAsia="宋体" w:cs="Times New Roman"/>
                <w:i w:val="0"/>
                <w:color w:val="0000FF"/>
                <w:kern w:val="0"/>
                <w:sz w:val="20"/>
                <w:szCs w:val="20"/>
                <w:u w:val="none"/>
                <w:lang w:val="en-US" w:eastAsia="zh-CN" w:bidi="ar"/>
              </w:rPr>
              <w:t>68133.96</w:t>
            </w:r>
          </w:p>
        </w:tc>
      </w:tr>
      <w:tr w14:paraId="7CE4F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7" w:hRule="atLeast"/>
        </w:trPr>
        <w:tc>
          <w:tcPr>
            <w:tcW w:w="1282" w:type="dxa"/>
            <w:noWrap w:val="0"/>
            <w:tcMar>
              <w:top w:w="15" w:type="dxa"/>
              <w:left w:w="15" w:type="dxa"/>
              <w:right w:w="15" w:type="dxa"/>
            </w:tcMar>
            <w:vAlign w:val="center"/>
          </w:tcPr>
          <w:p w14:paraId="6B904884">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Fonts w:hint="default" w:ascii="Times New Roman" w:hAnsi="Times New Roman" w:eastAsia="宋体" w:cs="Times New Roman"/>
                <w:i w:val="0"/>
                <w:color w:val="0000FF"/>
                <w:kern w:val="0"/>
                <w:sz w:val="20"/>
                <w:szCs w:val="20"/>
                <w:u w:val="none"/>
                <w:lang w:val="en-US" w:eastAsia="zh-CN" w:bidi="ar"/>
              </w:rPr>
              <w:t>16</w:t>
            </w:r>
          </w:p>
        </w:tc>
        <w:tc>
          <w:tcPr>
            <w:tcW w:w="3136" w:type="dxa"/>
            <w:noWrap w:val="0"/>
            <w:tcMar>
              <w:top w:w="15" w:type="dxa"/>
              <w:left w:w="15" w:type="dxa"/>
              <w:right w:w="15" w:type="dxa"/>
            </w:tcMar>
            <w:vAlign w:val="center"/>
          </w:tcPr>
          <w:p w14:paraId="406E01C5">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Style w:val="7"/>
                <w:rFonts w:hint="default" w:ascii="Times New Roman" w:hAnsi="Times New Roman" w:cs="Times New Roman"/>
                <w:color w:val="0000FF"/>
                <w:sz w:val="20"/>
                <w:szCs w:val="20"/>
                <w:lang w:val="en-US" w:eastAsia="zh-CN" w:bidi="ar"/>
              </w:rPr>
              <w:t>蔬菜制品</w:t>
            </w:r>
          </w:p>
        </w:tc>
        <w:tc>
          <w:tcPr>
            <w:tcW w:w="1983" w:type="dxa"/>
            <w:noWrap w:val="0"/>
            <w:tcMar>
              <w:top w:w="15" w:type="dxa"/>
              <w:left w:w="15" w:type="dxa"/>
              <w:right w:w="15" w:type="dxa"/>
            </w:tcMar>
            <w:vAlign w:val="center"/>
          </w:tcPr>
          <w:p w14:paraId="35E9FDCD">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Fonts w:hint="default" w:ascii="Times New Roman" w:hAnsi="Times New Roman" w:eastAsia="宋体" w:cs="Times New Roman"/>
                <w:i w:val="0"/>
                <w:color w:val="0000FF"/>
                <w:kern w:val="0"/>
                <w:sz w:val="20"/>
                <w:szCs w:val="20"/>
                <w:u w:val="none"/>
                <w:lang w:val="en-US" w:eastAsia="zh-CN" w:bidi="ar"/>
              </w:rPr>
              <w:t>24</w:t>
            </w:r>
          </w:p>
        </w:tc>
        <w:tc>
          <w:tcPr>
            <w:tcW w:w="1619" w:type="dxa"/>
            <w:noWrap w:val="0"/>
            <w:tcMar>
              <w:top w:w="15" w:type="dxa"/>
              <w:left w:w="15" w:type="dxa"/>
              <w:right w:w="15" w:type="dxa"/>
            </w:tcMar>
            <w:vAlign w:val="center"/>
          </w:tcPr>
          <w:p w14:paraId="3795F0FE">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Fonts w:hint="default" w:ascii="Times New Roman" w:hAnsi="Times New Roman" w:eastAsia="宋体" w:cs="Times New Roman"/>
                <w:i w:val="0"/>
                <w:color w:val="0000FF"/>
                <w:kern w:val="0"/>
                <w:sz w:val="20"/>
                <w:szCs w:val="20"/>
                <w:u w:val="none"/>
                <w:lang w:val="en-US" w:eastAsia="zh-CN" w:bidi="ar"/>
              </w:rPr>
              <w:t>48094.56</w:t>
            </w:r>
          </w:p>
        </w:tc>
      </w:tr>
      <w:tr w14:paraId="23A72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7" w:hRule="atLeast"/>
        </w:trPr>
        <w:tc>
          <w:tcPr>
            <w:tcW w:w="1282" w:type="dxa"/>
            <w:noWrap w:val="0"/>
            <w:tcMar>
              <w:top w:w="15" w:type="dxa"/>
              <w:left w:w="15" w:type="dxa"/>
              <w:right w:w="15" w:type="dxa"/>
            </w:tcMar>
            <w:vAlign w:val="center"/>
          </w:tcPr>
          <w:p w14:paraId="2B944E06">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Fonts w:hint="default" w:ascii="Times New Roman" w:hAnsi="Times New Roman" w:eastAsia="宋体" w:cs="Times New Roman"/>
                <w:i w:val="0"/>
                <w:color w:val="0000FF"/>
                <w:kern w:val="0"/>
                <w:sz w:val="20"/>
                <w:szCs w:val="20"/>
                <w:u w:val="none"/>
                <w:lang w:val="en-US" w:eastAsia="zh-CN" w:bidi="ar"/>
              </w:rPr>
              <w:t>17</w:t>
            </w:r>
          </w:p>
        </w:tc>
        <w:tc>
          <w:tcPr>
            <w:tcW w:w="3136" w:type="dxa"/>
            <w:noWrap w:val="0"/>
            <w:tcMar>
              <w:top w:w="15" w:type="dxa"/>
              <w:left w:w="15" w:type="dxa"/>
              <w:right w:w="15" w:type="dxa"/>
            </w:tcMar>
            <w:vAlign w:val="center"/>
          </w:tcPr>
          <w:p w14:paraId="00076D78">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Style w:val="7"/>
                <w:rFonts w:hint="default" w:ascii="Times New Roman" w:hAnsi="Times New Roman" w:cs="Times New Roman"/>
                <w:color w:val="0000FF"/>
                <w:sz w:val="20"/>
                <w:szCs w:val="20"/>
                <w:lang w:val="en-US" w:eastAsia="zh-CN" w:bidi="ar"/>
              </w:rPr>
              <w:t>水果制品</w:t>
            </w:r>
          </w:p>
        </w:tc>
        <w:tc>
          <w:tcPr>
            <w:tcW w:w="1983" w:type="dxa"/>
            <w:noWrap w:val="0"/>
            <w:tcMar>
              <w:top w:w="15" w:type="dxa"/>
              <w:left w:w="15" w:type="dxa"/>
              <w:right w:w="15" w:type="dxa"/>
            </w:tcMar>
            <w:vAlign w:val="center"/>
          </w:tcPr>
          <w:p w14:paraId="4230844D">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Fonts w:hint="default" w:ascii="Times New Roman" w:hAnsi="Times New Roman" w:eastAsia="宋体" w:cs="Times New Roman"/>
                <w:i w:val="0"/>
                <w:color w:val="0000FF"/>
                <w:kern w:val="0"/>
                <w:sz w:val="20"/>
                <w:szCs w:val="20"/>
                <w:u w:val="none"/>
                <w:lang w:val="en-US" w:eastAsia="zh-CN" w:bidi="ar"/>
              </w:rPr>
              <w:t>39</w:t>
            </w:r>
          </w:p>
        </w:tc>
        <w:tc>
          <w:tcPr>
            <w:tcW w:w="1619" w:type="dxa"/>
            <w:noWrap w:val="0"/>
            <w:tcMar>
              <w:top w:w="15" w:type="dxa"/>
              <w:left w:w="15" w:type="dxa"/>
              <w:right w:w="15" w:type="dxa"/>
            </w:tcMar>
            <w:vAlign w:val="center"/>
          </w:tcPr>
          <w:p w14:paraId="2C11BB1C">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Fonts w:hint="default" w:ascii="Times New Roman" w:hAnsi="Times New Roman" w:eastAsia="宋体" w:cs="Times New Roman"/>
                <w:i w:val="0"/>
                <w:color w:val="0000FF"/>
                <w:kern w:val="0"/>
                <w:sz w:val="20"/>
                <w:szCs w:val="20"/>
                <w:u w:val="none"/>
                <w:lang w:val="en-US" w:eastAsia="zh-CN" w:bidi="ar"/>
              </w:rPr>
              <w:t>78153.66</w:t>
            </w:r>
          </w:p>
        </w:tc>
      </w:tr>
      <w:tr w14:paraId="575FA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7" w:hRule="atLeast"/>
        </w:trPr>
        <w:tc>
          <w:tcPr>
            <w:tcW w:w="1282" w:type="dxa"/>
            <w:noWrap w:val="0"/>
            <w:tcMar>
              <w:top w:w="15" w:type="dxa"/>
              <w:left w:w="15" w:type="dxa"/>
              <w:right w:w="15" w:type="dxa"/>
            </w:tcMar>
            <w:vAlign w:val="center"/>
          </w:tcPr>
          <w:p w14:paraId="1ED0EFB3">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Fonts w:hint="default" w:ascii="Times New Roman" w:hAnsi="Times New Roman" w:eastAsia="宋体" w:cs="Times New Roman"/>
                <w:i w:val="0"/>
                <w:color w:val="0000FF"/>
                <w:kern w:val="0"/>
                <w:sz w:val="20"/>
                <w:szCs w:val="20"/>
                <w:u w:val="none"/>
                <w:lang w:val="en-US" w:eastAsia="zh-CN" w:bidi="ar"/>
              </w:rPr>
              <w:t>18</w:t>
            </w:r>
          </w:p>
        </w:tc>
        <w:tc>
          <w:tcPr>
            <w:tcW w:w="3136" w:type="dxa"/>
            <w:noWrap w:val="0"/>
            <w:tcMar>
              <w:top w:w="15" w:type="dxa"/>
              <w:left w:w="15" w:type="dxa"/>
              <w:right w:w="15" w:type="dxa"/>
            </w:tcMar>
            <w:vAlign w:val="center"/>
          </w:tcPr>
          <w:p w14:paraId="2AC0822E">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Style w:val="7"/>
                <w:rFonts w:hint="default" w:ascii="Times New Roman" w:hAnsi="Times New Roman" w:cs="Times New Roman"/>
                <w:color w:val="0000FF"/>
                <w:sz w:val="20"/>
                <w:szCs w:val="20"/>
                <w:lang w:val="en-US" w:eastAsia="zh-CN" w:bidi="ar"/>
              </w:rPr>
              <w:t>炒货食品及坚果制品</w:t>
            </w:r>
          </w:p>
        </w:tc>
        <w:tc>
          <w:tcPr>
            <w:tcW w:w="1983" w:type="dxa"/>
            <w:noWrap w:val="0"/>
            <w:tcMar>
              <w:top w:w="15" w:type="dxa"/>
              <w:left w:w="15" w:type="dxa"/>
              <w:right w:w="15" w:type="dxa"/>
            </w:tcMar>
            <w:vAlign w:val="center"/>
          </w:tcPr>
          <w:p w14:paraId="5BBF972E">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Fonts w:hint="default" w:ascii="Times New Roman" w:hAnsi="Times New Roman" w:eastAsia="宋体" w:cs="Times New Roman"/>
                <w:i w:val="0"/>
                <w:color w:val="0000FF"/>
                <w:kern w:val="0"/>
                <w:sz w:val="20"/>
                <w:szCs w:val="20"/>
                <w:u w:val="none"/>
                <w:lang w:val="en-US" w:eastAsia="zh-CN" w:bidi="ar"/>
              </w:rPr>
              <w:t>10</w:t>
            </w:r>
          </w:p>
        </w:tc>
        <w:tc>
          <w:tcPr>
            <w:tcW w:w="1619" w:type="dxa"/>
            <w:noWrap w:val="0"/>
            <w:tcMar>
              <w:top w:w="15" w:type="dxa"/>
              <w:left w:w="15" w:type="dxa"/>
              <w:right w:w="15" w:type="dxa"/>
            </w:tcMar>
            <w:vAlign w:val="center"/>
          </w:tcPr>
          <w:p w14:paraId="2AD3D851">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Fonts w:hint="default" w:ascii="Times New Roman" w:hAnsi="Times New Roman" w:eastAsia="宋体" w:cs="Times New Roman"/>
                <w:i w:val="0"/>
                <w:color w:val="0000FF"/>
                <w:kern w:val="0"/>
                <w:sz w:val="20"/>
                <w:szCs w:val="20"/>
                <w:u w:val="none"/>
                <w:lang w:val="en-US" w:eastAsia="zh-CN" w:bidi="ar"/>
              </w:rPr>
              <w:t>20039.4</w:t>
            </w:r>
          </w:p>
        </w:tc>
      </w:tr>
      <w:tr w14:paraId="75653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7" w:hRule="atLeast"/>
        </w:trPr>
        <w:tc>
          <w:tcPr>
            <w:tcW w:w="1282" w:type="dxa"/>
            <w:noWrap w:val="0"/>
            <w:tcMar>
              <w:top w:w="15" w:type="dxa"/>
              <w:left w:w="15" w:type="dxa"/>
              <w:right w:w="15" w:type="dxa"/>
            </w:tcMar>
            <w:vAlign w:val="center"/>
          </w:tcPr>
          <w:p w14:paraId="3E0741EE">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Fonts w:hint="default" w:ascii="Times New Roman" w:hAnsi="Times New Roman" w:eastAsia="宋体" w:cs="Times New Roman"/>
                <w:i w:val="0"/>
                <w:color w:val="0000FF"/>
                <w:kern w:val="0"/>
                <w:sz w:val="20"/>
                <w:szCs w:val="20"/>
                <w:u w:val="none"/>
                <w:lang w:val="en-US" w:eastAsia="zh-CN" w:bidi="ar"/>
              </w:rPr>
              <w:t>19</w:t>
            </w:r>
          </w:p>
        </w:tc>
        <w:tc>
          <w:tcPr>
            <w:tcW w:w="3136" w:type="dxa"/>
            <w:noWrap w:val="0"/>
            <w:tcMar>
              <w:top w:w="15" w:type="dxa"/>
              <w:left w:w="15" w:type="dxa"/>
              <w:right w:w="15" w:type="dxa"/>
            </w:tcMar>
            <w:vAlign w:val="center"/>
          </w:tcPr>
          <w:p w14:paraId="37B03757">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Style w:val="7"/>
                <w:rFonts w:hint="default" w:ascii="Times New Roman" w:hAnsi="Times New Roman" w:cs="Times New Roman"/>
                <w:color w:val="0000FF"/>
                <w:sz w:val="20"/>
                <w:szCs w:val="20"/>
                <w:lang w:val="en-US" w:eastAsia="zh-CN" w:bidi="ar"/>
              </w:rPr>
              <w:t>蛋制品</w:t>
            </w:r>
          </w:p>
        </w:tc>
        <w:tc>
          <w:tcPr>
            <w:tcW w:w="1983" w:type="dxa"/>
            <w:noWrap w:val="0"/>
            <w:tcMar>
              <w:top w:w="15" w:type="dxa"/>
              <w:left w:w="15" w:type="dxa"/>
              <w:right w:w="15" w:type="dxa"/>
            </w:tcMar>
            <w:vAlign w:val="center"/>
          </w:tcPr>
          <w:p w14:paraId="3D35E537">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Fonts w:hint="default" w:ascii="Times New Roman" w:hAnsi="Times New Roman" w:eastAsia="宋体" w:cs="Times New Roman"/>
                <w:i w:val="0"/>
                <w:color w:val="0000FF"/>
                <w:kern w:val="0"/>
                <w:sz w:val="20"/>
                <w:szCs w:val="20"/>
                <w:u w:val="none"/>
                <w:lang w:val="en-US" w:eastAsia="zh-CN" w:bidi="ar"/>
              </w:rPr>
              <w:t>6</w:t>
            </w:r>
          </w:p>
        </w:tc>
        <w:tc>
          <w:tcPr>
            <w:tcW w:w="1619" w:type="dxa"/>
            <w:noWrap w:val="0"/>
            <w:tcMar>
              <w:top w:w="15" w:type="dxa"/>
              <w:left w:w="15" w:type="dxa"/>
              <w:right w:w="15" w:type="dxa"/>
            </w:tcMar>
            <w:vAlign w:val="center"/>
          </w:tcPr>
          <w:p w14:paraId="5EE23E6F">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Fonts w:hint="default" w:ascii="Times New Roman" w:hAnsi="Times New Roman" w:eastAsia="宋体" w:cs="Times New Roman"/>
                <w:i w:val="0"/>
                <w:color w:val="0000FF"/>
                <w:kern w:val="0"/>
                <w:sz w:val="20"/>
                <w:szCs w:val="20"/>
                <w:u w:val="none"/>
                <w:lang w:val="en-US" w:eastAsia="zh-CN" w:bidi="ar"/>
              </w:rPr>
              <w:t>12023.64</w:t>
            </w:r>
          </w:p>
        </w:tc>
      </w:tr>
      <w:tr w14:paraId="39223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7" w:hRule="atLeast"/>
        </w:trPr>
        <w:tc>
          <w:tcPr>
            <w:tcW w:w="1282" w:type="dxa"/>
            <w:noWrap w:val="0"/>
            <w:tcMar>
              <w:top w:w="15" w:type="dxa"/>
              <w:left w:w="15" w:type="dxa"/>
              <w:right w:w="15" w:type="dxa"/>
            </w:tcMar>
            <w:vAlign w:val="center"/>
          </w:tcPr>
          <w:p w14:paraId="0FBC2D42">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Fonts w:hint="default" w:ascii="Times New Roman" w:hAnsi="Times New Roman" w:eastAsia="宋体" w:cs="Times New Roman"/>
                <w:i w:val="0"/>
                <w:color w:val="0000FF"/>
                <w:kern w:val="0"/>
                <w:sz w:val="20"/>
                <w:szCs w:val="20"/>
                <w:u w:val="none"/>
                <w:lang w:val="en-US" w:eastAsia="zh-CN" w:bidi="ar"/>
              </w:rPr>
              <w:t>20</w:t>
            </w:r>
          </w:p>
        </w:tc>
        <w:tc>
          <w:tcPr>
            <w:tcW w:w="3136" w:type="dxa"/>
            <w:noWrap w:val="0"/>
            <w:tcMar>
              <w:top w:w="15" w:type="dxa"/>
              <w:left w:w="15" w:type="dxa"/>
              <w:right w:w="15" w:type="dxa"/>
            </w:tcMar>
            <w:vAlign w:val="center"/>
          </w:tcPr>
          <w:p w14:paraId="05B94545">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Style w:val="7"/>
                <w:rFonts w:hint="default" w:ascii="Times New Roman" w:hAnsi="Times New Roman" w:cs="Times New Roman"/>
                <w:color w:val="0000FF"/>
                <w:sz w:val="20"/>
                <w:szCs w:val="20"/>
                <w:lang w:val="en-US" w:eastAsia="zh-CN" w:bidi="ar"/>
              </w:rPr>
              <w:t>可可及焙烤咖啡产品</w:t>
            </w:r>
          </w:p>
        </w:tc>
        <w:tc>
          <w:tcPr>
            <w:tcW w:w="1983" w:type="dxa"/>
            <w:noWrap w:val="0"/>
            <w:tcMar>
              <w:top w:w="15" w:type="dxa"/>
              <w:left w:w="15" w:type="dxa"/>
              <w:right w:w="15" w:type="dxa"/>
            </w:tcMar>
            <w:vAlign w:val="center"/>
          </w:tcPr>
          <w:p w14:paraId="2CD6E4D8">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Fonts w:hint="default" w:ascii="Times New Roman" w:hAnsi="Times New Roman" w:eastAsia="宋体" w:cs="Times New Roman"/>
                <w:i w:val="0"/>
                <w:color w:val="0000FF"/>
                <w:kern w:val="0"/>
                <w:sz w:val="20"/>
                <w:szCs w:val="20"/>
                <w:u w:val="none"/>
                <w:lang w:val="en-US" w:eastAsia="zh-CN" w:bidi="ar"/>
              </w:rPr>
              <w:t>1</w:t>
            </w:r>
          </w:p>
        </w:tc>
        <w:tc>
          <w:tcPr>
            <w:tcW w:w="1619" w:type="dxa"/>
            <w:noWrap w:val="0"/>
            <w:tcMar>
              <w:top w:w="15" w:type="dxa"/>
              <w:left w:w="15" w:type="dxa"/>
              <w:right w:w="15" w:type="dxa"/>
            </w:tcMar>
            <w:vAlign w:val="center"/>
          </w:tcPr>
          <w:p w14:paraId="7E70C149">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Fonts w:hint="default" w:ascii="Times New Roman" w:hAnsi="Times New Roman" w:eastAsia="宋体" w:cs="Times New Roman"/>
                <w:i w:val="0"/>
                <w:color w:val="0000FF"/>
                <w:kern w:val="0"/>
                <w:sz w:val="20"/>
                <w:szCs w:val="20"/>
                <w:u w:val="none"/>
                <w:lang w:val="en-US" w:eastAsia="zh-CN" w:bidi="ar"/>
              </w:rPr>
              <w:t>2003.94</w:t>
            </w:r>
          </w:p>
        </w:tc>
      </w:tr>
      <w:tr w14:paraId="40785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7" w:hRule="atLeast"/>
        </w:trPr>
        <w:tc>
          <w:tcPr>
            <w:tcW w:w="1282" w:type="dxa"/>
            <w:noWrap w:val="0"/>
            <w:tcMar>
              <w:top w:w="15" w:type="dxa"/>
              <w:left w:w="15" w:type="dxa"/>
              <w:right w:w="15" w:type="dxa"/>
            </w:tcMar>
            <w:vAlign w:val="center"/>
          </w:tcPr>
          <w:p w14:paraId="4DCDE037">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Fonts w:hint="default" w:ascii="Times New Roman" w:hAnsi="Times New Roman" w:eastAsia="宋体" w:cs="Times New Roman"/>
                <w:i w:val="0"/>
                <w:color w:val="0000FF"/>
                <w:kern w:val="0"/>
                <w:sz w:val="20"/>
                <w:szCs w:val="20"/>
                <w:u w:val="none"/>
                <w:lang w:val="en-US" w:eastAsia="zh-CN" w:bidi="ar"/>
              </w:rPr>
              <w:t>21</w:t>
            </w:r>
          </w:p>
        </w:tc>
        <w:tc>
          <w:tcPr>
            <w:tcW w:w="3136" w:type="dxa"/>
            <w:noWrap w:val="0"/>
            <w:tcMar>
              <w:top w:w="15" w:type="dxa"/>
              <w:left w:w="15" w:type="dxa"/>
              <w:right w:w="15" w:type="dxa"/>
            </w:tcMar>
            <w:vAlign w:val="center"/>
          </w:tcPr>
          <w:p w14:paraId="040AC29D">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Style w:val="7"/>
                <w:rFonts w:hint="default" w:ascii="Times New Roman" w:hAnsi="Times New Roman" w:cs="Times New Roman"/>
                <w:color w:val="0000FF"/>
                <w:sz w:val="20"/>
                <w:szCs w:val="20"/>
                <w:lang w:val="en-US" w:eastAsia="zh-CN" w:bidi="ar"/>
              </w:rPr>
              <w:t>食糖</w:t>
            </w:r>
          </w:p>
        </w:tc>
        <w:tc>
          <w:tcPr>
            <w:tcW w:w="1983" w:type="dxa"/>
            <w:noWrap w:val="0"/>
            <w:tcMar>
              <w:top w:w="15" w:type="dxa"/>
              <w:left w:w="15" w:type="dxa"/>
              <w:right w:w="15" w:type="dxa"/>
            </w:tcMar>
            <w:vAlign w:val="center"/>
          </w:tcPr>
          <w:p w14:paraId="6FEEFCC3">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Fonts w:hint="default" w:ascii="Times New Roman" w:hAnsi="Times New Roman" w:eastAsia="宋体" w:cs="Times New Roman"/>
                <w:i w:val="0"/>
                <w:color w:val="0000FF"/>
                <w:kern w:val="0"/>
                <w:sz w:val="20"/>
                <w:szCs w:val="20"/>
                <w:u w:val="none"/>
                <w:lang w:val="en-US" w:eastAsia="zh-CN" w:bidi="ar"/>
              </w:rPr>
              <w:t>10</w:t>
            </w:r>
          </w:p>
        </w:tc>
        <w:tc>
          <w:tcPr>
            <w:tcW w:w="1619" w:type="dxa"/>
            <w:noWrap w:val="0"/>
            <w:tcMar>
              <w:top w:w="15" w:type="dxa"/>
              <w:left w:w="15" w:type="dxa"/>
              <w:right w:w="15" w:type="dxa"/>
            </w:tcMar>
            <w:vAlign w:val="center"/>
          </w:tcPr>
          <w:p w14:paraId="4D207ECE">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Fonts w:hint="default" w:ascii="Times New Roman" w:hAnsi="Times New Roman" w:eastAsia="宋体" w:cs="Times New Roman"/>
                <w:i w:val="0"/>
                <w:color w:val="0000FF"/>
                <w:kern w:val="0"/>
                <w:sz w:val="20"/>
                <w:szCs w:val="20"/>
                <w:u w:val="none"/>
                <w:lang w:val="en-US" w:eastAsia="zh-CN" w:bidi="ar"/>
              </w:rPr>
              <w:t>20039.4</w:t>
            </w:r>
          </w:p>
        </w:tc>
      </w:tr>
      <w:tr w14:paraId="0EA1B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7" w:hRule="atLeast"/>
        </w:trPr>
        <w:tc>
          <w:tcPr>
            <w:tcW w:w="1282" w:type="dxa"/>
            <w:noWrap w:val="0"/>
            <w:tcMar>
              <w:top w:w="15" w:type="dxa"/>
              <w:left w:w="15" w:type="dxa"/>
              <w:right w:w="15" w:type="dxa"/>
            </w:tcMar>
            <w:vAlign w:val="center"/>
          </w:tcPr>
          <w:p w14:paraId="30CBBD78">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Fonts w:hint="default" w:ascii="Times New Roman" w:hAnsi="Times New Roman" w:eastAsia="宋体" w:cs="Times New Roman"/>
                <w:i w:val="0"/>
                <w:color w:val="0000FF"/>
                <w:kern w:val="0"/>
                <w:sz w:val="20"/>
                <w:szCs w:val="20"/>
                <w:u w:val="none"/>
                <w:lang w:val="en-US" w:eastAsia="zh-CN" w:bidi="ar"/>
              </w:rPr>
              <w:t>22</w:t>
            </w:r>
          </w:p>
        </w:tc>
        <w:tc>
          <w:tcPr>
            <w:tcW w:w="3136" w:type="dxa"/>
            <w:noWrap w:val="0"/>
            <w:tcMar>
              <w:top w:w="15" w:type="dxa"/>
              <w:left w:w="15" w:type="dxa"/>
              <w:right w:w="15" w:type="dxa"/>
            </w:tcMar>
            <w:vAlign w:val="center"/>
          </w:tcPr>
          <w:p w14:paraId="1B3BED92">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Style w:val="7"/>
                <w:rFonts w:hint="default" w:ascii="Times New Roman" w:hAnsi="Times New Roman" w:cs="Times New Roman"/>
                <w:color w:val="0000FF"/>
                <w:sz w:val="20"/>
                <w:szCs w:val="20"/>
                <w:lang w:val="en-US" w:eastAsia="zh-CN" w:bidi="ar"/>
              </w:rPr>
              <w:t>水产制品</w:t>
            </w:r>
          </w:p>
        </w:tc>
        <w:tc>
          <w:tcPr>
            <w:tcW w:w="1983" w:type="dxa"/>
            <w:noWrap w:val="0"/>
            <w:tcMar>
              <w:top w:w="15" w:type="dxa"/>
              <w:left w:w="15" w:type="dxa"/>
              <w:right w:w="15" w:type="dxa"/>
            </w:tcMar>
            <w:vAlign w:val="center"/>
          </w:tcPr>
          <w:p w14:paraId="4962B709">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Fonts w:hint="default" w:ascii="Times New Roman" w:hAnsi="Times New Roman" w:eastAsia="宋体" w:cs="Times New Roman"/>
                <w:i w:val="0"/>
                <w:color w:val="0000FF"/>
                <w:kern w:val="0"/>
                <w:sz w:val="20"/>
                <w:szCs w:val="20"/>
                <w:u w:val="none"/>
                <w:lang w:val="en-US" w:eastAsia="zh-CN" w:bidi="ar"/>
              </w:rPr>
              <w:t>40</w:t>
            </w:r>
          </w:p>
        </w:tc>
        <w:tc>
          <w:tcPr>
            <w:tcW w:w="1619" w:type="dxa"/>
            <w:noWrap w:val="0"/>
            <w:tcMar>
              <w:top w:w="15" w:type="dxa"/>
              <w:left w:w="15" w:type="dxa"/>
              <w:right w:w="15" w:type="dxa"/>
            </w:tcMar>
            <w:vAlign w:val="center"/>
          </w:tcPr>
          <w:p w14:paraId="4E61C039">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Fonts w:hint="default" w:ascii="Times New Roman" w:hAnsi="Times New Roman" w:eastAsia="宋体" w:cs="Times New Roman"/>
                <w:i w:val="0"/>
                <w:color w:val="0000FF"/>
                <w:kern w:val="0"/>
                <w:sz w:val="20"/>
                <w:szCs w:val="20"/>
                <w:u w:val="none"/>
                <w:lang w:val="en-US" w:eastAsia="zh-CN" w:bidi="ar"/>
              </w:rPr>
              <w:t>80157.6</w:t>
            </w:r>
          </w:p>
        </w:tc>
      </w:tr>
      <w:tr w14:paraId="135A8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trPr>
        <w:tc>
          <w:tcPr>
            <w:tcW w:w="1282" w:type="dxa"/>
            <w:noWrap w:val="0"/>
            <w:tcMar>
              <w:top w:w="15" w:type="dxa"/>
              <w:left w:w="15" w:type="dxa"/>
              <w:right w:w="15" w:type="dxa"/>
            </w:tcMar>
            <w:vAlign w:val="center"/>
          </w:tcPr>
          <w:p w14:paraId="6B75E02D">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Fonts w:hint="default" w:ascii="Times New Roman" w:hAnsi="Times New Roman" w:eastAsia="宋体" w:cs="Times New Roman"/>
                <w:i w:val="0"/>
                <w:color w:val="0000FF"/>
                <w:kern w:val="0"/>
                <w:sz w:val="20"/>
                <w:szCs w:val="20"/>
                <w:u w:val="none"/>
                <w:lang w:val="en-US" w:eastAsia="zh-CN" w:bidi="ar"/>
              </w:rPr>
              <w:t>23</w:t>
            </w:r>
          </w:p>
        </w:tc>
        <w:tc>
          <w:tcPr>
            <w:tcW w:w="3136" w:type="dxa"/>
            <w:noWrap w:val="0"/>
            <w:tcMar>
              <w:top w:w="15" w:type="dxa"/>
              <w:left w:w="15" w:type="dxa"/>
              <w:right w:w="15" w:type="dxa"/>
            </w:tcMar>
            <w:vAlign w:val="center"/>
          </w:tcPr>
          <w:p w14:paraId="7BD90A26">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Style w:val="7"/>
                <w:rFonts w:hint="default" w:ascii="Times New Roman" w:hAnsi="Times New Roman" w:cs="Times New Roman"/>
                <w:color w:val="0000FF"/>
                <w:sz w:val="20"/>
                <w:szCs w:val="20"/>
                <w:lang w:val="en-US" w:eastAsia="zh-CN" w:bidi="ar"/>
              </w:rPr>
              <w:t>淀粉及淀粉制品</w:t>
            </w:r>
          </w:p>
        </w:tc>
        <w:tc>
          <w:tcPr>
            <w:tcW w:w="1983" w:type="dxa"/>
            <w:noWrap w:val="0"/>
            <w:tcMar>
              <w:top w:w="15" w:type="dxa"/>
              <w:left w:w="15" w:type="dxa"/>
              <w:right w:w="15" w:type="dxa"/>
            </w:tcMar>
            <w:vAlign w:val="center"/>
          </w:tcPr>
          <w:p w14:paraId="62EF86A7">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Fonts w:hint="default" w:ascii="Times New Roman" w:hAnsi="Times New Roman" w:eastAsia="宋体" w:cs="Times New Roman"/>
                <w:i w:val="0"/>
                <w:color w:val="0000FF"/>
                <w:kern w:val="0"/>
                <w:sz w:val="20"/>
                <w:szCs w:val="20"/>
                <w:u w:val="none"/>
                <w:lang w:val="en-US" w:eastAsia="zh-CN" w:bidi="ar"/>
              </w:rPr>
              <w:t>9</w:t>
            </w:r>
          </w:p>
        </w:tc>
        <w:tc>
          <w:tcPr>
            <w:tcW w:w="1619" w:type="dxa"/>
            <w:noWrap w:val="0"/>
            <w:tcMar>
              <w:top w:w="15" w:type="dxa"/>
              <w:left w:w="15" w:type="dxa"/>
              <w:right w:w="15" w:type="dxa"/>
            </w:tcMar>
            <w:vAlign w:val="center"/>
          </w:tcPr>
          <w:p w14:paraId="2342A3F5">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Fonts w:hint="default" w:ascii="Times New Roman" w:hAnsi="Times New Roman" w:eastAsia="宋体" w:cs="Times New Roman"/>
                <w:i w:val="0"/>
                <w:color w:val="0000FF"/>
                <w:kern w:val="0"/>
                <w:sz w:val="20"/>
                <w:szCs w:val="20"/>
                <w:u w:val="none"/>
                <w:lang w:val="en-US" w:eastAsia="zh-CN" w:bidi="ar"/>
              </w:rPr>
              <w:t>18035.46</w:t>
            </w:r>
          </w:p>
        </w:tc>
      </w:tr>
      <w:tr w14:paraId="414E1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trPr>
        <w:tc>
          <w:tcPr>
            <w:tcW w:w="1282" w:type="dxa"/>
            <w:noWrap w:val="0"/>
            <w:tcMar>
              <w:top w:w="15" w:type="dxa"/>
              <w:left w:w="15" w:type="dxa"/>
              <w:right w:w="15" w:type="dxa"/>
            </w:tcMar>
            <w:vAlign w:val="center"/>
          </w:tcPr>
          <w:p w14:paraId="48CCCF1F">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Fonts w:hint="default" w:ascii="Times New Roman" w:hAnsi="Times New Roman" w:eastAsia="宋体" w:cs="Times New Roman"/>
                <w:i w:val="0"/>
                <w:color w:val="0000FF"/>
                <w:kern w:val="0"/>
                <w:sz w:val="20"/>
                <w:szCs w:val="20"/>
                <w:u w:val="none"/>
                <w:lang w:val="en-US" w:eastAsia="zh-CN" w:bidi="ar"/>
              </w:rPr>
              <w:t>24</w:t>
            </w:r>
          </w:p>
        </w:tc>
        <w:tc>
          <w:tcPr>
            <w:tcW w:w="3136" w:type="dxa"/>
            <w:noWrap w:val="0"/>
            <w:tcMar>
              <w:top w:w="15" w:type="dxa"/>
              <w:left w:w="15" w:type="dxa"/>
              <w:right w:w="15" w:type="dxa"/>
            </w:tcMar>
            <w:vAlign w:val="center"/>
          </w:tcPr>
          <w:p w14:paraId="6071C707">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Style w:val="7"/>
                <w:rFonts w:hint="default" w:ascii="Times New Roman" w:hAnsi="Times New Roman" w:cs="Times New Roman"/>
                <w:color w:val="0000FF"/>
                <w:sz w:val="20"/>
                <w:szCs w:val="20"/>
                <w:lang w:val="en-US" w:eastAsia="zh-CN" w:bidi="ar"/>
              </w:rPr>
              <w:t>糕点</w:t>
            </w:r>
          </w:p>
        </w:tc>
        <w:tc>
          <w:tcPr>
            <w:tcW w:w="1983" w:type="dxa"/>
            <w:noWrap w:val="0"/>
            <w:tcMar>
              <w:top w:w="15" w:type="dxa"/>
              <w:left w:w="15" w:type="dxa"/>
              <w:right w:w="15" w:type="dxa"/>
            </w:tcMar>
            <w:vAlign w:val="center"/>
          </w:tcPr>
          <w:p w14:paraId="7AA58652">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Fonts w:hint="default" w:ascii="Times New Roman" w:hAnsi="Times New Roman" w:eastAsia="宋体" w:cs="Times New Roman"/>
                <w:i w:val="0"/>
                <w:color w:val="0000FF"/>
                <w:kern w:val="0"/>
                <w:sz w:val="20"/>
                <w:szCs w:val="20"/>
                <w:u w:val="none"/>
                <w:lang w:val="en-US" w:eastAsia="zh-CN" w:bidi="ar"/>
              </w:rPr>
              <w:t>133</w:t>
            </w:r>
          </w:p>
        </w:tc>
        <w:tc>
          <w:tcPr>
            <w:tcW w:w="1619" w:type="dxa"/>
            <w:noWrap w:val="0"/>
            <w:tcMar>
              <w:top w:w="15" w:type="dxa"/>
              <w:left w:w="15" w:type="dxa"/>
              <w:right w:w="15" w:type="dxa"/>
            </w:tcMar>
            <w:vAlign w:val="center"/>
          </w:tcPr>
          <w:p w14:paraId="200214C1">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Fonts w:hint="default" w:ascii="Times New Roman" w:hAnsi="Times New Roman" w:eastAsia="宋体" w:cs="Times New Roman"/>
                <w:i w:val="0"/>
                <w:color w:val="0000FF"/>
                <w:kern w:val="0"/>
                <w:sz w:val="20"/>
                <w:szCs w:val="20"/>
                <w:u w:val="none"/>
                <w:lang w:val="en-US" w:eastAsia="zh-CN" w:bidi="ar"/>
              </w:rPr>
              <w:t>266524.02</w:t>
            </w:r>
          </w:p>
        </w:tc>
      </w:tr>
      <w:tr w14:paraId="13A6B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trPr>
        <w:tc>
          <w:tcPr>
            <w:tcW w:w="1282" w:type="dxa"/>
            <w:noWrap w:val="0"/>
            <w:tcMar>
              <w:top w:w="15" w:type="dxa"/>
              <w:left w:w="15" w:type="dxa"/>
              <w:right w:w="15" w:type="dxa"/>
            </w:tcMar>
            <w:vAlign w:val="center"/>
          </w:tcPr>
          <w:p w14:paraId="243041DF">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Fonts w:hint="default" w:ascii="Times New Roman" w:hAnsi="Times New Roman" w:eastAsia="宋体" w:cs="Times New Roman"/>
                <w:i w:val="0"/>
                <w:color w:val="0000FF"/>
                <w:kern w:val="0"/>
                <w:sz w:val="20"/>
                <w:szCs w:val="20"/>
                <w:u w:val="none"/>
                <w:lang w:val="en-US" w:eastAsia="zh-CN" w:bidi="ar"/>
              </w:rPr>
              <w:t>25</w:t>
            </w:r>
          </w:p>
        </w:tc>
        <w:tc>
          <w:tcPr>
            <w:tcW w:w="3136" w:type="dxa"/>
            <w:noWrap w:val="0"/>
            <w:tcMar>
              <w:top w:w="15" w:type="dxa"/>
              <w:left w:w="15" w:type="dxa"/>
              <w:right w:w="15" w:type="dxa"/>
            </w:tcMar>
            <w:vAlign w:val="center"/>
          </w:tcPr>
          <w:p w14:paraId="49DA7601">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Style w:val="7"/>
                <w:rFonts w:hint="default" w:ascii="Times New Roman" w:hAnsi="Times New Roman" w:cs="Times New Roman"/>
                <w:color w:val="0000FF"/>
                <w:sz w:val="20"/>
                <w:szCs w:val="20"/>
                <w:lang w:val="en-US" w:eastAsia="zh-CN" w:bidi="ar"/>
              </w:rPr>
              <w:t>豆制品</w:t>
            </w:r>
          </w:p>
        </w:tc>
        <w:tc>
          <w:tcPr>
            <w:tcW w:w="1983" w:type="dxa"/>
            <w:noWrap w:val="0"/>
            <w:tcMar>
              <w:top w:w="15" w:type="dxa"/>
              <w:left w:w="15" w:type="dxa"/>
              <w:right w:w="15" w:type="dxa"/>
            </w:tcMar>
            <w:vAlign w:val="center"/>
          </w:tcPr>
          <w:p w14:paraId="0870EC44">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Fonts w:hint="default" w:ascii="Times New Roman" w:hAnsi="Times New Roman" w:eastAsia="宋体" w:cs="Times New Roman"/>
                <w:i w:val="0"/>
                <w:color w:val="0000FF"/>
                <w:kern w:val="0"/>
                <w:sz w:val="20"/>
                <w:szCs w:val="20"/>
                <w:u w:val="none"/>
                <w:lang w:val="en-US" w:eastAsia="zh-CN" w:bidi="ar"/>
              </w:rPr>
              <w:t>11</w:t>
            </w:r>
          </w:p>
        </w:tc>
        <w:tc>
          <w:tcPr>
            <w:tcW w:w="1619" w:type="dxa"/>
            <w:noWrap w:val="0"/>
            <w:tcMar>
              <w:top w:w="15" w:type="dxa"/>
              <w:left w:w="15" w:type="dxa"/>
              <w:right w:w="15" w:type="dxa"/>
            </w:tcMar>
            <w:vAlign w:val="center"/>
          </w:tcPr>
          <w:p w14:paraId="320578F9">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Fonts w:hint="default" w:ascii="Times New Roman" w:hAnsi="Times New Roman" w:eastAsia="宋体" w:cs="Times New Roman"/>
                <w:i w:val="0"/>
                <w:color w:val="0000FF"/>
                <w:kern w:val="0"/>
                <w:sz w:val="20"/>
                <w:szCs w:val="20"/>
                <w:u w:val="none"/>
                <w:lang w:val="en-US" w:eastAsia="zh-CN" w:bidi="ar"/>
              </w:rPr>
              <w:t>22043.34</w:t>
            </w:r>
          </w:p>
        </w:tc>
      </w:tr>
      <w:tr w14:paraId="23701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trPr>
        <w:tc>
          <w:tcPr>
            <w:tcW w:w="1282" w:type="dxa"/>
            <w:noWrap w:val="0"/>
            <w:tcMar>
              <w:top w:w="15" w:type="dxa"/>
              <w:left w:w="15" w:type="dxa"/>
              <w:right w:w="15" w:type="dxa"/>
            </w:tcMar>
            <w:vAlign w:val="center"/>
          </w:tcPr>
          <w:p w14:paraId="005EB792">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Fonts w:hint="default" w:ascii="Times New Roman" w:hAnsi="Times New Roman" w:eastAsia="宋体" w:cs="Times New Roman"/>
                <w:i w:val="0"/>
                <w:color w:val="0000FF"/>
                <w:kern w:val="0"/>
                <w:sz w:val="20"/>
                <w:szCs w:val="20"/>
                <w:u w:val="none"/>
                <w:lang w:val="en-US" w:eastAsia="zh-CN" w:bidi="ar"/>
              </w:rPr>
              <w:t>26</w:t>
            </w:r>
          </w:p>
        </w:tc>
        <w:tc>
          <w:tcPr>
            <w:tcW w:w="3136" w:type="dxa"/>
            <w:noWrap w:val="0"/>
            <w:tcMar>
              <w:top w:w="15" w:type="dxa"/>
              <w:left w:w="15" w:type="dxa"/>
              <w:right w:w="15" w:type="dxa"/>
            </w:tcMar>
            <w:vAlign w:val="center"/>
          </w:tcPr>
          <w:p w14:paraId="4B1235CB">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Style w:val="7"/>
                <w:rFonts w:hint="default" w:ascii="Times New Roman" w:hAnsi="Times New Roman" w:cs="Times New Roman"/>
                <w:color w:val="0000FF"/>
                <w:sz w:val="20"/>
                <w:szCs w:val="20"/>
                <w:lang w:val="en-US" w:eastAsia="zh-CN" w:bidi="ar"/>
              </w:rPr>
              <w:t>蜂产品</w:t>
            </w:r>
          </w:p>
        </w:tc>
        <w:tc>
          <w:tcPr>
            <w:tcW w:w="1983" w:type="dxa"/>
            <w:noWrap w:val="0"/>
            <w:tcMar>
              <w:top w:w="15" w:type="dxa"/>
              <w:left w:w="15" w:type="dxa"/>
              <w:right w:w="15" w:type="dxa"/>
            </w:tcMar>
            <w:vAlign w:val="center"/>
          </w:tcPr>
          <w:p w14:paraId="762F55A2">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Fonts w:hint="default" w:ascii="Times New Roman" w:hAnsi="Times New Roman" w:eastAsia="宋体" w:cs="Times New Roman"/>
                <w:i w:val="0"/>
                <w:color w:val="0000FF"/>
                <w:kern w:val="0"/>
                <w:sz w:val="20"/>
                <w:szCs w:val="20"/>
                <w:u w:val="none"/>
                <w:lang w:val="en-US" w:eastAsia="zh-CN" w:bidi="ar"/>
              </w:rPr>
              <w:t>7</w:t>
            </w:r>
          </w:p>
        </w:tc>
        <w:tc>
          <w:tcPr>
            <w:tcW w:w="1619" w:type="dxa"/>
            <w:noWrap w:val="0"/>
            <w:tcMar>
              <w:top w:w="15" w:type="dxa"/>
              <w:left w:w="15" w:type="dxa"/>
              <w:right w:w="15" w:type="dxa"/>
            </w:tcMar>
            <w:vAlign w:val="center"/>
          </w:tcPr>
          <w:p w14:paraId="123D1738">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Fonts w:hint="default" w:ascii="Times New Roman" w:hAnsi="Times New Roman" w:eastAsia="宋体" w:cs="Times New Roman"/>
                <w:i w:val="0"/>
                <w:color w:val="0000FF"/>
                <w:kern w:val="0"/>
                <w:sz w:val="20"/>
                <w:szCs w:val="20"/>
                <w:u w:val="none"/>
                <w:lang w:val="en-US" w:eastAsia="zh-CN" w:bidi="ar"/>
              </w:rPr>
              <w:t>14027.58</w:t>
            </w:r>
          </w:p>
        </w:tc>
      </w:tr>
      <w:tr w14:paraId="0EB44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trPr>
        <w:tc>
          <w:tcPr>
            <w:tcW w:w="1282" w:type="dxa"/>
            <w:noWrap w:val="0"/>
            <w:tcMar>
              <w:top w:w="15" w:type="dxa"/>
              <w:left w:w="15" w:type="dxa"/>
              <w:right w:w="15" w:type="dxa"/>
            </w:tcMar>
            <w:vAlign w:val="center"/>
          </w:tcPr>
          <w:p w14:paraId="13E33BB6">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Fonts w:hint="default" w:ascii="Times New Roman" w:hAnsi="Times New Roman" w:eastAsia="宋体" w:cs="Times New Roman"/>
                <w:i w:val="0"/>
                <w:color w:val="0000FF"/>
                <w:kern w:val="0"/>
                <w:sz w:val="20"/>
                <w:szCs w:val="20"/>
                <w:u w:val="none"/>
                <w:lang w:val="en-US" w:eastAsia="zh-CN" w:bidi="ar"/>
              </w:rPr>
              <w:t>27</w:t>
            </w:r>
          </w:p>
        </w:tc>
        <w:tc>
          <w:tcPr>
            <w:tcW w:w="3136" w:type="dxa"/>
            <w:noWrap w:val="0"/>
            <w:tcMar>
              <w:top w:w="15" w:type="dxa"/>
              <w:left w:w="15" w:type="dxa"/>
              <w:right w:w="15" w:type="dxa"/>
            </w:tcMar>
            <w:vAlign w:val="center"/>
          </w:tcPr>
          <w:p w14:paraId="6B552122">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Style w:val="7"/>
                <w:rFonts w:hint="default" w:ascii="Times New Roman" w:hAnsi="Times New Roman" w:cs="Times New Roman"/>
                <w:color w:val="0000FF"/>
                <w:sz w:val="20"/>
                <w:szCs w:val="20"/>
                <w:lang w:val="en-US" w:eastAsia="zh-CN" w:bidi="ar"/>
              </w:rPr>
              <w:t>特殊膳食食品</w:t>
            </w:r>
          </w:p>
        </w:tc>
        <w:tc>
          <w:tcPr>
            <w:tcW w:w="1983" w:type="dxa"/>
            <w:noWrap w:val="0"/>
            <w:tcMar>
              <w:top w:w="15" w:type="dxa"/>
              <w:left w:w="15" w:type="dxa"/>
              <w:right w:w="15" w:type="dxa"/>
            </w:tcMar>
            <w:vAlign w:val="center"/>
          </w:tcPr>
          <w:p w14:paraId="12F79D10">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Fonts w:hint="default" w:ascii="Times New Roman" w:hAnsi="Times New Roman" w:eastAsia="宋体" w:cs="Times New Roman"/>
                <w:i w:val="0"/>
                <w:color w:val="0000FF"/>
                <w:kern w:val="0"/>
                <w:sz w:val="20"/>
                <w:szCs w:val="20"/>
                <w:u w:val="none"/>
                <w:lang w:val="en-US" w:eastAsia="zh-CN" w:bidi="ar"/>
              </w:rPr>
              <w:t>3</w:t>
            </w:r>
          </w:p>
        </w:tc>
        <w:tc>
          <w:tcPr>
            <w:tcW w:w="1619" w:type="dxa"/>
            <w:noWrap w:val="0"/>
            <w:tcMar>
              <w:top w:w="15" w:type="dxa"/>
              <w:left w:w="15" w:type="dxa"/>
              <w:right w:w="15" w:type="dxa"/>
            </w:tcMar>
            <w:vAlign w:val="center"/>
          </w:tcPr>
          <w:p w14:paraId="3EF12DBD">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Fonts w:hint="default" w:ascii="Times New Roman" w:hAnsi="Times New Roman" w:eastAsia="宋体" w:cs="Times New Roman"/>
                <w:i w:val="0"/>
                <w:color w:val="0000FF"/>
                <w:kern w:val="0"/>
                <w:sz w:val="20"/>
                <w:szCs w:val="20"/>
                <w:u w:val="none"/>
                <w:lang w:val="en-US" w:eastAsia="zh-CN" w:bidi="ar"/>
              </w:rPr>
              <w:t>6011.82</w:t>
            </w:r>
          </w:p>
        </w:tc>
      </w:tr>
      <w:tr w14:paraId="640EC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trPr>
        <w:tc>
          <w:tcPr>
            <w:tcW w:w="1282" w:type="dxa"/>
            <w:noWrap w:val="0"/>
            <w:tcMar>
              <w:top w:w="15" w:type="dxa"/>
              <w:left w:w="15" w:type="dxa"/>
              <w:right w:w="15" w:type="dxa"/>
            </w:tcMar>
            <w:vAlign w:val="center"/>
          </w:tcPr>
          <w:p w14:paraId="73D16938">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Fonts w:hint="default" w:ascii="Times New Roman" w:hAnsi="Times New Roman" w:eastAsia="宋体" w:cs="Times New Roman"/>
                <w:i w:val="0"/>
                <w:color w:val="0000FF"/>
                <w:kern w:val="0"/>
                <w:sz w:val="20"/>
                <w:szCs w:val="20"/>
                <w:u w:val="none"/>
                <w:lang w:val="en-US" w:eastAsia="zh-CN" w:bidi="ar"/>
              </w:rPr>
              <w:t>28</w:t>
            </w:r>
          </w:p>
        </w:tc>
        <w:tc>
          <w:tcPr>
            <w:tcW w:w="3136" w:type="dxa"/>
            <w:noWrap w:val="0"/>
            <w:tcMar>
              <w:top w:w="15" w:type="dxa"/>
              <w:left w:w="15" w:type="dxa"/>
              <w:right w:w="15" w:type="dxa"/>
            </w:tcMar>
            <w:vAlign w:val="center"/>
          </w:tcPr>
          <w:p w14:paraId="6637F7D7">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Style w:val="7"/>
                <w:rFonts w:hint="default" w:ascii="Times New Roman" w:hAnsi="Times New Roman" w:cs="Times New Roman"/>
                <w:color w:val="0000FF"/>
                <w:sz w:val="20"/>
                <w:szCs w:val="20"/>
                <w:lang w:val="en-US" w:eastAsia="zh-CN" w:bidi="ar"/>
              </w:rPr>
              <w:t>餐饮食品</w:t>
            </w:r>
          </w:p>
        </w:tc>
        <w:tc>
          <w:tcPr>
            <w:tcW w:w="1983" w:type="dxa"/>
            <w:noWrap w:val="0"/>
            <w:tcMar>
              <w:top w:w="15" w:type="dxa"/>
              <w:left w:w="15" w:type="dxa"/>
              <w:right w:w="15" w:type="dxa"/>
            </w:tcMar>
            <w:vAlign w:val="center"/>
          </w:tcPr>
          <w:p w14:paraId="41426230">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Fonts w:hint="default" w:ascii="Times New Roman" w:hAnsi="Times New Roman" w:eastAsia="宋体" w:cs="Times New Roman"/>
                <w:i w:val="0"/>
                <w:color w:val="0000FF"/>
                <w:kern w:val="0"/>
                <w:sz w:val="20"/>
                <w:szCs w:val="20"/>
                <w:u w:val="none"/>
                <w:lang w:val="en-US" w:eastAsia="zh-CN" w:bidi="ar"/>
              </w:rPr>
              <w:t>93</w:t>
            </w:r>
          </w:p>
        </w:tc>
        <w:tc>
          <w:tcPr>
            <w:tcW w:w="1619" w:type="dxa"/>
            <w:noWrap w:val="0"/>
            <w:tcMar>
              <w:top w:w="15" w:type="dxa"/>
              <w:left w:w="15" w:type="dxa"/>
              <w:right w:w="15" w:type="dxa"/>
            </w:tcMar>
            <w:vAlign w:val="center"/>
          </w:tcPr>
          <w:p w14:paraId="43C4C8EB">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Fonts w:hint="default" w:ascii="Times New Roman" w:hAnsi="Times New Roman" w:eastAsia="宋体" w:cs="Times New Roman"/>
                <w:i w:val="0"/>
                <w:color w:val="0000FF"/>
                <w:kern w:val="0"/>
                <w:sz w:val="20"/>
                <w:szCs w:val="20"/>
                <w:u w:val="none"/>
                <w:lang w:val="en-US" w:eastAsia="zh-CN" w:bidi="ar"/>
              </w:rPr>
              <w:t>186366.42</w:t>
            </w:r>
          </w:p>
        </w:tc>
      </w:tr>
      <w:tr w14:paraId="0BFF6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trPr>
        <w:tc>
          <w:tcPr>
            <w:tcW w:w="1282" w:type="dxa"/>
            <w:noWrap w:val="0"/>
            <w:tcMar>
              <w:top w:w="15" w:type="dxa"/>
              <w:left w:w="15" w:type="dxa"/>
              <w:right w:w="15" w:type="dxa"/>
            </w:tcMar>
            <w:vAlign w:val="center"/>
          </w:tcPr>
          <w:p w14:paraId="1AC79EFD">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Fonts w:hint="default" w:ascii="Times New Roman" w:hAnsi="Times New Roman" w:eastAsia="宋体" w:cs="Times New Roman"/>
                <w:i w:val="0"/>
                <w:color w:val="0000FF"/>
                <w:kern w:val="0"/>
                <w:sz w:val="20"/>
                <w:szCs w:val="20"/>
                <w:u w:val="none"/>
                <w:lang w:val="en-US" w:eastAsia="zh-CN" w:bidi="ar"/>
              </w:rPr>
              <w:t>29</w:t>
            </w:r>
          </w:p>
        </w:tc>
        <w:tc>
          <w:tcPr>
            <w:tcW w:w="3136" w:type="dxa"/>
            <w:noWrap w:val="0"/>
            <w:tcMar>
              <w:top w:w="15" w:type="dxa"/>
              <w:left w:w="15" w:type="dxa"/>
              <w:right w:w="15" w:type="dxa"/>
            </w:tcMar>
            <w:vAlign w:val="center"/>
          </w:tcPr>
          <w:p w14:paraId="15490E33">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Style w:val="7"/>
                <w:rFonts w:hint="default" w:ascii="Times New Roman" w:hAnsi="Times New Roman" w:cs="Times New Roman"/>
                <w:color w:val="0000FF"/>
                <w:sz w:val="20"/>
                <w:szCs w:val="20"/>
                <w:lang w:val="en-US" w:eastAsia="zh-CN" w:bidi="ar"/>
              </w:rPr>
              <w:t>食品添加剂</w:t>
            </w:r>
          </w:p>
        </w:tc>
        <w:tc>
          <w:tcPr>
            <w:tcW w:w="1983" w:type="dxa"/>
            <w:noWrap w:val="0"/>
            <w:tcMar>
              <w:top w:w="15" w:type="dxa"/>
              <w:left w:w="15" w:type="dxa"/>
              <w:right w:w="15" w:type="dxa"/>
            </w:tcMar>
            <w:vAlign w:val="center"/>
          </w:tcPr>
          <w:p w14:paraId="1CDB3ED0">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Fonts w:hint="default" w:ascii="Times New Roman" w:hAnsi="Times New Roman" w:eastAsia="宋体" w:cs="Times New Roman"/>
                <w:i w:val="0"/>
                <w:color w:val="0000FF"/>
                <w:kern w:val="0"/>
                <w:sz w:val="20"/>
                <w:szCs w:val="20"/>
                <w:u w:val="none"/>
                <w:lang w:val="en-US" w:eastAsia="zh-CN" w:bidi="ar"/>
              </w:rPr>
              <w:t>11</w:t>
            </w:r>
          </w:p>
        </w:tc>
        <w:tc>
          <w:tcPr>
            <w:tcW w:w="1619" w:type="dxa"/>
            <w:noWrap w:val="0"/>
            <w:tcMar>
              <w:top w:w="15" w:type="dxa"/>
              <w:left w:w="15" w:type="dxa"/>
              <w:right w:w="15" w:type="dxa"/>
            </w:tcMar>
            <w:vAlign w:val="center"/>
          </w:tcPr>
          <w:p w14:paraId="5787B732">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Fonts w:hint="default" w:ascii="Times New Roman" w:hAnsi="Times New Roman" w:eastAsia="宋体" w:cs="Times New Roman"/>
                <w:i w:val="0"/>
                <w:color w:val="0000FF"/>
                <w:kern w:val="0"/>
                <w:sz w:val="20"/>
                <w:szCs w:val="20"/>
                <w:u w:val="none"/>
                <w:lang w:val="en-US" w:eastAsia="zh-CN" w:bidi="ar"/>
              </w:rPr>
              <w:t>22043.34</w:t>
            </w:r>
          </w:p>
        </w:tc>
      </w:tr>
      <w:tr w14:paraId="1E2E7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trPr>
        <w:tc>
          <w:tcPr>
            <w:tcW w:w="1282" w:type="dxa"/>
            <w:noWrap w:val="0"/>
            <w:tcMar>
              <w:top w:w="15" w:type="dxa"/>
              <w:left w:w="15" w:type="dxa"/>
              <w:right w:w="15" w:type="dxa"/>
            </w:tcMar>
            <w:vAlign w:val="center"/>
          </w:tcPr>
          <w:p w14:paraId="62CF7EE0">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Fonts w:hint="default" w:ascii="Times New Roman" w:hAnsi="Times New Roman" w:eastAsia="宋体" w:cs="Times New Roman"/>
                <w:i w:val="0"/>
                <w:color w:val="0000FF"/>
                <w:kern w:val="0"/>
                <w:sz w:val="20"/>
                <w:szCs w:val="20"/>
                <w:u w:val="none"/>
                <w:lang w:val="en-US" w:eastAsia="zh-CN" w:bidi="ar"/>
              </w:rPr>
              <w:t>30</w:t>
            </w:r>
          </w:p>
        </w:tc>
        <w:tc>
          <w:tcPr>
            <w:tcW w:w="3136" w:type="dxa"/>
            <w:noWrap w:val="0"/>
            <w:tcMar>
              <w:top w:w="15" w:type="dxa"/>
              <w:left w:w="15" w:type="dxa"/>
              <w:right w:w="15" w:type="dxa"/>
            </w:tcMar>
            <w:vAlign w:val="center"/>
          </w:tcPr>
          <w:p w14:paraId="7E6F6CA8">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Style w:val="7"/>
                <w:rFonts w:hint="default" w:ascii="Times New Roman" w:hAnsi="Times New Roman" w:cs="Times New Roman"/>
                <w:color w:val="0000FF"/>
                <w:sz w:val="20"/>
                <w:szCs w:val="20"/>
                <w:lang w:val="en-US" w:eastAsia="zh-CN" w:bidi="ar"/>
              </w:rPr>
              <w:t>食用农产品</w:t>
            </w:r>
          </w:p>
        </w:tc>
        <w:tc>
          <w:tcPr>
            <w:tcW w:w="1983" w:type="dxa"/>
            <w:noWrap w:val="0"/>
            <w:tcMar>
              <w:top w:w="15" w:type="dxa"/>
              <w:left w:w="15" w:type="dxa"/>
              <w:right w:w="15" w:type="dxa"/>
            </w:tcMar>
            <w:vAlign w:val="center"/>
          </w:tcPr>
          <w:p w14:paraId="150B3F43">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Fonts w:hint="default" w:ascii="Times New Roman" w:hAnsi="Times New Roman" w:eastAsia="宋体" w:cs="Times New Roman"/>
                <w:i w:val="0"/>
                <w:color w:val="0000FF"/>
                <w:kern w:val="0"/>
                <w:sz w:val="20"/>
                <w:szCs w:val="20"/>
                <w:u w:val="none"/>
                <w:lang w:val="en-US" w:eastAsia="zh-CN" w:bidi="ar"/>
              </w:rPr>
              <w:t>151</w:t>
            </w:r>
          </w:p>
        </w:tc>
        <w:tc>
          <w:tcPr>
            <w:tcW w:w="1619" w:type="dxa"/>
            <w:noWrap w:val="0"/>
            <w:tcMar>
              <w:top w:w="15" w:type="dxa"/>
              <w:left w:w="15" w:type="dxa"/>
              <w:right w:w="15" w:type="dxa"/>
            </w:tcMar>
            <w:vAlign w:val="center"/>
          </w:tcPr>
          <w:p w14:paraId="5A864FE1">
            <w:pPr>
              <w:keepNext w:val="0"/>
              <w:keepLines w:val="0"/>
              <w:widowControl/>
              <w:suppressLineNumbers w:val="0"/>
              <w:jc w:val="center"/>
              <w:textAlignment w:val="center"/>
              <w:rPr>
                <w:rFonts w:hint="default" w:ascii="Times New Roman" w:hAnsi="Times New Roman" w:eastAsia="宋体" w:cs="Times New Roman"/>
                <w:i w:val="0"/>
                <w:color w:val="0000FF"/>
                <w:sz w:val="20"/>
                <w:szCs w:val="20"/>
                <w:u w:val="none"/>
              </w:rPr>
            </w:pPr>
            <w:r>
              <w:rPr>
                <w:rFonts w:hint="default" w:ascii="Times New Roman" w:hAnsi="Times New Roman" w:eastAsia="宋体" w:cs="Times New Roman"/>
                <w:i w:val="0"/>
                <w:color w:val="0000FF"/>
                <w:kern w:val="0"/>
                <w:sz w:val="20"/>
                <w:szCs w:val="20"/>
                <w:u w:val="none"/>
                <w:lang w:val="en-US" w:eastAsia="zh-CN" w:bidi="ar"/>
              </w:rPr>
              <w:t>302594.94</w:t>
            </w:r>
          </w:p>
        </w:tc>
      </w:tr>
      <w:tr w14:paraId="6C1DD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4" w:hRule="atLeast"/>
        </w:trPr>
        <w:tc>
          <w:tcPr>
            <w:tcW w:w="4418" w:type="dxa"/>
            <w:gridSpan w:val="2"/>
            <w:noWrap w:val="0"/>
            <w:tcMar>
              <w:top w:w="15" w:type="dxa"/>
              <w:left w:w="15" w:type="dxa"/>
              <w:right w:w="15" w:type="dxa"/>
            </w:tcMar>
            <w:vAlign w:val="center"/>
          </w:tcPr>
          <w:p w14:paraId="47A6A87F">
            <w:pPr>
              <w:keepNext w:val="0"/>
              <w:keepLines w:val="0"/>
              <w:widowControl/>
              <w:suppressLineNumbers w:val="0"/>
              <w:jc w:val="center"/>
              <w:textAlignment w:val="center"/>
              <w:rPr>
                <w:rStyle w:val="7"/>
                <w:rFonts w:hint="default" w:ascii="Times New Roman" w:hAnsi="Times New Roman" w:cs="Times New Roman"/>
                <w:color w:val="0000FF"/>
                <w:sz w:val="20"/>
                <w:szCs w:val="20"/>
                <w:lang w:val="en-US" w:eastAsia="zh-CN" w:bidi="ar"/>
              </w:rPr>
            </w:pPr>
            <w:r>
              <w:rPr>
                <w:rFonts w:hint="default" w:ascii="Times New Roman" w:hAnsi="Times New Roman" w:eastAsia="宋体" w:cs="Times New Roman"/>
                <w:b/>
                <w:i w:val="0"/>
                <w:color w:val="0000FF"/>
                <w:kern w:val="0"/>
                <w:sz w:val="20"/>
                <w:szCs w:val="20"/>
                <w:u w:val="none"/>
                <w:lang w:val="en-US" w:eastAsia="zh-CN" w:bidi="ar"/>
              </w:rPr>
              <w:t>合计</w:t>
            </w:r>
          </w:p>
        </w:tc>
        <w:tc>
          <w:tcPr>
            <w:tcW w:w="1983" w:type="dxa"/>
            <w:noWrap w:val="0"/>
            <w:tcMar>
              <w:top w:w="15" w:type="dxa"/>
              <w:left w:w="15" w:type="dxa"/>
              <w:right w:w="15" w:type="dxa"/>
            </w:tcMar>
            <w:vAlign w:val="center"/>
          </w:tcPr>
          <w:p w14:paraId="0002623A">
            <w:pPr>
              <w:keepNext w:val="0"/>
              <w:keepLines w:val="0"/>
              <w:widowControl/>
              <w:suppressLineNumbers w:val="0"/>
              <w:jc w:val="center"/>
              <w:textAlignment w:val="center"/>
              <w:rPr>
                <w:rFonts w:hint="default" w:ascii="Times New Roman" w:hAnsi="Times New Roman" w:eastAsia="宋体" w:cs="Times New Roman"/>
                <w:i w:val="0"/>
                <w:color w:val="0000FF"/>
                <w:kern w:val="0"/>
                <w:sz w:val="20"/>
                <w:szCs w:val="20"/>
                <w:u w:val="none"/>
                <w:lang w:val="en-US" w:eastAsia="zh-CN" w:bidi="ar"/>
              </w:rPr>
            </w:pPr>
            <w:r>
              <w:rPr>
                <w:rFonts w:hint="default" w:ascii="Times New Roman" w:hAnsi="Times New Roman" w:eastAsia="宋体" w:cs="Times New Roman"/>
                <w:b/>
                <w:i w:val="0"/>
                <w:color w:val="0000FF"/>
                <w:kern w:val="0"/>
                <w:sz w:val="20"/>
                <w:szCs w:val="20"/>
                <w:u w:val="none"/>
                <w:lang w:val="en-US" w:eastAsia="zh-CN" w:bidi="ar"/>
              </w:rPr>
              <w:t>1032</w:t>
            </w:r>
          </w:p>
        </w:tc>
        <w:tc>
          <w:tcPr>
            <w:tcW w:w="1619" w:type="dxa"/>
            <w:noWrap w:val="0"/>
            <w:tcMar>
              <w:top w:w="15" w:type="dxa"/>
              <w:left w:w="15" w:type="dxa"/>
              <w:right w:w="15" w:type="dxa"/>
            </w:tcMar>
            <w:vAlign w:val="center"/>
          </w:tcPr>
          <w:p w14:paraId="4985790A">
            <w:pPr>
              <w:keepNext w:val="0"/>
              <w:keepLines w:val="0"/>
              <w:widowControl/>
              <w:suppressLineNumbers w:val="0"/>
              <w:jc w:val="center"/>
              <w:textAlignment w:val="center"/>
              <w:rPr>
                <w:rFonts w:hint="default" w:ascii="Times New Roman" w:hAnsi="Times New Roman" w:eastAsia="宋体" w:cs="Times New Roman"/>
                <w:i w:val="0"/>
                <w:color w:val="0000FF"/>
                <w:kern w:val="0"/>
                <w:sz w:val="20"/>
                <w:szCs w:val="20"/>
                <w:u w:val="none"/>
                <w:lang w:val="en-US" w:eastAsia="zh-CN" w:bidi="ar"/>
              </w:rPr>
            </w:pPr>
            <w:r>
              <w:rPr>
                <w:rFonts w:hint="default" w:ascii="Times New Roman" w:hAnsi="Times New Roman" w:eastAsia="宋体" w:cs="Times New Roman"/>
                <w:b/>
                <w:i w:val="0"/>
                <w:color w:val="0000FF"/>
                <w:kern w:val="0"/>
                <w:sz w:val="20"/>
                <w:szCs w:val="20"/>
                <w:u w:val="none"/>
                <w:lang w:val="en-US" w:eastAsia="zh-CN" w:bidi="ar"/>
              </w:rPr>
              <w:t>2068066.08</w:t>
            </w:r>
          </w:p>
        </w:tc>
      </w:tr>
    </w:tbl>
    <w:p w14:paraId="4C4465CD">
      <w:pPr>
        <w:pStyle w:val="6"/>
        <w:spacing w:line="360" w:lineRule="auto"/>
        <w:jc w:val="both"/>
        <w:outlineLvl w:val="2"/>
        <w:rPr>
          <w:rFonts w:hint="eastAsia" w:ascii="宋体" w:hAnsi="宋体" w:eastAsia="宋体" w:cs="宋体"/>
          <w:b/>
          <w:color w:val="FF0000"/>
          <w:sz w:val="20"/>
          <w:szCs w:val="20"/>
        </w:rPr>
      </w:pPr>
    </w:p>
    <w:p w14:paraId="0ACD258D">
      <w:pPr>
        <w:rPr>
          <w:rFonts w:hint="eastAsia" w:ascii="宋体" w:hAnsi="宋体" w:eastAsia="宋体" w:cs="宋体"/>
          <w:b/>
          <w:color w:val="FF0000"/>
          <w:sz w:val="20"/>
          <w:szCs w:val="20"/>
        </w:rPr>
      </w:pPr>
      <w:r>
        <w:rPr>
          <w:rFonts w:hint="eastAsia" w:ascii="宋体" w:hAnsi="宋体" w:eastAsia="宋体" w:cs="宋体"/>
          <w:b/>
          <w:color w:val="FF0000"/>
          <w:sz w:val="20"/>
          <w:szCs w:val="20"/>
        </w:rPr>
        <w:br w:type="page"/>
      </w:r>
    </w:p>
    <w:p w14:paraId="01973551">
      <w:pPr>
        <w:pStyle w:val="6"/>
        <w:spacing w:line="360" w:lineRule="auto"/>
        <w:jc w:val="both"/>
        <w:outlineLvl w:val="2"/>
        <w:rPr>
          <w:rFonts w:hint="eastAsia" w:ascii="宋体" w:hAnsi="宋体" w:eastAsia="宋体" w:cs="宋体"/>
          <w:color w:val="FF0000"/>
          <w:sz w:val="20"/>
          <w:szCs w:val="20"/>
        </w:rPr>
      </w:pPr>
      <w:r>
        <w:rPr>
          <w:rFonts w:hint="eastAsia" w:ascii="宋体" w:hAnsi="宋体" w:eastAsia="宋体" w:cs="宋体"/>
          <w:b/>
          <w:color w:val="FF0000"/>
          <w:sz w:val="20"/>
          <w:szCs w:val="20"/>
        </w:rPr>
        <w:t>二、技术和服务要求（以“★”标示的内容为不允许负偏离的实质性要求）</w:t>
      </w:r>
    </w:p>
    <w:p w14:paraId="08D75882">
      <w:pPr>
        <w:pStyle w:val="6"/>
        <w:keepNext w:val="0"/>
        <w:keepLines w:val="0"/>
        <w:pageBreakBefore w:val="0"/>
        <w:widowControl/>
        <w:kinsoku/>
        <w:wordWrap/>
        <w:overflowPunct/>
        <w:topLinePunct w:val="0"/>
        <w:autoSpaceDE/>
        <w:autoSpaceDN/>
        <w:bidi w:val="0"/>
        <w:adjustRightInd w:val="0"/>
        <w:snapToGrid w:val="0"/>
        <w:spacing w:line="360" w:lineRule="auto"/>
        <w:ind w:firstLine="400" w:firstLineChars="200"/>
        <w:jc w:val="left"/>
        <w:textAlignment w:val="auto"/>
        <w:rPr>
          <w:rFonts w:hint="eastAsia" w:ascii="宋体" w:hAnsi="宋体" w:eastAsia="宋体" w:cs="宋体"/>
          <w:b w:val="0"/>
          <w:bCs/>
          <w:color w:val="FF0000"/>
          <w:sz w:val="20"/>
          <w:szCs w:val="20"/>
          <w:highlight w:val="none"/>
          <w:u w:val="none"/>
          <w:shd w:val="clear" w:color="auto" w:fill="FFFFFF"/>
          <w:lang w:val="en-US" w:eastAsia="zh-CN"/>
        </w:rPr>
      </w:pPr>
      <w:r>
        <w:rPr>
          <w:rFonts w:hint="eastAsia" w:ascii="宋体" w:hAnsi="宋体" w:eastAsia="宋体" w:cs="宋体"/>
          <w:b w:val="0"/>
          <w:bCs/>
          <w:color w:val="FF0000"/>
          <w:sz w:val="20"/>
          <w:szCs w:val="20"/>
          <w:highlight w:val="none"/>
          <w:u w:val="none"/>
          <w:shd w:val="clear" w:color="auto" w:fill="FFFFFF"/>
          <w:lang w:val="en-US" w:eastAsia="zh-CN"/>
        </w:rPr>
        <w:t>以下条款适用于：采购包1、采购包2、采购包3</w:t>
      </w:r>
    </w:p>
    <w:p w14:paraId="349EB006">
      <w:pPr>
        <w:pStyle w:val="6"/>
        <w:keepNext w:val="0"/>
        <w:keepLines w:val="0"/>
        <w:pageBreakBefore w:val="0"/>
        <w:widowControl/>
        <w:kinsoku/>
        <w:wordWrap/>
        <w:overflowPunct/>
        <w:topLinePunct w:val="0"/>
        <w:autoSpaceDE/>
        <w:autoSpaceDN/>
        <w:bidi w:val="0"/>
        <w:adjustRightInd w:val="0"/>
        <w:snapToGrid w:val="0"/>
        <w:spacing w:line="360" w:lineRule="auto"/>
        <w:ind w:firstLine="400" w:firstLineChars="200"/>
        <w:jc w:val="left"/>
        <w:textAlignment w:val="auto"/>
        <w:rPr>
          <w:rFonts w:hint="eastAsia" w:ascii="宋体" w:hAnsi="宋体" w:eastAsia="宋体" w:cs="宋体"/>
          <w:b w:val="0"/>
          <w:bCs/>
          <w:color w:val="FF0000"/>
          <w:sz w:val="20"/>
          <w:szCs w:val="20"/>
          <w:highlight w:val="none"/>
          <w:u w:val="none"/>
        </w:rPr>
      </w:pPr>
      <w:r>
        <w:rPr>
          <w:rFonts w:hint="eastAsia" w:ascii="宋体" w:hAnsi="宋体" w:eastAsia="宋体" w:cs="宋体"/>
          <w:b w:val="0"/>
          <w:bCs/>
          <w:color w:val="FF0000"/>
          <w:sz w:val="20"/>
          <w:szCs w:val="20"/>
          <w:highlight w:val="none"/>
          <w:shd w:val="clear" w:color="auto" w:fill="FFFFFF"/>
        </w:rPr>
        <w:t>★</w:t>
      </w:r>
      <w:r>
        <w:rPr>
          <w:rFonts w:hint="eastAsia" w:ascii="宋体" w:hAnsi="宋体" w:eastAsia="宋体" w:cs="宋体"/>
          <w:b w:val="0"/>
          <w:bCs/>
          <w:color w:val="FF0000"/>
          <w:sz w:val="20"/>
          <w:szCs w:val="20"/>
          <w:highlight w:val="none"/>
          <w:u w:val="none"/>
          <w:shd w:val="clear" w:color="auto" w:fill="FFFFFF"/>
          <w:lang w:val="en-US" w:eastAsia="zh-CN"/>
        </w:rPr>
        <w:t>1.</w:t>
      </w:r>
      <w:r>
        <w:rPr>
          <w:rFonts w:hint="eastAsia" w:ascii="宋体" w:hAnsi="宋体" w:eastAsia="宋体" w:cs="宋体"/>
          <w:b w:val="0"/>
          <w:bCs/>
          <w:color w:val="FF0000"/>
          <w:sz w:val="20"/>
          <w:szCs w:val="20"/>
          <w:highlight w:val="none"/>
          <w:u w:val="none"/>
          <w:shd w:val="clear" w:color="auto" w:fill="FFFFFF"/>
        </w:rPr>
        <w:t>投标人或其实验室所能够承担的食品检测项目应涵盖所投采购包检测项目的85%及以上（以计量认证资质证书（CMA）的证书附表为准），证书中所列项目必须与国家市场总局《国家食品安全监督抽检实施细则（</w:t>
      </w:r>
      <w:r>
        <w:rPr>
          <w:rFonts w:hint="eastAsia" w:ascii="宋体" w:hAnsi="宋体" w:eastAsia="宋体" w:cs="宋体"/>
          <w:b w:val="0"/>
          <w:bCs/>
          <w:color w:val="FF0000"/>
          <w:sz w:val="20"/>
          <w:szCs w:val="20"/>
          <w:highlight w:val="none"/>
          <w:u w:val="none"/>
          <w:shd w:val="clear" w:color="auto" w:fill="FFFFFF"/>
          <w:lang w:eastAsia="zh-CN"/>
        </w:rPr>
        <w:t>2024年版</w:t>
      </w:r>
      <w:r>
        <w:rPr>
          <w:rFonts w:hint="eastAsia" w:ascii="宋体" w:hAnsi="宋体" w:eastAsia="宋体" w:cs="宋体"/>
          <w:b w:val="0"/>
          <w:bCs/>
          <w:color w:val="FF0000"/>
          <w:sz w:val="20"/>
          <w:szCs w:val="20"/>
          <w:highlight w:val="none"/>
          <w:u w:val="none"/>
          <w:shd w:val="clear" w:color="auto" w:fill="FFFFFF"/>
        </w:rPr>
        <w:t>）》规定的检验项目、检测方法及检验依据一致。投标人须提供营业执照复印件（含扫描件）、实验室资质认定证书（含附表）、实验室的自有产权或租赁合同复印件（含扫描件）、</w:t>
      </w:r>
      <w:r>
        <w:rPr>
          <w:rFonts w:hint="eastAsia" w:ascii="宋体" w:hAnsi="宋体" w:eastAsia="宋体" w:cs="宋体"/>
          <w:b/>
          <w:bCs w:val="0"/>
          <w:color w:val="FF0000"/>
          <w:sz w:val="20"/>
          <w:szCs w:val="20"/>
          <w:highlight w:val="none"/>
          <w:u w:val="none"/>
          <w:shd w:val="clear" w:color="auto" w:fill="FFFFFF"/>
        </w:rPr>
        <w:t>承诺书</w:t>
      </w:r>
      <w:r>
        <w:rPr>
          <w:rFonts w:hint="eastAsia" w:ascii="宋体" w:hAnsi="宋体" w:eastAsia="宋体" w:cs="宋体"/>
          <w:b w:val="0"/>
          <w:bCs/>
          <w:color w:val="FF0000"/>
          <w:sz w:val="20"/>
          <w:szCs w:val="20"/>
          <w:highlight w:val="none"/>
          <w:u w:val="none"/>
          <w:shd w:val="clear" w:color="auto" w:fill="FFFFFF"/>
        </w:rPr>
        <w:t>（承诺投标材料真实有效，如与事实不符承担相应法律责任），如还有其他相关佐证材料的，可一并提供；以上材料缺一不可，否则投标无效。</w:t>
      </w:r>
    </w:p>
    <w:p w14:paraId="71431C20">
      <w:pPr>
        <w:pStyle w:val="6"/>
        <w:keepNext w:val="0"/>
        <w:keepLines w:val="0"/>
        <w:pageBreakBefore w:val="0"/>
        <w:widowControl/>
        <w:kinsoku/>
        <w:wordWrap/>
        <w:overflowPunct/>
        <w:topLinePunct w:val="0"/>
        <w:autoSpaceDE/>
        <w:autoSpaceDN/>
        <w:bidi w:val="0"/>
        <w:adjustRightInd w:val="0"/>
        <w:snapToGrid w:val="0"/>
        <w:spacing w:line="360" w:lineRule="auto"/>
        <w:ind w:firstLine="400" w:firstLineChars="200"/>
        <w:jc w:val="left"/>
        <w:textAlignment w:val="auto"/>
        <w:rPr>
          <w:rFonts w:hint="eastAsia" w:ascii="宋体" w:hAnsi="宋体" w:eastAsia="宋体" w:cs="宋体"/>
          <w:b w:val="0"/>
          <w:bCs/>
          <w:color w:val="FF0000"/>
          <w:sz w:val="20"/>
          <w:szCs w:val="20"/>
          <w:highlight w:val="none"/>
        </w:rPr>
      </w:pPr>
      <w:r>
        <w:rPr>
          <w:rFonts w:hint="eastAsia" w:ascii="宋体" w:hAnsi="宋体" w:eastAsia="宋体" w:cs="宋体"/>
          <w:b w:val="0"/>
          <w:bCs/>
          <w:color w:val="FF0000"/>
          <w:sz w:val="20"/>
          <w:szCs w:val="20"/>
          <w:highlight w:val="none"/>
          <w:shd w:val="clear" w:color="auto" w:fill="FFFFFF"/>
        </w:rPr>
        <w:t>★2.投标人必须具备有能够对抽样全过程进行录像的相关设备（如执法存证仪等）。如提供虚假证明材料；或在任务执行过程中，经查未使用相关设备对抽样全过程进行录像，采购人有权中止投标人所中采购包的承检资格，经调查核实情况属实，视情况扣减相应的费用。投标人需提供相应仪器设备购置发票或其他证明资料的复印件（含扫描件）和</w:t>
      </w:r>
      <w:r>
        <w:rPr>
          <w:rFonts w:hint="eastAsia" w:ascii="宋体" w:hAnsi="宋体" w:eastAsia="宋体" w:cs="宋体"/>
          <w:b/>
          <w:bCs w:val="0"/>
          <w:color w:val="FF0000"/>
          <w:sz w:val="20"/>
          <w:szCs w:val="20"/>
          <w:highlight w:val="none"/>
          <w:shd w:val="clear" w:color="auto" w:fill="FFFFFF"/>
        </w:rPr>
        <w:t>真实性承诺书</w:t>
      </w:r>
      <w:r>
        <w:rPr>
          <w:rFonts w:hint="eastAsia" w:ascii="宋体" w:hAnsi="宋体" w:eastAsia="宋体" w:cs="宋体"/>
          <w:b w:val="0"/>
          <w:bCs/>
          <w:color w:val="FF0000"/>
          <w:sz w:val="20"/>
          <w:szCs w:val="20"/>
          <w:highlight w:val="none"/>
          <w:shd w:val="clear" w:color="auto" w:fill="FFFFFF"/>
        </w:rPr>
        <w:t>，未提供本承诺书的其投标无效。</w:t>
      </w:r>
    </w:p>
    <w:p w14:paraId="257C2A9F">
      <w:pPr>
        <w:pStyle w:val="6"/>
        <w:keepNext w:val="0"/>
        <w:keepLines w:val="0"/>
        <w:pageBreakBefore w:val="0"/>
        <w:widowControl/>
        <w:kinsoku/>
        <w:wordWrap/>
        <w:overflowPunct/>
        <w:topLinePunct w:val="0"/>
        <w:autoSpaceDE/>
        <w:autoSpaceDN/>
        <w:bidi w:val="0"/>
        <w:adjustRightInd w:val="0"/>
        <w:snapToGrid w:val="0"/>
        <w:spacing w:line="360" w:lineRule="auto"/>
        <w:ind w:firstLine="400" w:firstLineChars="200"/>
        <w:jc w:val="left"/>
        <w:textAlignment w:val="auto"/>
        <w:rPr>
          <w:rFonts w:hint="eastAsia" w:ascii="宋体" w:hAnsi="宋体" w:eastAsia="宋体" w:cs="宋体"/>
          <w:b w:val="0"/>
          <w:bCs/>
          <w:color w:val="FF0000"/>
          <w:sz w:val="20"/>
          <w:szCs w:val="20"/>
          <w:highlight w:val="none"/>
        </w:rPr>
      </w:pPr>
      <w:r>
        <w:rPr>
          <w:rFonts w:hint="eastAsia" w:ascii="宋体" w:hAnsi="宋体" w:eastAsia="宋体" w:cs="宋体"/>
          <w:b w:val="0"/>
          <w:bCs/>
          <w:color w:val="FF0000"/>
          <w:sz w:val="20"/>
          <w:szCs w:val="20"/>
          <w:highlight w:val="none"/>
          <w:shd w:val="clear" w:color="auto" w:fill="FFFFFF"/>
        </w:rPr>
        <w:t>★3.抽样方案</w:t>
      </w:r>
    </w:p>
    <w:p w14:paraId="38FA1330">
      <w:pPr>
        <w:pStyle w:val="6"/>
        <w:keepNext w:val="0"/>
        <w:keepLines w:val="0"/>
        <w:pageBreakBefore w:val="0"/>
        <w:widowControl/>
        <w:kinsoku/>
        <w:wordWrap/>
        <w:overflowPunct/>
        <w:topLinePunct w:val="0"/>
        <w:autoSpaceDE/>
        <w:autoSpaceDN/>
        <w:bidi w:val="0"/>
        <w:adjustRightInd w:val="0"/>
        <w:snapToGrid w:val="0"/>
        <w:spacing w:line="360" w:lineRule="auto"/>
        <w:ind w:firstLine="400" w:firstLineChars="200"/>
        <w:jc w:val="left"/>
        <w:textAlignment w:val="auto"/>
        <w:rPr>
          <w:rFonts w:hint="eastAsia" w:ascii="宋体" w:hAnsi="宋体" w:eastAsia="宋体" w:cs="宋体"/>
          <w:b w:val="0"/>
          <w:bCs/>
          <w:color w:val="FF0000"/>
          <w:sz w:val="20"/>
          <w:szCs w:val="20"/>
          <w:highlight w:val="none"/>
          <w:lang w:eastAsia="zh-CN"/>
        </w:rPr>
      </w:pPr>
      <w:r>
        <w:rPr>
          <w:rFonts w:hint="eastAsia" w:ascii="宋体" w:hAnsi="宋体" w:eastAsia="宋体" w:cs="宋体"/>
          <w:b w:val="0"/>
          <w:bCs/>
          <w:color w:val="FF0000"/>
          <w:sz w:val="20"/>
          <w:szCs w:val="20"/>
          <w:highlight w:val="none"/>
          <w:shd w:val="clear" w:color="auto" w:fill="FFFFFF"/>
        </w:rPr>
        <w:t>投标人必须制定具体的抽样实施方案，必须包含以下内容：抽样布点，覆盖率要求，进度要求，任务分配，买样计划等。其中“抽样布点”、“覆盖率要求”两点内容所需资料待中标结果发布后分发中标人，中标人应在收到中标通知书之日起3日内按下列要求完善抽样实施方案并提交采购人</w:t>
      </w:r>
      <w:r>
        <w:rPr>
          <w:rFonts w:hint="eastAsia" w:ascii="宋体" w:hAnsi="宋体" w:eastAsia="宋体" w:cs="宋体"/>
          <w:b w:val="0"/>
          <w:bCs/>
          <w:color w:val="FF0000"/>
          <w:sz w:val="20"/>
          <w:szCs w:val="20"/>
          <w:highlight w:val="none"/>
          <w:shd w:val="clear" w:color="auto" w:fill="FFFFFF"/>
          <w:lang w:eastAsia="zh-CN"/>
        </w:rPr>
        <w:t>。</w:t>
      </w:r>
    </w:p>
    <w:p w14:paraId="37FAE26F">
      <w:pPr>
        <w:pStyle w:val="6"/>
        <w:keepNext w:val="0"/>
        <w:keepLines w:val="0"/>
        <w:pageBreakBefore w:val="0"/>
        <w:widowControl/>
        <w:kinsoku/>
        <w:wordWrap/>
        <w:overflowPunct/>
        <w:topLinePunct w:val="0"/>
        <w:autoSpaceDE/>
        <w:autoSpaceDN/>
        <w:bidi w:val="0"/>
        <w:adjustRightInd w:val="0"/>
        <w:snapToGrid w:val="0"/>
        <w:spacing w:line="360" w:lineRule="auto"/>
        <w:ind w:firstLine="400" w:firstLineChars="200"/>
        <w:jc w:val="left"/>
        <w:textAlignment w:val="auto"/>
        <w:rPr>
          <w:rFonts w:hint="eastAsia" w:ascii="宋体" w:hAnsi="宋体" w:eastAsia="宋体" w:cs="宋体"/>
          <w:b w:val="0"/>
          <w:bCs/>
          <w:color w:val="FF0000"/>
          <w:sz w:val="20"/>
          <w:szCs w:val="20"/>
          <w:highlight w:val="none"/>
        </w:rPr>
      </w:pPr>
      <w:r>
        <w:rPr>
          <w:rFonts w:hint="eastAsia" w:ascii="宋体" w:hAnsi="宋体" w:eastAsia="宋体" w:cs="宋体"/>
          <w:b w:val="0"/>
          <w:bCs/>
          <w:color w:val="FF0000"/>
          <w:sz w:val="20"/>
          <w:szCs w:val="20"/>
          <w:highlight w:val="none"/>
          <w:shd w:val="clear" w:color="auto" w:fill="FFFFFF"/>
        </w:rPr>
        <w:t>3.1 抽样布点：抽样地点应覆盖本行政区域内省会城市、地级市、县、乡和行政村。抽检的样品主要在流通环节购买。流通环节未抽到的样品，可在生产环节抽取。流通环节采样应涵盖批发市场、农贸市场、商场、超市、小食杂店等不同业态。餐饮环节采样重点为学校和托幼机构食堂以及中央厨房、集体用餐配送单位、旅游景区餐饮服务单位等。布点内容应包括：抽样时间、抽样区域（具体到县级辖区）、抽样品种（按实施细则食品四级分类）、抽样场所、抽样数量、买样预算。</w:t>
      </w:r>
    </w:p>
    <w:p w14:paraId="4B6A1043">
      <w:pPr>
        <w:pStyle w:val="6"/>
        <w:keepNext w:val="0"/>
        <w:keepLines w:val="0"/>
        <w:pageBreakBefore w:val="0"/>
        <w:widowControl/>
        <w:kinsoku/>
        <w:wordWrap/>
        <w:overflowPunct/>
        <w:topLinePunct w:val="0"/>
        <w:autoSpaceDE/>
        <w:autoSpaceDN/>
        <w:bidi w:val="0"/>
        <w:adjustRightInd w:val="0"/>
        <w:snapToGrid w:val="0"/>
        <w:spacing w:line="360" w:lineRule="auto"/>
        <w:ind w:firstLine="400" w:firstLineChars="200"/>
        <w:jc w:val="left"/>
        <w:textAlignment w:val="auto"/>
        <w:rPr>
          <w:rFonts w:hint="eastAsia" w:ascii="宋体" w:hAnsi="宋体" w:eastAsia="宋体" w:cs="宋体"/>
          <w:b w:val="0"/>
          <w:bCs/>
          <w:color w:val="FF0000"/>
          <w:sz w:val="20"/>
          <w:szCs w:val="20"/>
          <w:highlight w:val="none"/>
        </w:rPr>
      </w:pPr>
      <w:r>
        <w:rPr>
          <w:rFonts w:hint="eastAsia" w:ascii="宋体" w:hAnsi="宋体" w:eastAsia="宋体" w:cs="宋体"/>
          <w:b w:val="0"/>
          <w:bCs/>
          <w:color w:val="FF0000"/>
          <w:sz w:val="20"/>
          <w:szCs w:val="20"/>
          <w:highlight w:val="none"/>
          <w:shd w:val="clear" w:color="auto" w:fill="FFFFFF"/>
        </w:rPr>
        <w:t>3.2 覆盖率要求：抽样样品100%覆盖在产全省食品获证生产企业的产品（因客观因素无法满足的，必须即时向采购人报告，并征得同意后进行合理调整）。</w:t>
      </w:r>
    </w:p>
    <w:p w14:paraId="127E9DF9">
      <w:pPr>
        <w:pStyle w:val="6"/>
        <w:keepNext w:val="0"/>
        <w:keepLines w:val="0"/>
        <w:pageBreakBefore w:val="0"/>
        <w:widowControl/>
        <w:kinsoku/>
        <w:wordWrap/>
        <w:overflowPunct/>
        <w:topLinePunct w:val="0"/>
        <w:autoSpaceDE/>
        <w:autoSpaceDN/>
        <w:bidi w:val="0"/>
        <w:adjustRightInd w:val="0"/>
        <w:snapToGrid w:val="0"/>
        <w:spacing w:line="360" w:lineRule="auto"/>
        <w:ind w:firstLine="400" w:firstLineChars="200"/>
        <w:jc w:val="left"/>
        <w:textAlignment w:val="auto"/>
        <w:rPr>
          <w:rFonts w:hint="eastAsia" w:ascii="宋体" w:hAnsi="宋体" w:eastAsia="宋体" w:cs="宋体"/>
          <w:b w:val="0"/>
          <w:bCs/>
          <w:color w:val="FF0000"/>
          <w:sz w:val="20"/>
          <w:szCs w:val="20"/>
          <w:highlight w:val="none"/>
        </w:rPr>
      </w:pPr>
      <w:r>
        <w:rPr>
          <w:rFonts w:hint="eastAsia" w:ascii="宋体" w:hAnsi="宋体" w:eastAsia="宋体" w:cs="宋体"/>
          <w:b w:val="0"/>
          <w:bCs/>
          <w:color w:val="FF0000"/>
          <w:sz w:val="20"/>
          <w:szCs w:val="20"/>
          <w:highlight w:val="none"/>
          <w:shd w:val="clear" w:color="auto" w:fill="FFFFFF"/>
        </w:rPr>
        <w:t>3.3 进度要求： 截止202</w:t>
      </w:r>
      <w:r>
        <w:rPr>
          <w:rFonts w:hint="eastAsia" w:ascii="宋体" w:hAnsi="宋体" w:eastAsia="宋体" w:cs="宋体"/>
          <w:b w:val="0"/>
          <w:bCs/>
          <w:color w:val="FF0000"/>
          <w:sz w:val="20"/>
          <w:szCs w:val="20"/>
          <w:highlight w:val="none"/>
          <w:shd w:val="clear" w:color="auto" w:fill="FFFFFF"/>
          <w:lang w:val="en-US" w:eastAsia="zh-CN"/>
        </w:rPr>
        <w:t>4</w:t>
      </w:r>
      <w:r>
        <w:rPr>
          <w:rFonts w:hint="eastAsia" w:ascii="宋体" w:hAnsi="宋体" w:eastAsia="宋体" w:cs="宋体"/>
          <w:b w:val="0"/>
          <w:bCs/>
          <w:color w:val="FF0000"/>
          <w:sz w:val="20"/>
          <w:szCs w:val="20"/>
          <w:highlight w:val="none"/>
          <w:shd w:val="clear" w:color="auto" w:fill="FFFFFF"/>
        </w:rPr>
        <w:t>年11月30日前，每月需均衡完成抽检任务，并按要求将全部抽检数据报送至“国家食品安全抽样检验信息系统”。</w:t>
      </w:r>
    </w:p>
    <w:p w14:paraId="0FB1ACAB">
      <w:pPr>
        <w:pStyle w:val="6"/>
        <w:keepNext w:val="0"/>
        <w:keepLines w:val="0"/>
        <w:pageBreakBefore w:val="0"/>
        <w:widowControl/>
        <w:kinsoku/>
        <w:wordWrap/>
        <w:overflowPunct/>
        <w:topLinePunct w:val="0"/>
        <w:autoSpaceDE/>
        <w:autoSpaceDN/>
        <w:bidi w:val="0"/>
        <w:adjustRightInd w:val="0"/>
        <w:snapToGrid w:val="0"/>
        <w:spacing w:line="360" w:lineRule="auto"/>
        <w:ind w:firstLine="400" w:firstLineChars="200"/>
        <w:jc w:val="left"/>
        <w:textAlignment w:val="auto"/>
        <w:rPr>
          <w:rFonts w:hint="eastAsia" w:ascii="宋体" w:hAnsi="宋体" w:eastAsia="宋体" w:cs="宋体"/>
          <w:b w:val="0"/>
          <w:bCs/>
          <w:color w:val="FF0000"/>
          <w:sz w:val="20"/>
          <w:szCs w:val="20"/>
          <w:highlight w:val="none"/>
        </w:rPr>
      </w:pPr>
      <w:r>
        <w:rPr>
          <w:rFonts w:hint="eastAsia" w:ascii="宋体" w:hAnsi="宋体" w:eastAsia="宋体" w:cs="宋体"/>
          <w:b w:val="0"/>
          <w:bCs/>
          <w:color w:val="FF0000"/>
          <w:sz w:val="20"/>
          <w:szCs w:val="20"/>
          <w:highlight w:val="none"/>
          <w:shd w:val="clear" w:color="auto" w:fill="FFFFFF"/>
        </w:rPr>
        <w:t>3.4 任务分配：此次监督抽检任务在福建省行政区域范围内开展，对各设区市抽样批次量的分配比例如下：福州（18.4%）、厦门（10%）、漳州（13%）、泉州（22.2%）、三明（6.6%）、莆田（7.5%）、南平（6.9%）龙岩（6.8%）、宁德（7.5%）、平潭（1.1%）。</w:t>
      </w:r>
    </w:p>
    <w:p w14:paraId="54242720">
      <w:pPr>
        <w:pStyle w:val="6"/>
        <w:keepNext w:val="0"/>
        <w:keepLines w:val="0"/>
        <w:pageBreakBefore w:val="0"/>
        <w:widowControl/>
        <w:kinsoku/>
        <w:wordWrap/>
        <w:overflowPunct/>
        <w:topLinePunct w:val="0"/>
        <w:autoSpaceDE/>
        <w:autoSpaceDN/>
        <w:bidi w:val="0"/>
        <w:adjustRightInd w:val="0"/>
        <w:snapToGrid w:val="0"/>
        <w:spacing w:line="360" w:lineRule="auto"/>
        <w:ind w:firstLine="400" w:firstLineChars="200"/>
        <w:jc w:val="left"/>
        <w:textAlignment w:val="auto"/>
        <w:rPr>
          <w:rFonts w:hint="eastAsia" w:ascii="宋体" w:hAnsi="宋体" w:eastAsia="宋体" w:cs="宋体"/>
          <w:b w:val="0"/>
          <w:bCs/>
          <w:color w:val="FF0000"/>
          <w:sz w:val="20"/>
          <w:szCs w:val="20"/>
          <w:highlight w:val="none"/>
        </w:rPr>
      </w:pPr>
      <w:r>
        <w:rPr>
          <w:rFonts w:hint="eastAsia" w:ascii="宋体" w:hAnsi="宋体" w:eastAsia="宋体" w:cs="宋体"/>
          <w:b w:val="0"/>
          <w:bCs/>
          <w:color w:val="FF0000"/>
          <w:sz w:val="20"/>
          <w:szCs w:val="20"/>
          <w:highlight w:val="none"/>
          <w:shd w:val="clear" w:color="auto" w:fill="FFFFFF"/>
        </w:rPr>
        <w:t>3.5 买样计划：抽样样品的高端品种（即高于本采购包平均每批次买样费用25%以上的品种）须占中标批次的20%以上。</w:t>
      </w:r>
    </w:p>
    <w:p w14:paraId="0B43B234">
      <w:pPr>
        <w:pStyle w:val="6"/>
        <w:keepNext w:val="0"/>
        <w:keepLines w:val="0"/>
        <w:pageBreakBefore w:val="0"/>
        <w:widowControl/>
        <w:kinsoku/>
        <w:wordWrap/>
        <w:overflowPunct/>
        <w:topLinePunct w:val="0"/>
        <w:autoSpaceDE/>
        <w:autoSpaceDN/>
        <w:bidi w:val="0"/>
        <w:adjustRightInd w:val="0"/>
        <w:snapToGrid w:val="0"/>
        <w:spacing w:line="360" w:lineRule="auto"/>
        <w:ind w:firstLine="400" w:firstLineChars="200"/>
        <w:jc w:val="left"/>
        <w:textAlignment w:val="auto"/>
        <w:rPr>
          <w:rFonts w:hint="eastAsia" w:ascii="宋体" w:hAnsi="宋体" w:eastAsia="宋体" w:cs="宋体"/>
          <w:b w:val="0"/>
          <w:bCs/>
          <w:color w:val="FF0000"/>
          <w:sz w:val="20"/>
          <w:szCs w:val="20"/>
          <w:highlight w:val="none"/>
        </w:rPr>
      </w:pPr>
      <w:r>
        <w:rPr>
          <w:rFonts w:hint="eastAsia" w:ascii="宋体" w:hAnsi="宋体" w:eastAsia="宋体" w:cs="宋体"/>
          <w:b w:val="0"/>
          <w:bCs/>
          <w:color w:val="FF0000"/>
          <w:sz w:val="20"/>
          <w:szCs w:val="20"/>
          <w:highlight w:val="none"/>
          <w:shd w:val="clear" w:color="auto" w:fill="FFFFFF"/>
        </w:rPr>
        <w:t>3.6 不合格率要求：中标人所中标采购包食品类别的监督抽检总体不合格率不低于</w:t>
      </w:r>
      <w:r>
        <w:rPr>
          <w:rFonts w:hint="eastAsia" w:ascii="宋体" w:hAnsi="宋体" w:eastAsia="宋体" w:cs="宋体"/>
          <w:b w:val="0"/>
          <w:bCs/>
          <w:color w:val="FF0000"/>
          <w:sz w:val="20"/>
          <w:szCs w:val="20"/>
          <w:highlight w:val="none"/>
          <w:shd w:val="clear" w:color="auto" w:fill="FFFFFF"/>
          <w:lang w:val="en-US" w:eastAsia="zh-CN"/>
        </w:rPr>
        <w:t>2.7</w:t>
      </w:r>
      <w:r>
        <w:rPr>
          <w:rFonts w:hint="eastAsia" w:ascii="宋体" w:hAnsi="宋体" w:eastAsia="宋体" w:cs="宋体"/>
          <w:b w:val="0"/>
          <w:bCs/>
          <w:color w:val="FF0000"/>
          <w:sz w:val="20"/>
          <w:szCs w:val="20"/>
          <w:highlight w:val="none"/>
          <w:shd w:val="clear" w:color="auto" w:fill="FFFFFF"/>
        </w:rPr>
        <w:t>%。</w:t>
      </w:r>
    </w:p>
    <w:p w14:paraId="32BE01D5">
      <w:pPr>
        <w:pStyle w:val="6"/>
        <w:keepNext w:val="0"/>
        <w:keepLines w:val="0"/>
        <w:pageBreakBefore w:val="0"/>
        <w:widowControl/>
        <w:kinsoku/>
        <w:wordWrap/>
        <w:overflowPunct/>
        <w:topLinePunct w:val="0"/>
        <w:autoSpaceDE/>
        <w:autoSpaceDN/>
        <w:bidi w:val="0"/>
        <w:adjustRightInd w:val="0"/>
        <w:snapToGrid w:val="0"/>
        <w:spacing w:line="360" w:lineRule="auto"/>
        <w:ind w:firstLine="400" w:firstLineChars="200"/>
        <w:jc w:val="left"/>
        <w:textAlignment w:val="auto"/>
        <w:rPr>
          <w:rFonts w:hint="eastAsia" w:ascii="宋体" w:hAnsi="宋体" w:eastAsia="宋体" w:cs="宋体"/>
          <w:b w:val="0"/>
          <w:bCs/>
          <w:color w:val="FF0000"/>
          <w:sz w:val="20"/>
          <w:szCs w:val="20"/>
          <w:highlight w:val="none"/>
        </w:rPr>
      </w:pPr>
      <w:r>
        <w:rPr>
          <w:rFonts w:hint="eastAsia" w:ascii="宋体" w:hAnsi="宋体" w:eastAsia="宋体" w:cs="宋体"/>
          <w:b w:val="0"/>
          <w:bCs/>
          <w:color w:val="FF0000"/>
          <w:sz w:val="20"/>
          <w:szCs w:val="20"/>
          <w:highlight w:val="none"/>
          <w:shd w:val="clear" w:color="auto" w:fill="FFFFFF"/>
        </w:rPr>
        <w:t>3.7 抽检数据质量要求：抽检监测数据质量应符合国家相关法律法规规章、国家标准、技术规范及《国家食品安全监督抽检实施细则（</w:t>
      </w:r>
      <w:r>
        <w:rPr>
          <w:rFonts w:hint="eastAsia" w:ascii="宋体" w:hAnsi="宋体" w:eastAsia="宋体" w:cs="宋体"/>
          <w:b w:val="0"/>
          <w:bCs/>
          <w:color w:val="FF0000"/>
          <w:sz w:val="20"/>
          <w:szCs w:val="20"/>
          <w:highlight w:val="none"/>
          <w:shd w:val="clear" w:color="auto" w:fill="FFFFFF"/>
          <w:lang w:eastAsia="zh-CN"/>
        </w:rPr>
        <w:t>2024年版</w:t>
      </w:r>
      <w:r>
        <w:rPr>
          <w:rFonts w:hint="eastAsia" w:ascii="宋体" w:hAnsi="宋体" w:eastAsia="宋体" w:cs="宋体"/>
          <w:b w:val="0"/>
          <w:bCs/>
          <w:color w:val="FF0000"/>
          <w:sz w:val="20"/>
          <w:szCs w:val="20"/>
          <w:highlight w:val="none"/>
          <w:shd w:val="clear" w:color="auto" w:fill="FFFFFF"/>
        </w:rPr>
        <w:t>）》有关规定和要求，数据质量达标率不低于90%。</w:t>
      </w:r>
    </w:p>
    <w:p w14:paraId="1AC72649">
      <w:pPr>
        <w:pStyle w:val="6"/>
        <w:keepNext w:val="0"/>
        <w:keepLines w:val="0"/>
        <w:pageBreakBefore w:val="0"/>
        <w:widowControl/>
        <w:kinsoku/>
        <w:wordWrap/>
        <w:overflowPunct/>
        <w:topLinePunct w:val="0"/>
        <w:autoSpaceDE/>
        <w:autoSpaceDN/>
        <w:bidi w:val="0"/>
        <w:adjustRightInd w:val="0"/>
        <w:snapToGrid w:val="0"/>
        <w:spacing w:line="360" w:lineRule="auto"/>
        <w:ind w:firstLine="400" w:firstLineChars="200"/>
        <w:jc w:val="left"/>
        <w:textAlignment w:val="auto"/>
        <w:rPr>
          <w:rFonts w:hint="eastAsia" w:ascii="宋体" w:hAnsi="宋体" w:eastAsia="宋体" w:cs="宋体"/>
          <w:b w:val="0"/>
          <w:bCs/>
          <w:color w:val="FF0000"/>
          <w:sz w:val="20"/>
          <w:szCs w:val="20"/>
          <w:highlight w:val="none"/>
          <w:shd w:val="clear" w:color="auto" w:fill="FFFFFF"/>
        </w:rPr>
      </w:pPr>
      <w:r>
        <w:rPr>
          <w:rFonts w:hint="eastAsia" w:ascii="宋体" w:hAnsi="宋体" w:eastAsia="宋体" w:cs="宋体"/>
          <w:b w:val="0"/>
          <w:bCs/>
          <w:color w:val="FF0000"/>
          <w:sz w:val="20"/>
          <w:szCs w:val="20"/>
          <w:highlight w:val="none"/>
          <w:shd w:val="clear" w:color="auto" w:fill="FFFFFF"/>
        </w:rPr>
        <w:t>★4.抽样工作的实施</w:t>
      </w:r>
    </w:p>
    <w:p w14:paraId="19259B2F">
      <w:pPr>
        <w:pStyle w:val="6"/>
        <w:keepNext w:val="0"/>
        <w:keepLines w:val="0"/>
        <w:pageBreakBefore w:val="0"/>
        <w:widowControl/>
        <w:kinsoku/>
        <w:wordWrap/>
        <w:overflowPunct/>
        <w:topLinePunct w:val="0"/>
        <w:autoSpaceDE/>
        <w:autoSpaceDN/>
        <w:bidi w:val="0"/>
        <w:adjustRightInd w:val="0"/>
        <w:snapToGrid w:val="0"/>
        <w:spacing w:line="360" w:lineRule="auto"/>
        <w:ind w:firstLine="400" w:firstLineChars="200"/>
        <w:jc w:val="left"/>
        <w:textAlignment w:val="auto"/>
        <w:rPr>
          <w:rFonts w:hint="eastAsia" w:ascii="宋体" w:hAnsi="宋体" w:eastAsia="宋体" w:cs="宋体"/>
          <w:b w:val="0"/>
          <w:bCs/>
          <w:color w:val="FF0000"/>
          <w:sz w:val="20"/>
          <w:szCs w:val="20"/>
          <w:highlight w:val="none"/>
          <w:shd w:val="clear" w:color="auto" w:fill="FFFFFF"/>
          <w:lang w:val="en-US" w:eastAsia="zh-CN"/>
        </w:rPr>
      </w:pPr>
      <w:r>
        <w:rPr>
          <w:rFonts w:hint="eastAsia" w:ascii="宋体" w:hAnsi="宋体" w:eastAsia="宋体" w:cs="宋体"/>
          <w:b w:val="0"/>
          <w:bCs/>
          <w:color w:val="FF0000"/>
          <w:sz w:val="20"/>
          <w:szCs w:val="20"/>
          <w:highlight w:val="none"/>
          <w:shd w:val="clear" w:color="auto" w:fill="FFFFFF"/>
          <w:lang w:val="en-US" w:eastAsia="zh-CN"/>
        </w:rPr>
        <w:t>4.1 抽样检验工作实施抽检分离,随机确定抽样人员,抽样人员与检验人员不得为同一人。开展网络抽样时，应当将《网络抽样人员信息登记表》报送至采购人。</w:t>
      </w:r>
    </w:p>
    <w:p w14:paraId="5C8F7607">
      <w:pPr>
        <w:pStyle w:val="6"/>
        <w:keepNext w:val="0"/>
        <w:keepLines w:val="0"/>
        <w:pageBreakBefore w:val="0"/>
        <w:widowControl/>
        <w:kinsoku/>
        <w:wordWrap/>
        <w:overflowPunct/>
        <w:topLinePunct w:val="0"/>
        <w:autoSpaceDE/>
        <w:autoSpaceDN/>
        <w:bidi w:val="0"/>
        <w:adjustRightInd w:val="0"/>
        <w:snapToGrid w:val="0"/>
        <w:spacing w:line="360" w:lineRule="auto"/>
        <w:ind w:firstLine="400" w:firstLineChars="200"/>
        <w:jc w:val="left"/>
        <w:textAlignment w:val="auto"/>
        <w:rPr>
          <w:rFonts w:hint="eastAsia" w:ascii="宋体" w:hAnsi="宋体" w:eastAsia="宋体" w:cs="宋体"/>
          <w:b w:val="0"/>
          <w:bCs/>
          <w:color w:val="FF0000"/>
          <w:sz w:val="20"/>
          <w:szCs w:val="20"/>
          <w:highlight w:val="none"/>
          <w:shd w:val="clear" w:color="auto" w:fill="FFFFFF"/>
          <w:lang w:eastAsia="zh-CN"/>
        </w:rPr>
      </w:pPr>
      <w:r>
        <w:rPr>
          <w:rFonts w:hint="eastAsia" w:ascii="宋体" w:hAnsi="宋体" w:eastAsia="宋体" w:cs="宋体"/>
          <w:b w:val="0"/>
          <w:bCs/>
          <w:color w:val="FF0000"/>
          <w:sz w:val="20"/>
          <w:szCs w:val="20"/>
          <w:highlight w:val="none"/>
          <w:shd w:val="clear" w:color="auto" w:fill="FFFFFF"/>
          <w:lang w:eastAsia="zh-CN"/>
        </w:rPr>
        <w:t>抽样前应当对抽样人员进行培训,并做好相关记录。抽样人员应当熟悉食品安全法律、法规、规章和食品安全标准等的相关规定,熟练使用国家食品安全抽样检验信息系统。</w:t>
      </w:r>
    </w:p>
    <w:p w14:paraId="2D2249CF">
      <w:pPr>
        <w:pStyle w:val="6"/>
        <w:keepNext w:val="0"/>
        <w:keepLines w:val="0"/>
        <w:pageBreakBefore w:val="0"/>
        <w:widowControl/>
        <w:kinsoku/>
        <w:wordWrap/>
        <w:overflowPunct/>
        <w:topLinePunct w:val="0"/>
        <w:autoSpaceDE/>
        <w:autoSpaceDN/>
        <w:bidi w:val="0"/>
        <w:adjustRightInd w:val="0"/>
        <w:snapToGrid w:val="0"/>
        <w:spacing w:line="360" w:lineRule="auto"/>
        <w:ind w:firstLine="400" w:firstLineChars="200"/>
        <w:jc w:val="left"/>
        <w:textAlignment w:val="auto"/>
        <w:rPr>
          <w:rFonts w:hint="eastAsia" w:ascii="宋体" w:hAnsi="宋体" w:eastAsia="宋体" w:cs="宋体"/>
          <w:b w:val="0"/>
          <w:bCs/>
          <w:color w:val="FF0000"/>
          <w:sz w:val="20"/>
          <w:szCs w:val="20"/>
          <w:highlight w:val="none"/>
          <w:shd w:val="clear" w:color="auto" w:fill="FFFFFF"/>
          <w:lang w:eastAsia="zh-CN"/>
        </w:rPr>
      </w:pPr>
      <w:r>
        <w:rPr>
          <w:rFonts w:hint="eastAsia" w:ascii="宋体" w:hAnsi="宋体" w:eastAsia="宋体" w:cs="宋体"/>
          <w:b w:val="0"/>
          <w:bCs/>
          <w:color w:val="FF0000"/>
          <w:sz w:val="20"/>
          <w:szCs w:val="20"/>
          <w:highlight w:val="none"/>
          <w:shd w:val="clear" w:color="auto" w:fill="FFFFFF"/>
          <w:lang w:eastAsia="zh-CN"/>
        </w:rPr>
        <w:t>抽样工作不得预先通知食品生产经营者(包括进口商品在中国依法登记注册的代理商、进口商或经销商,以及网络食品交易经营者,以下称被抽样单位)。</w:t>
      </w:r>
    </w:p>
    <w:p w14:paraId="4D03340B">
      <w:pPr>
        <w:pStyle w:val="6"/>
        <w:keepNext w:val="0"/>
        <w:keepLines w:val="0"/>
        <w:pageBreakBefore w:val="0"/>
        <w:widowControl/>
        <w:kinsoku/>
        <w:wordWrap/>
        <w:overflowPunct/>
        <w:topLinePunct w:val="0"/>
        <w:autoSpaceDE/>
        <w:autoSpaceDN/>
        <w:bidi w:val="0"/>
        <w:adjustRightInd w:val="0"/>
        <w:snapToGrid w:val="0"/>
        <w:spacing w:line="360" w:lineRule="auto"/>
        <w:ind w:firstLine="400" w:firstLineChars="200"/>
        <w:jc w:val="left"/>
        <w:textAlignment w:val="auto"/>
        <w:rPr>
          <w:rFonts w:hint="eastAsia" w:ascii="宋体" w:hAnsi="宋体" w:eastAsia="宋体" w:cs="宋体"/>
          <w:b w:val="0"/>
          <w:bCs/>
          <w:color w:val="FF0000"/>
          <w:sz w:val="20"/>
          <w:szCs w:val="20"/>
          <w:highlight w:val="none"/>
          <w:shd w:val="clear" w:color="auto" w:fill="FFFFFF"/>
          <w:lang w:eastAsia="zh-CN"/>
        </w:rPr>
      </w:pPr>
      <w:r>
        <w:rPr>
          <w:rFonts w:hint="eastAsia" w:ascii="宋体" w:hAnsi="宋体" w:eastAsia="宋体" w:cs="宋体"/>
          <w:b w:val="0"/>
          <w:bCs/>
          <w:color w:val="FF0000"/>
          <w:sz w:val="20"/>
          <w:szCs w:val="20"/>
          <w:highlight w:val="none"/>
          <w:shd w:val="clear" w:color="auto" w:fill="FFFFFF"/>
          <w:lang w:eastAsia="zh-CN"/>
        </w:rPr>
        <w:t>抽样人员执行抽样任务时不得少于两人。在集中交易市场、商场、超市、便利店等销售场所开展的食用农产品监督抽检工作，委托抽样的应当不少于两名监管人员参与抽样。</w:t>
      </w:r>
    </w:p>
    <w:p w14:paraId="13AA3863">
      <w:pPr>
        <w:pStyle w:val="6"/>
        <w:keepNext w:val="0"/>
        <w:keepLines w:val="0"/>
        <w:pageBreakBefore w:val="0"/>
        <w:widowControl/>
        <w:kinsoku/>
        <w:wordWrap/>
        <w:overflowPunct/>
        <w:topLinePunct w:val="0"/>
        <w:autoSpaceDE/>
        <w:autoSpaceDN/>
        <w:bidi w:val="0"/>
        <w:adjustRightInd w:val="0"/>
        <w:snapToGrid w:val="0"/>
        <w:spacing w:line="360" w:lineRule="auto"/>
        <w:ind w:firstLine="400" w:firstLineChars="200"/>
        <w:jc w:val="left"/>
        <w:textAlignment w:val="auto"/>
        <w:rPr>
          <w:rFonts w:hint="eastAsia" w:ascii="宋体" w:hAnsi="宋体" w:eastAsia="宋体" w:cs="宋体"/>
          <w:b w:val="0"/>
          <w:bCs/>
          <w:color w:val="FF0000"/>
          <w:sz w:val="20"/>
          <w:szCs w:val="20"/>
          <w:highlight w:val="none"/>
          <w:shd w:val="clear" w:color="auto" w:fill="FFFFFF"/>
          <w:lang w:eastAsia="zh-CN"/>
        </w:rPr>
      </w:pPr>
      <w:r>
        <w:rPr>
          <w:rFonts w:hint="eastAsia" w:ascii="宋体" w:hAnsi="宋体" w:eastAsia="宋体" w:cs="宋体"/>
          <w:b w:val="0"/>
          <w:bCs/>
          <w:color w:val="FF0000"/>
          <w:sz w:val="20"/>
          <w:szCs w:val="20"/>
          <w:highlight w:val="none"/>
          <w:shd w:val="clear" w:color="auto" w:fill="FFFFFF"/>
        </w:rPr>
        <w:t>4.</w:t>
      </w:r>
      <w:r>
        <w:rPr>
          <w:rFonts w:hint="eastAsia" w:ascii="宋体" w:hAnsi="宋体" w:eastAsia="宋体" w:cs="宋体"/>
          <w:b w:val="0"/>
          <w:bCs/>
          <w:color w:val="FF0000"/>
          <w:sz w:val="20"/>
          <w:szCs w:val="20"/>
          <w:highlight w:val="none"/>
          <w:shd w:val="clear" w:color="auto" w:fill="FFFFFF"/>
          <w:lang w:val="en-US" w:eastAsia="zh-CN"/>
        </w:rPr>
        <w:t>2</w:t>
      </w:r>
      <w:r>
        <w:rPr>
          <w:rFonts w:hint="eastAsia" w:ascii="宋体" w:hAnsi="宋体" w:eastAsia="宋体" w:cs="宋体"/>
          <w:b w:val="0"/>
          <w:bCs/>
          <w:color w:val="FF0000"/>
          <w:sz w:val="20"/>
          <w:szCs w:val="20"/>
          <w:highlight w:val="none"/>
          <w:shd w:val="clear" w:color="auto" w:fill="FFFFFF"/>
        </w:rPr>
        <w:t xml:space="preserve"> </w:t>
      </w:r>
      <w:r>
        <w:rPr>
          <w:rFonts w:hint="eastAsia" w:ascii="宋体" w:hAnsi="宋体" w:eastAsia="宋体" w:cs="宋体"/>
          <w:b w:val="0"/>
          <w:bCs/>
          <w:color w:val="FF0000"/>
          <w:sz w:val="20"/>
          <w:szCs w:val="20"/>
          <w:highlight w:val="none"/>
          <w:shd w:val="clear" w:color="auto" w:fill="FFFFFF"/>
          <w:lang w:eastAsia="zh-CN"/>
        </w:rPr>
        <w:t>现场抽样</w:t>
      </w:r>
    </w:p>
    <w:p w14:paraId="410AF882">
      <w:pPr>
        <w:pStyle w:val="6"/>
        <w:keepNext w:val="0"/>
        <w:keepLines w:val="0"/>
        <w:pageBreakBefore w:val="0"/>
        <w:widowControl/>
        <w:kinsoku/>
        <w:wordWrap/>
        <w:overflowPunct/>
        <w:topLinePunct w:val="0"/>
        <w:autoSpaceDE/>
        <w:autoSpaceDN/>
        <w:bidi w:val="0"/>
        <w:adjustRightInd w:val="0"/>
        <w:snapToGrid w:val="0"/>
        <w:spacing w:line="360" w:lineRule="auto"/>
        <w:ind w:firstLine="400" w:firstLineChars="200"/>
        <w:jc w:val="left"/>
        <w:textAlignment w:val="auto"/>
        <w:rPr>
          <w:rFonts w:hint="eastAsia" w:ascii="宋体" w:hAnsi="宋体" w:eastAsia="宋体" w:cs="宋体"/>
          <w:b w:val="0"/>
          <w:bCs/>
          <w:color w:val="FF0000"/>
          <w:sz w:val="20"/>
          <w:szCs w:val="20"/>
          <w:highlight w:val="none"/>
          <w:shd w:val="clear" w:color="auto" w:fill="FFFFFF"/>
          <w:lang w:eastAsia="zh-CN"/>
        </w:rPr>
      </w:pPr>
      <w:r>
        <w:rPr>
          <w:rFonts w:hint="eastAsia" w:ascii="宋体" w:hAnsi="宋体" w:eastAsia="宋体" w:cs="宋体"/>
          <w:b w:val="0"/>
          <w:bCs/>
          <w:color w:val="FF0000"/>
          <w:sz w:val="20"/>
          <w:szCs w:val="20"/>
          <w:highlight w:val="none"/>
          <w:shd w:val="clear" w:color="auto" w:fill="FFFFFF"/>
          <w:lang w:val="en-US" w:eastAsia="zh-CN"/>
        </w:rPr>
        <w:t>4.2.1</w:t>
      </w:r>
      <w:r>
        <w:rPr>
          <w:rFonts w:hint="eastAsia" w:ascii="宋体" w:hAnsi="宋体" w:eastAsia="宋体" w:cs="宋体"/>
          <w:b w:val="0"/>
          <w:bCs/>
          <w:color w:val="FF0000"/>
          <w:sz w:val="20"/>
          <w:szCs w:val="20"/>
          <w:highlight w:val="none"/>
          <w:shd w:val="clear" w:color="auto" w:fill="FFFFFF"/>
        </w:rPr>
        <w:t>抽样人员应当向被抽样单位出示有效身份证明文件及《食品安全抽样检验告知书》,并告知其依法享有的权利和应当承担的义务。由承检机构执行抽样任务的,还应当向被抽样单位出示《食品安全抽样检验任务委托书》。抽样人员应当核查被抽样单位提供的营业执照、许可证等相关证件。必要时,可核查进货查验记录、合法进货凭证等可追溯信息</w:t>
      </w:r>
      <w:r>
        <w:rPr>
          <w:rFonts w:hint="eastAsia" w:ascii="宋体" w:hAnsi="宋体" w:eastAsia="宋体" w:cs="宋体"/>
          <w:b w:val="0"/>
          <w:bCs/>
          <w:color w:val="FF0000"/>
          <w:sz w:val="20"/>
          <w:szCs w:val="20"/>
          <w:highlight w:val="none"/>
          <w:shd w:val="clear" w:color="auto" w:fill="FFFFFF"/>
          <w:lang w:eastAsia="zh-CN"/>
        </w:rPr>
        <w:t>。</w:t>
      </w:r>
    </w:p>
    <w:p w14:paraId="23234B38">
      <w:pPr>
        <w:pStyle w:val="6"/>
        <w:keepNext w:val="0"/>
        <w:keepLines w:val="0"/>
        <w:pageBreakBefore w:val="0"/>
        <w:widowControl/>
        <w:kinsoku/>
        <w:wordWrap/>
        <w:overflowPunct/>
        <w:topLinePunct w:val="0"/>
        <w:autoSpaceDE/>
        <w:autoSpaceDN/>
        <w:bidi w:val="0"/>
        <w:adjustRightInd w:val="0"/>
        <w:snapToGrid w:val="0"/>
        <w:spacing w:line="360" w:lineRule="auto"/>
        <w:ind w:firstLine="400" w:firstLineChars="200"/>
        <w:jc w:val="left"/>
        <w:textAlignment w:val="auto"/>
        <w:rPr>
          <w:rFonts w:hint="eastAsia" w:ascii="宋体" w:hAnsi="宋体" w:eastAsia="宋体" w:cs="宋体"/>
          <w:b w:val="0"/>
          <w:bCs/>
          <w:color w:val="FF0000"/>
          <w:sz w:val="20"/>
          <w:szCs w:val="20"/>
          <w:highlight w:val="none"/>
          <w:shd w:val="clear" w:color="auto" w:fill="FFFFFF"/>
        </w:rPr>
      </w:pPr>
      <w:r>
        <w:rPr>
          <w:rFonts w:hint="eastAsia" w:ascii="宋体" w:hAnsi="宋体" w:eastAsia="宋体" w:cs="宋体"/>
          <w:b w:val="0"/>
          <w:bCs/>
          <w:color w:val="FF0000"/>
          <w:sz w:val="20"/>
          <w:szCs w:val="20"/>
          <w:highlight w:val="none"/>
          <w:shd w:val="clear" w:color="auto" w:fill="FFFFFF"/>
          <w:lang w:val="en-US" w:eastAsia="zh-CN"/>
        </w:rPr>
        <w:t xml:space="preserve">4.2.2 </w:t>
      </w:r>
      <w:r>
        <w:rPr>
          <w:rFonts w:hint="eastAsia" w:ascii="宋体" w:hAnsi="宋体" w:eastAsia="宋体" w:cs="宋体"/>
          <w:b w:val="0"/>
          <w:bCs/>
          <w:color w:val="FF0000"/>
          <w:sz w:val="20"/>
          <w:szCs w:val="20"/>
          <w:highlight w:val="none"/>
          <w:shd w:val="clear" w:color="auto" w:fill="FFFFFF"/>
        </w:rPr>
        <w:t>抽样人员可以从食品经营者的经营场所、仓库以及食品生产者的成品库待销产品中随机抽取样品,不得由被抽样单位自行提供样品。抽样数量原则上应当满足检验和复检的要求。对易腐烂变质的蔬菜、水果等食用农产品样品,需进行均质备份样品的，应当在现场抽样时主动向被抽样单位告知确认,在现场或实验室进行均质备份样品时,采取拍照或摄像等方式进行记录。</w:t>
      </w:r>
    </w:p>
    <w:p w14:paraId="0C2F1E44">
      <w:pPr>
        <w:pStyle w:val="6"/>
        <w:keepNext w:val="0"/>
        <w:keepLines w:val="0"/>
        <w:pageBreakBefore w:val="0"/>
        <w:widowControl/>
        <w:kinsoku/>
        <w:wordWrap/>
        <w:overflowPunct/>
        <w:topLinePunct w:val="0"/>
        <w:autoSpaceDE/>
        <w:autoSpaceDN/>
        <w:bidi w:val="0"/>
        <w:adjustRightInd w:val="0"/>
        <w:snapToGrid w:val="0"/>
        <w:spacing w:line="360" w:lineRule="auto"/>
        <w:ind w:firstLine="400" w:firstLineChars="200"/>
        <w:jc w:val="left"/>
        <w:textAlignment w:val="auto"/>
        <w:rPr>
          <w:rFonts w:hint="eastAsia" w:ascii="宋体" w:hAnsi="宋体" w:eastAsia="宋体" w:cs="宋体"/>
          <w:b w:val="0"/>
          <w:bCs/>
          <w:color w:val="FF0000"/>
          <w:sz w:val="20"/>
          <w:szCs w:val="20"/>
          <w:highlight w:val="none"/>
          <w:shd w:val="clear" w:color="auto" w:fill="FFFFFF"/>
        </w:rPr>
      </w:pPr>
      <w:r>
        <w:rPr>
          <w:rFonts w:hint="eastAsia" w:ascii="宋体" w:hAnsi="宋体" w:eastAsia="宋体" w:cs="宋体"/>
          <w:b w:val="0"/>
          <w:bCs/>
          <w:color w:val="FF0000"/>
          <w:sz w:val="20"/>
          <w:szCs w:val="20"/>
          <w:highlight w:val="none"/>
          <w:shd w:val="clear" w:color="auto" w:fill="FFFFFF"/>
          <w:lang w:val="en-US" w:eastAsia="zh-CN"/>
        </w:rPr>
        <w:t xml:space="preserve">4.2.3 </w:t>
      </w:r>
      <w:r>
        <w:rPr>
          <w:rFonts w:hint="eastAsia" w:ascii="宋体" w:hAnsi="宋体" w:eastAsia="宋体" w:cs="宋体"/>
          <w:b w:val="0"/>
          <w:bCs/>
          <w:color w:val="FF0000"/>
          <w:sz w:val="20"/>
          <w:szCs w:val="20"/>
          <w:highlight w:val="none"/>
          <w:shd w:val="clear" w:color="auto" w:fill="FFFFFF"/>
        </w:rPr>
        <w:t>抽样人员应当采取有效的防拆封措施,对检验样品和复检备份样品分别封样,并贴上《食品安全抽样检验封条》。食用农产品需在实验室均质后留存复检备份样品的,现场还应当填写一份信息完整的封条,并由抽样人员(含参与抽样的监管人员)和被抽样单位签字或者盖章确认,用于封存均质后的备份样品。封条上应当由抽样人员(含参与抽样的监管人员)和被抽样单位签字或者盖章确认。</w:t>
      </w:r>
    </w:p>
    <w:p w14:paraId="739EB50E">
      <w:pPr>
        <w:pStyle w:val="6"/>
        <w:keepNext w:val="0"/>
        <w:keepLines w:val="0"/>
        <w:pageBreakBefore w:val="0"/>
        <w:widowControl/>
        <w:kinsoku/>
        <w:wordWrap/>
        <w:overflowPunct/>
        <w:topLinePunct w:val="0"/>
        <w:autoSpaceDE/>
        <w:autoSpaceDN/>
        <w:bidi w:val="0"/>
        <w:adjustRightInd w:val="0"/>
        <w:snapToGrid w:val="0"/>
        <w:spacing w:line="360" w:lineRule="auto"/>
        <w:ind w:firstLine="400" w:firstLineChars="200"/>
        <w:jc w:val="left"/>
        <w:textAlignment w:val="auto"/>
        <w:rPr>
          <w:rFonts w:hint="eastAsia" w:ascii="宋体" w:hAnsi="宋体" w:eastAsia="宋体" w:cs="宋体"/>
          <w:b w:val="0"/>
          <w:bCs/>
          <w:color w:val="FF0000"/>
          <w:sz w:val="20"/>
          <w:szCs w:val="20"/>
          <w:highlight w:val="none"/>
          <w:shd w:val="clear" w:color="auto" w:fill="FFFFFF"/>
        </w:rPr>
      </w:pPr>
      <w:r>
        <w:rPr>
          <w:rFonts w:hint="eastAsia" w:ascii="宋体" w:hAnsi="宋体" w:eastAsia="宋体" w:cs="宋体"/>
          <w:b w:val="0"/>
          <w:bCs/>
          <w:color w:val="FF0000"/>
          <w:sz w:val="20"/>
          <w:szCs w:val="20"/>
          <w:highlight w:val="none"/>
          <w:shd w:val="clear" w:color="auto" w:fill="FFFFFF"/>
          <w:lang w:val="en-US" w:eastAsia="zh-CN"/>
        </w:rPr>
        <w:t xml:space="preserve">4.2.4 </w:t>
      </w:r>
      <w:r>
        <w:rPr>
          <w:rFonts w:hint="eastAsia" w:ascii="宋体" w:hAnsi="宋体" w:eastAsia="宋体" w:cs="宋体"/>
          <w:b w:val="0"/>
          <w:bCs/>
          <w:color w:val="FF0000"/>
          <w:sz w:val="20"/>
          <w:szCs w:val="20"/>
          <w:highlight w:val="none"/>
          <w:shd w:val="clear" w:color="auto" w:fill="FFFFFF"/>
        </w:rPr>
        <w:t>抽样人员应当使用《食品安全抽样检验抽样单》,详细记录抽样信息,记录保存期限不得少于两年。抽样文书应当字迹工整、清晰,容易辨认,不得随意更改。抽样单填写完毕后,应当由抽样人员(含参与抽样的监管人员)和被抽样单位签字或盖章确认。如需更改信息应当由被抽样单位确认,其中营业执照经营许可证、生产许可证等证照信息以及样品标称信息如需更改,由两名抽样人员签字或抽样单位盖章确认即可。</w:t>
      </w:r>
    </w:p>
    <w:p w14:paraId="71CCDE9D">
      <w:pPr>
        <w:pStyle w:val="6"/>
        <w:keepNext w:val="0"/>
        <w:keepLines w:val="0"/>
        <w:pageBreakBefore w:val="0"/>
        <w:widowControl/>
        <w:kinsoku/>
        <w:wordWrap/>
        <w:overflowPunct/>
        <w:topLinePunct w:val="0"/>
        <w:autoSpaceDE/>
        <w:autoSpaceDN/>
        <w:bidi w:val="0"/>
        <w:adjustRightInd w:val="0"/>
        <w:snapToGrid w:val="0"/>
        <w:spacing w:line="360" w:lineRule="auto"/>
        <w:ind w:firstLine="400" w:firstLineChars="200"/>
        <w:jc w:val="left"/>
        <w:textAlignment w:val="auto"/>
        <w:rPr>
          <w:rFonts w:hint="eastAsia" w:ascii="宋体" w:hAnsi="宋体" w:eastAsia="宋体" w:cs="宋体"/>
          <w:b w:val="0"/>
          <w:bCs/>
          <w:color w:val="FF0000"/>
          <w:sz w:val="20"/>
          <w:szCs w:val="20"/>
          <w:highlight w:val="none"/>
          <w:shd w:val="clear" w:color="auto" w:fill="FFFFFF"/>
        </w:rPr>
      </w:pPr>
      <w:r>
        <w:rPr>
          <w:rFonts w:hint="eastAsia" w:ascii="宋体" w:hAnsi="宋体" w:eastAsia="宋体" w:cs="宋体"/>
          <w:b w:val="0"/>
          <w:bCs/>
          <w:color w:val="FF0000"/>
          <w:sz w:val="20"/>
          <w:szCs w:val="20"/>
          <w:highlight w:val="none"/>
          <w:shd w:val="clear" w:color="auto" w:fill="FFFFFF"/>
          <w:lang w:val="en-US" w:eastAsia="zh-CN"/>
        </w:rPr>
        <w:t xml:space="preserve">4.2.5 </w:t>
      </w:r>
      <w:r>
        <w:rPr>
          <w:rFonts w:hint="eastAsia" w:ascii="宋体" w:hAnsi="宋体" w:eastAsia="宋体" w:cs="宋体"/>
          <w:b w:val="0"/>
          <w:bCs/>
          <w:color w:val="FF0000"/>
          <w:sz w:val="20"/>
          <w:szCs w:val="20"/>
          <w:highlight w:val="none"/>
          <w:shd w:val="clear" w:color="auto" w:fill="FFFFFF"/>
        </w:rPr>
        <w:t>现场信息采集</w:t>
      </w:r>
    </w:p>
    <w:p w14:paraId="0DB7DDBD">
      <w:pPr>
        <w:pStyle w:val="6"/>
        <w:keepNext w:val="0"/>
        <w:keepLines w:val="0"/>
        <w:pageBreakBefore w:val="0"/>
        <w:widowControl/>
        <w:kinsoku/>
        <w:wordWrap/>
        <w:overflowPunct/>
        <w:topLinePunct w:val="0"/>
        <w:autoSpaceDE/>
        <w:autoSpaceDN/>
        <w:bidi w:val="0"/>
        <w:adjustRightInd w:val="0"/>
        <w:snapToGrid w:val="0"/>
        <w:spacing w:line="360" w:lineRule="auto"/>
        <w:ind w:firstLine="400" w:firstLineChars="200"/>
        <w:jc w:val="left"/>
        <w:textAlignment w:val="auto"/>
        <w:rPr>
          <w:rFonts w:hint="eastAsia" w:ascii="宋体" w:hAnsi="宋体" w:eastAsia="宋体" w:cs="宋体"/>
          <w:b w:val="0"/>
          <w:bCs/>
          <w:color w:val="FF0000"/>
          <w:sz w:val="20"/>
          <w:szCs w:val="20"/>
          <w:highlight w:val="none"/>
          <w:shd w:val="clear" w:color="auto" w:fill="FFFFFF"/>
        </w:rPr>
      </w:pPr>
      <w:r>
        <w:rPr>
          <w:rFonts w:hint="eastAsia" w:ascii="宋体" w:hAnsi="宋体" w:eastAsia="宋体" w:cs="宋体"/>
          <w:b w:val="0"/>
          <w:bCs/>
          <w:color w:val="FF0000"/>
          <w:sz w:val="20"/>
          <w:szCs w:val="20"/>
          <w:highlight w:val="none"/>
          <w:shd w:val="clear" w:color="auto" w:fill="FFFFFF"/>
        </w:rPr>
        <w:t>抽样人员应当通过拍照等方式对抽样场所、贮存环境、样品信息等进行现场信息采集。采集的信息应当包括:(1)被抽样单位外观,如门牌、招牌或摊位号等信息;(2)被抽样单位营业执照、许可证、备案凭证等资质证明文件照片;(3)样品贮存环境;(4)被抽样品的完整包装(标签)信息:(5)拍取食用农产品时，还应采集承诺达标合格证、检验检疫票据、进货凭证等信息;(6)有特殊储运要求的样品应当同时包含样品采取的防护措施。</w:t>
      </w:r>
    </w:p>
    <w:p w14:paraId="3853F81A">
      <w:pPr>
        <w:pStyle w:val="6"/>
        <w:keepNext w:val="0"/>
        <w:keepLines w:val="0"/>
        <w:pageBreakBefore w:val="0"/>
        <w:widowControl/>
        <w:kinsoku/>
        <w:wordWrap/>
        <w:overflowPunct/>
        <w:topLinePunct w:val="0"/>
        <w:autoSpaceDE/>
        <w:autoSpaceDN/>
        <w:bidi w:val="0"/>
        <w:adjustRightInd w:val="0"/>
        <w:snapToGrid w:val="0"/>
        <w:spacing w:line="360" w:lineRule="auto"/>
        <w:ind w:firstLine="400" w:firstLineChars="200"/>
        <w:jc w:val="left"/>
        <w:textAlignment w:val="auto"/>
        <w:rPr>
          <w:rFonts w:hint="eastAsia" w:ascii="宋体" w:hAnsi="宋体" w:eastAsia="宋体" w:cs="宋体"/>
          <w:b w:val="0"/>
          <w:bCs/>
          <w:color w:val="FF0000"/>
          <w:sz w:val="20"/>
          <w:szCs w:val="20"/>
          <w:highlight w:val="none"/>
          <w:shd w:val="clear" w:color="auto" w:fill="FFFFFF"/>
        </w:rPr>
      </w:pPr>
      <w:r>
        <w:rPr>
          <w:rFonts w:hint="eastAsia" w:ascii="宋体" w:hAnsi="宋体" w:eastAsia="宋体" w:cs="宋体"/>
          <w:b w:val="0"/>
          <w:bCs/>
          <w:color w:val="FF0000"/>
          <w:sz w:val="20"/>
          <w:szCs w:val="20"/>
          <w:highlight w:val="none"/>
          <w:shd w:val="clear" w:color="auto" w:fill="FFFFFF"/>
        </w:rPr>
        <w:t>采集的信息还可包括:(1)抽样人员现场抽取样品的照片:(2)封样完毕后,所封样品码放整齐后的外观照片和封条近照;(3)同时包含抽样人员和被抽样单位人员的照片;(4)样品购置发票或相关购物凭证;(5)其他需要采集的信息。</w:t>
      </w:r>
    </w:p>
    <w:p w14:paraId="48AEE5D2">
      <w:pPr>
        <w:pStyle w:val="6"/>
        <w:keepNext w:val="0"/>
        <w:keepLines w:val="0"/>
        <w:pageBreakBefore w:val="0"/>
        <w:widowControl/>
        <w:kinsoku/>
        <w:wordWrap/>
        <w:overflowPunct/>
        <w:topLinePunct w:val="0"/>
        <w:autoSpaceDE/>
        <w:autoSpaceDN/>
        <w:bidi w:val="0"/>
        <w:adjustRightInd w:val="0"/>
        <w:snapToGrid w:val="0"/>
        <w:spacing w:line="360" w:lineRule="auto"/>
        <w:ind w:firstLine="400" w:firstLineChars="200"/>
        <w:jc w:val="left"/>
        <w:textAlignment w:val="auto"/>
        <w:rPr>
          <w:rFonts w:hint="eastAsia" w:ascii="宋体" w:hAnsi="宋体" w:eastAsia="宋体" w:cs="宋体"/>
          <w:b w:val="0"/>
          <w:bCs/>
          <w:color w:val="FF0000"/>
          <w:sz w:val="20"/>
          <w:szCs w:val="20"/>
          <w:highlight w:val="none"/>
          <w:shd w:val="clear" w:color="auto" w:fill="FFFFFF"/>
        </w:rPr>
      </w:pPr>
      <w:r>
        <w:rPr>
          <w:rFonts w:hint="eastAsia" w:ascii="宋体" w:hAnsi="宋体" w:eastAsia="宋体" w:cs="宋体"/>
          <w:b w:val="0"/>
          <w:bCs/>
          <w:color w:val="FF0000"/>
          <w:sz w:val="20"/>
          <w:szCs w:val="20"/>
          <w:highlight w:val="none"/>
          <w:shd w:val="clear" w:color="auto" w:fill="FFFFFF"/>
          <w:lang w:val="en-US" w:eastAsia="zh-CN"/>
        </w:rPr>
        <w:t>4.2.6</w:t>
      </w:r>
      <w:r>
        <w:rPr>
          <w:rFonts w:hint="eastAsia" w:ascii="宋体" w:hAnsi="宋体" w:eastAsia="宋体" w:cs="宋体"/>
          <w:b w:val="0"/>
          <w:bCs/>
          <w:color w:val="FF0000"/>
          <w:sz w:val="20"/>
          <w:szCs w:val="20"/>
          <w:highlight w:val="none"/>
          <w:shd w:val="clear" w:color="auto" w:fill="FFFFFF"/>
        </w:rPr>
        <w:t>样品购置费用支付</w:t>
      </w:r>
    </w:p>
    <w:p w14:paraId="77F3C8D2">
      <w:pPr>
        <w:pStyle w:val="6"/>
        <w:keepNext w:val="0"/>
        <w:keepLines w:val="0"/>
        <w:pageBreakBefore w:val="0"/>
        <w:widowControl/>
        <w:kinsoku/>
        <w:wordWrap/>
        <w:overflowPunct/>
        <w:topLinePunct w:val="0"/>
        <w:autoSpaceDE/>
        <w:autoSpaceDN/>
        <w:bidi w:val="0"/>
        <w:adjustRightInd w:val="0"/>
        <w:snapToGrid w:val="0"/>
        <w:spacing w:line="360" w:lineRule="auto"/>
        <w:ind w:firstLine="400" w:firstLineChars="200"/>
        <w:jc w:val="left"/>
        <w:textAlignment w:val="auto"/>
        <w:rPr>
          <w:rFonts w:hint="eastAsia" w:ascii="宋体" w:hAnsi="宋体" w:eastAsia="宋体" w:cs="宋体"/>
          <w:b w:val="0"/>
          <w:bCs/>
          <w:color w:val="FF0000"/>
          <w:sz w:val="20"/>
          <w:szCs w:val="20"/>
          <w:highlight w:val="none"/>
          <w:shd w:val="clear" w:color="auto" w:fill="FFFFFF"/>
        </w:rPr>
      </w:pPr>
      <w:r>
        <w:rPr>
          <w:rFonts w:hint="eastAsia" w:ascii="宋体" w:hAnsi="宋体" w:eastAsia="宋体" w:cs="宋体"/>
          <w:b w:val="0"/>
          <w:bCs/>
          <w:color w:val="FF0000"/>
          <w:sz w:val="20"/>
          <w:szCs w:val="20"/>
          <w:highlight w:val="none"/>
          <w:shd w:val="clear" w:color="auto" w:fill="FFFFFF"/>
        </w:rPr>
        <w:t>抽样人员应当向被抽样单位支付样品购置费并索取发票(或相关购物凭证)及所购样品明细,可现场支付费用或先出具《食品安全抽样检验样品购置费用告知书》随后支付费用。</w:t>
      </w:r>
    </w:p>
    <w:p w14:paraId="45F77DAE">
      <w:pPr>
        <w:pStyle w:val="6"/>
        <w:keepNext w:val="0"/>
        <w:keepLines w:val="0"/>
        <w:pageBreakBefore w:val="0"/>
        <w:widowControl/>
        <w:kinsoku/>
        <w:wordWrap/>
        <w:overflowPunct/>
        <w:topLinePunct w:val="0"/>
        <w:autoSpaceDE/>
        <w:autoSpaceDN/>
        <w:bidi w:val="0"/>
        <w:adjustRightInd w:val="0"/>
        <w:snapToGrid w:val="0"/>
        <w:spacing w:line="360" w:lineRule="auto"/>
        <w:ind w:firstLine="400" w:firstLineChars="200"/>
        <w:jc w:val="left"/>
        <w:textAlignment w:val="auto"/>
        <w:rPr>
          <w:rFonts w:hint="eastAsia" w:ascii="宋体" w:hAnsi="宋体" w:eastAsia="宋体" w:cs="宋体"/>
          <w:b w:val="0"/>
          <w:bCs/>
          <w:color w:val="FF0000"/>
          <w:sz w:val="20"/>
          <w:szCs w:val="20"/>
          <w:highlight w:val="none"/>
          <w:shd w:val="clear" w:color="auto" w:fill="FFFFFF"/>
        </w:rPr>
      </w:pPr>
      <w:r>
        <w:rPr>
          <w:rFonts w:hint="eastAsia" w:ascii="宋体" w:hAnsi="宋体" w:eastAsia="宋体" w:cs="宋体"/>
          <w:b w:val="0"/>
          <w:bCs/>
          <w:color w:val="FF0000"/>
          <w:sz w:val="20"/>
          <w:szCs w:val="20"/>
          <w:highlight w:val="none"/>
          <w:shd w:val="clear" w:color="auto" w:fill="FFFFFF"/>
          <w:lang w:val="en-US" w:eastAsia="zh-CN"/>
        </w:rPr>
        <w:t>4.2.7</w:t>
      </w:r>
      <w:r>
        <w:rPr>
          <w:rFonts w:hint="eastAsia" w:ascii="宋体" w:hAnsi="宋体" w:eastAsia="宋体" w:cs="宋体"/>
          <w:b w:val="0"/>
          <w:bCs/>
          <w:color w:val="FF0000"/>
          <w:sz w:val="20"/>
          <w:szCs w:val="20"/>
          <w:highlight w:val="none"/>
          <w:shd w:val="clear" w:color="auto" w:fill="FFFFFF"/>
        </w:rPr>
        <w:t>抽样文书的交付</w:t>
      </w:r>
    </w:p>
    <w:p w14:paraId="44D314B1">
      <w:pPr>
        <w:pStyle w:val="6"/>
        <w:keepNext w:val="0"/>
        <w:keepLines w:val="0"/>
        <w:pageBreakBefore w:val="0"/>
        <w:widowControl/>
        <w:kinsoku/>
        <w:wordWrap/>
        <w:overflowPunct/>
        <w:topLinePunct w:val="0"/>
        <w:autoSpaceDE/>
        <w:autoSpaceDN/>
        <w:bidi w:val="0"/>
        <w:adjustRightInd w:val="0"/>
        <w:snapToGrid w:val="0"/>
        <w:spacing w:line="360" w:lineRule="auto"/>
        <w:ind w:firstLine="400" w:firstLineChars="200"/>
        <w:jc w:val="left"/>
        <w:textAlignment w:val="auto"/>
        <w:rPr>
          <w:rFonts w:hint="eastAsia" w:ascii="宋体" w:hAnsi="宋体" w:eastAsia="宋体" w:cs="宋体"/>
          <w:b w:val="0"/>
          <w:bCs/>
          <w:color w:val="FF0000"/>
          <w:sz w:val="20"/>
          <w:szCs w:val="20"/>
          <w:highlight w:val="none"/>
          <w:shd w:val="clear" w:color="auto" w:fill="FFFFFF"/>
        </w:rPr>
      </w:pPr>
      <w:r>
        <w:rPr>
          <w:rFonts w:hint="eastAsia" w:ascii="宋体" w:hAnsi="宋体" w:eastAsia="宋体" w:cs="宋体"/>
          <w:b w:val="0"/>
          <w:bCs/>
          <w:color w:val="FF0000"/>
          <w:sz w:val="20"/>
          <w:szCs w:val="20"/>
          <w:highlight w:val="none"/>
          <w:shd w:val="clear" w:color="auto" w:fill="FFFFFF"/>
        </w:rPr>
        <w:t>抽样人员应当将填写完整的《食品安全抽样检验告知书》食品安全抽样检验抽样单》《食品安全抽样检验样品购置费用告知书》(如有)和《食品安全抽样检验工作质量及工作纪律反馈单》交付被抽样单位并将被抽样单位在《食品安全抽样检验工作质量及工作纪律反馈单》上填写完整的回执单收回。</w:t>
      </w:r>
    </w:p>
    <w:p w14:paraId="5CDC7A97">
      <w:pPr>
        <w:pStyle w:val="6"/>
        <w:keepNext w:val="0"/>
        <w:keepLines w:val="0"/>
        <w:pageBreakBefore w:val="0"/>
        <w:widowControl/>
        <w:kinsoku/>
        <w:wordWrap/>
        <w:overflowPunct/>
        <w:topLinePunct w:val="0"/>
        <w:autoSpaceDE/>
        <w:autoSpaceDN/>
        <w:bidi w:val="0"/>
        <w:adjustRightInd w:val="0"/>
        <w:snapToGrid w:val="0"/>
        <w:spacing w:line="360" w:lineRule="auto"/>
        <w:ind w:firstLine="400" w:firstLineChars="200"/>
        <w:jc w:val="left"/>
        <w:textAlignment w:val="auto"/>
        <w:rPr>
          <w:rFonts w:hint="eastAsia" w:ascii="宋体" w:hAnsi="宋体" w:eastAsia="宋体" w:cs="宋体"/>
          <w:b w:val="0"/>
          <w:bCs/>
          <w:color w:val="FF0000"/>
          <w:sz w:val="20"/>
          <w:szCs w:val="20"/>
          <w:highlight w:val="none"/>
          <w:shd w:val="clear" w:color="auto" w:fill="FFFFFF"/>
        </w:rPr>
      </w:pPr>
      <w:r>
        <w:rPr>
          <w:rFonts w:hint="eastAsia" w:ascii="宋体" w:hAnsi="宋体" w:eastAsia="宋体" w:cs="宋体"/>
          <w:b w:val="0"/>
          <w:bCs/>
          <w:color w:val="FF0000"/>
          <w:sz w:val="20"/>
          <w:szCs w:val="20"/>
          <w:highlight w:val="none"/>
          <w:shd w:val="clear" w:color="auto" w:fill="FFFFFF"/>
          <w:lang w:val="en-US" w:eastAsia="zh-CN"/>
        </w:rPr>
        <w:t>4.2.8</w:t>
      </w:r>
      <w:r>
        <w:rPr>
          <w:rFonts w:hint="eastAsia" w:ascii="宋体" w:hAnsi="宋体" w:eastAsia="宋体" w:cs="宋体"/>
          <w:b w:val="0"/>
          <w:bCs/>
          <w:color w:val="FF0000"/>
          <w:sz w:val="20"/>
          <w:szCs w:val="20"/>
          <w:highlight w:val="none"/>
          <w:shd w:val="clear" w:color="auto" w:fill="FFFFFF"/>
        </w:rPr>
        <w:t>样品的运输</w:t>
      </w:r>
    </w:p>
    <w:p w14:paraId="3FA35D57">
      <w:pPr>
        <w:pStyle w:val="6"/>
        <w:keepNext w:val="0"/>
        <w:keepLines w:val="0"/>
        <w:pageBreakBefore w:val="0"/>
        <w:widowControl/>
        <w:kinsoku/>
        <w:wordWrap/>
        <w:overflowPunct/>
        <w:topLinePunct w:val="0"/>
        <w:autoSpaceDE/>
        <w:autoSpaceDN/>
        <w:bidi w:val="0"/>
        <w:adjustRightInd w:val="0"/>
        <w:snapToGrid w:val="0"/>
        <w:spacing w:line="360" w:lineRule="auto"/>
        <w:ind w:firstLine="400" w:firstLineChars="200"/>
        <w:jc w:val="left"/>
        <w:textAlignment w:val="auto"/>
        <w:rPr>
          <w:rFonts w:hint="eastAsia" w:ascii="宋体" w:hAnsi="宋体" w:eastAsia="宋体" w:cs="宋体"/>
          <w:b w:val="0"/>
          <w:bCs/>
          <w:color w:val="FF0000"/>
          <w:sz w:val="20"/>
          <w:szCs w:val="20"/>
          <w:highlight w:val="none"/>
          <w:shd w:val="clear" w:color="auto" w:fill="FFFFFF"/>
        </w:rPr>
      </w:pPr>
      <w:r>
        <w:rPr>
          <w:rFonts w:hint="eastAsia" w:ascii="宋体" w:hAnsi="宋体" w:eastAsia="宋体" w:cs="宋体"/>
          <w:b w:val="0"/>
          <w:bCs/>
          <w:color w:val="FF0000"/>
          <w:sz w:val="20"/>
          <w:szCs w:val="20"/>
          <w:highlight w:val="none"/>
          <w:shd w:val="clear" w:color="auto" w:fill="FFFFFF"/>
        </w:rPr>
        <w:t>抽取的样品应当由抽样人员携带或寄送至承检机构,不得由被抽样单位自行寄送样品。原则上样品应当在抽样完成后五个工作日内移交承检机构。食品安全标准或其他相关规定对样品运输有特殊时限要求的,从其要求。因客观原因需延长送样期限的,应当经</w:t>
      </w:r>
      <w:r>
        <w:rPr>
          <w:rFonts w:hint="eastAsia" w:ascii="宋体" w:hAnsi="宋体" w:eastAsia="宋体" w:cs="宋体"/>
          <w:b w:val="0"/>
          <w:bCs/>
          <w:color w:val="FF0000"/>
          <w:sz w:val="20"/>
          <w:szCs w:val="20"/>
          <w:highlight w:val="none"/>
          <w:shd w:val="clear" w:color="auto" w:fill="FFFFFF"/>
          <w:lang w:eastAsia="zh-CN"/>
        </w:rPr>
        <w:t>采购人</w:t>
      </w:r>
      <w:r>
        <w:rPr>
          <w:rFonts w:hint="eastAsia" w:ascii="宋体" w:hAnsi="宋体" w:eastAsia="宋体" w:cs="宋体"/>
          <w:b w:val="0"/>
          <w:bCs/>
          <w:color w:val="FF0000"/>
          <w:sz w:val="20"/>
          <w:szCs w:val="20"/>
          <w:highlight w:val="none"/>
          <w:shd w:val="clear" w:color="auto" w:fill="FFFFFF"/>
        </w:rPr>
        <w:t>同意。</w:t>
      </w:r>
    </w:p>
    <w:p w14:paraId="5BE2ACE5">
      <w:pPr>
        <w:pStyle w:val="6"/>
        <w:keepNext w:val="0"/>
        <w:keepLines w:val="0"/>
        <w:pageBreakBefore w:val="0"/>
        <w:widowControl/>
        <w:kinsoku/>
        <w:wordWrap/>
        <w:overflowPunct/>
        <w:topLinePunct w:val="0"/>
        <w:autoSpaceDE/>
        <w:autoSpaceDN/>
        <w:bidi w:val="0"/>
        <w:adjustRightInd w:val="0"/>
        <w:snapToGrid w:val="0"/>
        <w:spacing w:line="360" w:lineRule="auto"/>
        <w:ind w:firstLine="400" w:firstLineChars="200"/>
        <w:jc w:val="left"/>
        <w:textAlignment w:val="auto"/>
        <w:rPr>
          <w:rFonts w:hint="eastAsia" w:ascii="宋体" w:hAnsi="宋体" w:eastAsia="宋体" w:cs="宋体"/>
          <w:b w:val="0"/>
          <w:bCs/>
          <w:color w:val="FF0000"/>
          <w:sz w:val="20"/>
          <w:szCs w:val="20"/>
          <w:highlight w:val="none"/>
          <w:shd w:val="clear" w:color="auto" w:fill="FFFFFF"/>
        </w:rPr>
      </w:pPr>
      <w:r>
        <w:rPr>
          <w:rFonts w:hint="eastAsia" w:ascii="宋体" w:hAnsi="宋体" w:eastAsia="宋体" w:cs="宋体"/>
          <w:b w:val="0"/>
          <w:bCs/>
          <w:color w:val="FF0000"/>
          <w:sz w:val="20"/>
          <w:szCs w:val="20"/>
          <w:highlight w:val="none"/>
          <w:shd w:val="clear" w:color="auto" w:fill="FFFFFF"/>
        </w:rPr>
        <w:t>抽样人员应当根据样品特性和检验目的进行合理贮存、运输。对于易碎,冷藏、冷冻或有其他特殊贮运条件等要求的样品抽样人员应当采取适当措施,保证样品运输过程符合标准或样品标示要求的运输条件。</w:t>
      </w:r>
    </w:p>
    <w:p w14:paraId="26D38E8D">
      <w:pPr>
        <w:pStyle w:val="6"/>
        <w:keepNext w:val="0"/>
        <w:keepLines w:val="0"/>
        <w:pageBreakBefore w:val="0"/>
        <w:widowControl/>
        <w:kinsoku/>
        <w:wordWrap/>
        <w:overflowPunct/>
        <w:topLinePunct w:val="0"/>
        <w:autoSpaceDE/>
        <w:autoSpaceDN/>
        <w:bidi w:val="0"/>
        <w:adjustRightInd w:val="0"/>
        <w:snapToGrid w:val="0"/>
        <w:spacing w:line="360" w:lineRule="auto"/>
        <w:ind w:firstLine="400" w:firstLineChars="200"/>
        <w:jc w:val="left"/>
        <w:textAlignment w:val="auto"/>
        <w:rPr>
          <w:rFonts w:hint="eastAsia" w:ascii="宋体" w:hAnsi="宋体" w:eastAsia="宋体" w:cs="宋体"/>
          <w:b w:val="0"/>
          <w:bCs/>
          <w:color w:val="FF0000"/>
          <w:sz w:val="20"/>
          <w:szCs w:val="20"/>
          <w:highlight w:val="none"/>
          <w:shd w:val="clear" w:color="auto" w:fill="FFFFFF"/>
        </w:rPr>
      </w:pPr>
      <w:r>
        <w:rPr>
          <w:rFonts w:hint="eastAsia" w:ascii="宋体" w:hAnsi="宋体" w:eastAsia="宋体" w:cs="宋体"/>
          <w:b w:val="0"/>
          <w:bCs/>
          <w:color w:val="FF0000"/>
          <w:sz w:val="20"/>
          <w:szCs w:val="20"/>
          <w:highlight w:val="none"/>
          <w:shd w:val="clear" w:color="auto" w:fill="FFFFFF"/>
          <w:lang w:val="en-US" w:eastAsia="zh-CN"/>
        </w:rPr>
        <w:t>4.2.9</w:t>
      </w:r>
      <w:r>
        <w:rPr>
          <w:rFonts w:hint="eastAsia" w:ascii="宋体" w:hAnsi="宋体" w:eastAsia="宋体" w:cs="宋体"/>
          <w:b w:val="0"/>
          <w:bCs/>
          <w:color w:val="FF0000"/>
          <w:sz w:val="20"/>
          <w:szCs w:val="20"/>
          <w:highlight w:val="none"/>
          <w:shd w:val="clear" w:color="auto" w:fill="FFFFFF"/>
        </w:rPr>
        <w:t>拒绝抽样的处理</w:t>
      </w:r>
    </w:p>
    <w:p w14:paraId="6CCEA9D2">
      <w:pPr>
        <w:pStyle w:val="6"/>
        <w:keepNext w:val="0"/>
        <w:keepLines w:val="0"/>
        <w:pageBreakBefore w:val="0"/>
        <w:widowControl/>
        <w:kinsoku/>
        <w:wordWrap/>
        <w:overflowPunct/>
        <w:topLinePunct w:val="0"/>
        <w:autoSpaceDE/>
        <w:autoSpaceDN/>
        <w:bidi w:val="0"/>
        <w:adjustRightInd w:val="0"/>
        <w:snapToGrid w:val="0"/>
        <w:spacing w:line="360" w:lineRule="auto"/>
        <w:ind w:firstLine="400" w:firstLineChars="200"/>
        <w:jc w:val="left"/>
        <w:textAlignment w:val="auto"/>
        <w:rPr>
          <w:rFonts w:hint="eastAsia" w:ascii="宋体" w:hAnsi="宋体" w:eastAsia="宋体" w:cs="宋体"/>
          <w:b w:val="0"/>
          <w:bCs/>
          <w:color w:val="FF0000"/>
          <w:sz w:val="20"/>
          <w:szCs w:val="20"/>
          <w:highlight w:val="none"/>
          <w:shd w:val="clear" w:color="auto" w:fill="FFFFFF"/>
        </w:rPr>
      </w:pPr>
      <w:r>
        <w:rPr>
          <w:rFonts w:hint="eastAsia" w:ascii="宋体" w:hAnsi="宋体" w:eastAsia="宋体" w:cs="宋体"/>
          <w:b w:val="0"/>
          <w:bCs/>
          <w:color w:val="FF0000"/>
          <w:sz w:val="20"/>
          <w:szCs w:val="20"/>
          <w:highlight w:val="none"/>
          <w:shd w:val="clear" w:color="auto" w:fill="FFFFFF"/>
        </w:rPr>
        <w:t>被抽样单位无正当理由拒绝或阻挠食品安全抽样工作的,抽样人员应当如实做好情况记录,告知拒绝抽样的后果,填写《食品安全抽样检验拒绝抽样情况说明》.说明被抽样单位拒绝抽样的情况，由有管辖权的市场监管部门对被抽样单位依法处理。</w:t>
      </w:r>
    </w:p>
    <w:p w14:paraId="75E2B265">
      <w:pPr>
        <w:pStyle w:val="6"/>
        <w:keepNext w:val="0"/>
        <w:keepLines w:val="0"/>
        <w:pageBreakBefore w:val="0"/>
        <w:widowControl/>
        <w:kinsoku/>
        <w:wordWrap/>
        <w:overflowPunct/>
        <w:topLinePunct w:val="0"/>
        <w:autoSpaceDE/>
        <w:autoSpaceDN/>
        <w:bidi w:val="0"/>
        <w:adjustRightInd w:val="0"/>
        <w:snapToGrid w:val="0"/>
        <w:spacing w:line="360" w:lineRule="auto"/>
        <w:ind w:firstLine="400" w:firstLineChars="200"/>
        <w:jc w:val="left"/>
        <w:textAlignment w:val="auto"/>
        <w:rPr>
          <w:rFonts w:hint="eastAsia" w:ascii="宋体" w:hAnsi="宋体" w:eastAsia="宋体" w:cs="宋体"/>
          <w:b w:val="0"/>
          <w:bCs/>
          <w:color w:val="FF0000"/>
          <w:sz w:val="20"/>
          <w:szCs w:val="20"/>
          <w:highlight w:val="none"/>
          <w:shd w:val="clear" w:color="auto" w:fill="FFFFFF"/>
        </w:rPr>
      </w:pPr>
      <w:r>
        <w:rPr>
          <w:rFonts w:hint="eastAsia" w:ascii="宋体" w:hAnsi="宋体" w:eastAsia="宋体" w:cs="宋体"/>
          <w:b w:val="0"/>
          <w:bCs/>
          <w:color w:val="FF0000"/>
          <w:sz w:val="20"/>
          <w:szCs w:val="20"/>
          <w:highlight w:val="none"/>
          <w:shd w:val="clear" w:color="auto" w:fill="FFFFFF"/>
          <w:lang w:val="en-US" w:eastAsia="zh-CN"/>
        </w:rPr>
        <w:t>4.2.10</w:t>
      </w:r>
      <w:r>
        <w:rPr>
          <w:rFonts w:hint="eastAsia" w:ascii="宋体" w:hAnsi="宋体" w:eastAsia="宋体" w:cs="宋体"/>
          <w:b w:val="0"/>
          <w:bCs/>
          <w:color w:val="FF0000"/>
          <w:sz w:val="20"/>
          <w:szCs w:val="20"/>
          <w:highlight w:val="none"/>
          <w:shd w:val="clear" w:color="auto" w:fill="FFFFFF"/>
        </w:rPr>
        <w:t>不予抽样的情形</w:t>
      </w:r>
    </w:p>
    <w:p w14:paraId="0EAE40B0">
      <w:pPr>
        <w:pStyle w:val="6"/>
        <w:keepNext w:val="0"/>
        <w:keepLines w:val="0"/>
        <w:pageBreakBefore w:val="0"/>
        <w:widowControl/>
        <w:kinsoku/>
        <w:wordWrap/>
        <w:overflowPunct/>
        <w:topLinePunct w:val="0"/>
        <w:autoSpaceDE/>
        <w:autoSpaceDN/>
        <w:bidi w:val="0"/>
        <w:adjustRightInd w:val="0"/>
        <w:snapToGrid w:val="0"/>
        <w:spacing w:line="360" w:lineRule="auto"/>
        <w:ind w:firstLine="400" w:firstLineChars="200"/>
        <w:jc w:val="left"/>
        <w:textAlignment w:val="auto"/>
        <w:rPr>
          <w:rFonts w:hint="eastAsia" w:ascii="宋体" w:hAnsi="宋体" w:eastAsia="宋体" w:cs="宋体"/>
          <w:b w:val="0"/>
          <w:bCs/>
          <w:color w:val="FF0000"/>
          <w:sz w:val="20"/>
          <w:szCs w:val="20"/>
          <w:highlight w:val="none"/>
          <w:shd w:val="clear" w:color="auto" w:fill="FFFFFF"/>
        </w:rPr>
      </w:pPr>
      <w:r>
        <w:rPr>
          <w:rFonts w:hint="eastAsia" w:ascii="宋体" w:hAnsi="宋体" w:eastAsia="宋体" w:cs="宋体"/>
          <w:b w:val="0"/>
          <w:bCs/>
          <w:color w:val="FF0000"/>
          <w:sz w:val="20"/>
          <w:szCs w:val="20"/>
          <w:highlight w:val="none"/>
          <w:shd w:val="clear" w:color="auto" w:fill="FFFFFF"/>
        </w:rPr>
        <w:t>抽样时,遇有下列情况之一且能提供有效证明的,不予抽样:(1)食品标签、包装、说明书标有“试制”或者“样品”等字样的;(2)拟抽样检验的食品全部用于出口的;(3)拟抽样检验的食品由被抽样单位停止销售、单独存放、明确标注封存待处置的;(4)法律、法规和规章规定的其他情形。</w:t>
      </w:r>
    </w:p>
    <w:p w14:paraId="5891C076">
      <w:pPr>
        <w:pStyle w:val="6"/>
        <w:keepNext w:val="0"/>
        <w:keepLines w:val="0"/>
        <w:pageBreakBefore w:val="0"/>
        <w:widowControl/>
        <w:kinsoku/>
        <w:wordWrap/>
        <w:overflowPunct/>
        <w:topLinePunct w:val="0"/>
        <w:autoSpaceDE/>
        <w:autoSpaceDN/>
        <w:bidi w:val="0"/>
        <w:adjustRightInd w:val="0"/>
        <w:snapToGrid w:val="0"/>
        <w:spacing w:line="360" w:lineRule="auto"/>
        <w:ind w:firstLine="400" w:firstLineChars="200"/>
        <w:jc w:val="left"/>
        <w:textAlignment w:val="auto"/>
        <w:rPr>
          <w:rFonts w:hint="eastAsia" w:ascii="宋体" w:hAnsi="宋体" w:eastAsia="宋体" w:cs="宋体"/>
          <w:b w:val="0"/>
          <w:bCs/>
          <w:color w:val="FF0000"/>
          <w:sz w:val="20"/>
          <w:szCs w:val="20"/>
          <w:highlight w:val="none"/>
          <w:shd w:val="clear" w:color="auto" w:fill="FFFFFF"/>
        </w:rPr>
      </w:pPr>
      <w:r>
        <w:rPr>
          <w:rFonts w:hint="eastAsia" w:ascii="宋体" w:hAnsi="宋体" w:eastAsia="宋体" w:cs="宋体"/>
          <w:b w:val="0"/>
          <w:bCs/>
          <w:color w:val="FF0000"/>
          <w:sz w:val="20"/>
          <w:szCs w:val="20"/>
          <w:highlight w:val="none"/>
          <w:shd w:val="clear" w:color="auto" w:fill="FFFFFF"/>
          <w:lang w:val="en-US" w:eastAsia="zh-CN"/>
        </w:rPr>
        <w:t>4.2.11</w:t>
      </w:r>
      <w:r>
        <w:rPr>
          <w:rFonts w:hint="eastAsia" w:ascii="宋体" w:hAnsi="宋体" w:eastAsia="宋体" w:cs="宋体"/>
          <w:b w:val="0"/>
          <w:bCs/>
          <w:color w:val="FF0000"/>
          <w:sz w:val="20"/>
          <w:szCs w:val="20"/>
          <w:highlight w:val="none"/>
          <w:shd w:val="clear" w:color="auto" w:fill="FFFFFF"/>
        </w:rPr>
        <w:t>特殊情况的处置和上报</w:t>
      </w:r>
    </w:p>
    <w:p w14:paraId="1A76B34A">
      <w:pPr>
        <w:pStyle w:val="6"/>
        <w:keepNext w:val="0"/>
        <w:keepLines w:val="0"/>
        <w:pageBreakBefore w:val="0"/>
        <w:widowControl/>
        <w:kinsoku/>
        <w:wordWrap/>
        <w:overflowPunct/>
        <w:topLinePunct w:val="0"/>
        <w:autoSpaceDE/>
        <w:autoSpaceDN/>
        <w:bidi w:val="0"/>
        <w:adjustRightInd w:val="0"/>
        <w:snapToGrid w:val="0"/>
        <w:spacing w:line="360" w:lineRule="auto"/>
        <w:ind w:firstLine="400" w:firstLineChars="200"/>
        <w:jc w:val="left"/>
        <w:textAlignment w:val="auto"/>
        <w:rPr>
          <w:rFonts w:hint="eastAsia" w:ascii="宋体" w:hAnsi="宋体" w:eastAsia="宋体" w:cs="宋体"/>
          <w:b w:val="0"/>
          <w:bCs/>
          <w:color w:val="FF0000"/>
          <w:sz w:val="20"/>
          <w:szCs w:val="20"/>
          <w:highlight w:val="none"/>
          <w:shd w:val="clear" w:color="auto" w:fill="FFFFFF"/>
        </w:rPr>
      </w:pPr>
      <w:r>
        <w:rPr>
          <w:rFonts w:hint="eastAsia" w:ascii="宋体" w:hAnsi="宋体" w:eastAsia="宋体" w:cs="宋体"/>
          <w:b w:val="0"/>
          <w:bCs/>
          <w:color w:val="FF0000"/>
          <w:sz w:val="20"/>
          <w:szCs w:val="20"/>
          <w:highlight w:val="none"/>
          <w:shd w:val="clear" w:color="auto" w:fill="FFFFFF"/>
        </w:rPr>
        <w:t>抽样时,发现被抽样单位有下列情况之一的,原则上应当停止抽样,及时依法处置或报告有管辖权的市场监管部门:(1)被抽样单位不具备生产经营被抽样品所应当具备的合法资质;(2)经营超过保质期或已腐败变质食品的;(3)生产经营的食品及原料无合法来源的;(4)被抽样单位存在明显不符合有关法律法规和部门规章要求的</w:t>
      </w:r>
    </w:p>
    <w:p w14:paraId="0F9A2798">
      <w:pPr>
        <w:pStyle w:val="6"/>
        <w:keepNext w:val="0"/>
        <w:keepLines w:val="0"/>
        <w:pageBreakBefore w:val="0"/>
        <w:widowControl/>
        <w:kinsoku/>
        <w:wordWrap/>
        <w:overflowPunct/>
        <w:topLinePunct w:val="0"/>
        <w:autoSpaceDE/>
        <w:autoSpaceDN/>
        <w:bidi w:val="0"/>
        <w:adjustRightInd w:val="0"/>
        <w:snapToGrid w:val="0"/>
        <w:spacing w:line="360" w:lineRule="auto"/>
        <w:ind w:firstLine="400" w:firstLineChars="200"/>
        <w:jc w:val="left"/>
        <w:textAlignment w:val="auto"/>
        <w:rPr>
          <w:rFonts w:hint="eastAsia" w:ascii="宋体" w:hAnsi="宋体" w:eastAsia="宋体" w:cs="宋体"/>
          <w:b w:val="0"/>
          <w:bCs/>
          <w:color w:val="FF0000"/>
          <w:sz w:val="20"/>
          <w:szCs w:val="20"/>
          <w:highlight w:val="none"/>
          <w:shd w:val="clear" w:color="auto" w:fill="FFFFFF"/>
        </w:rPr>
      </w:pPr>
      <w:r>
        <w:rPr>
          <w:rFonts w:hint="eastAsia" w:ascii="宋体" w:hAnsi="宋体" w:eastAsia="宋体" w:cs="宋体"/>
          <w:b w:val="0"/>
          <w:bCs/>
          <w:color w:val="FF0000"/>
          <w:sz w:val="20"/>
          <w:szCs w:val="20"/>
          <w:highlight w:val="none"/>
          <w:shd w:val="clear" w:color="auto" w:fill="FFFFFF"/>
          <w:lang w:val="en-US" w:eastAsia="zh-CN"/>
        </w:rPr>
        <w:t>4.2.12</w:t>
      </w:r>
      <w:r>
        <w:rPr>
          <w:rFonts w:hint="eastAsia" w:ascii="宋体" w:hAnsi="宋体" w:eastAsia="宋体" w:cs="宋体"/>
          <w:b w:val="0"/>
          <w:bCs/>
          <w:color w:val="FF0000"/>
          <w:sz w:val="20"/>
          <w:szCs w:val="20"/>
          <w:highlight w:val="none"/>
          <w:shd w:val="clear" w:color="auto" w:fill="FFFFFF"/>
        </w:rPr>
        <w:t xml:space="preserve"> 风险监测抽样时,不受抽样数量、抽样地点、被抽样单位是否具备合法资质等限制,并可简化告知、现场信息采集等执法相关的程序。</w:t>
      </w:r>
    </w:p>
    <w:p w14:paraId="488CB048">
      <w:pPr>
        <w:pStyle w:val="6"/>
        <w:keepNext w:val="0"/>
        <w:keepLines w:val="0"/>
        <w:pageBreakBefore w:val="0"/>
        <w:widowControl/>
        <w:kinsoku/>
        <w:wordWrap/>
        <w:overflowPunct/>
        <w:topLinePunct w:val="0"/>
        <w:autoSpaceDE/>
        <w:autoSpaceDN/>
        <w:bidi w:val="0"/>
        <w:adjustRightInd w:val="0"/>
        <w:snapToGrid w:val="0"/>
        <w:spacing w:line="360" w:lineRule="auto"/>
        <w:ind w:firstLine="400" w:firstLineChars="200"/>
        <w:jc w:val="left"/>
        <w:textAlignment w:val="auto"/>
        <w:rPr>
          <w:rFonts w:hint="eastAsia" w:ascii="宋体" w:hAnsi="宋体" w:eastAsia="宋体" w:cs="宋体"/>
          <w:b w:val="0"/>
          <w:bCs/>
          <w:color w:val="FF0000"/>
          <w:sz w:val="20"/>
          <w:szCs w:val="20"/>
          <w:highlight w:val="none"/>
          <w:shd w:val="clear" w:color="auto" w:fill="FFFFFF"/>
        </w:rPr>
      </w:pPr>
      <w:r>
        <w:rPr>
          <w:rFonts w:hint="eastAsia" w:ascii="宋体" w:hAnsi="宋体" w:eastAsia="宋体" w:cs="宋体"/>
          <w:b w:val="0"/>
          <w:bCs/>
          <w:color w:val="FF0000"/>
          <w:sz w:val="20"/>
          <w:szCs w:val="20"/>
          <w:highlight w:val="none"/>
          <w:shd w:val="clear" w:color="auto" w:fill="FFFFFF"/>
          <w:lang w:val="en-US" w:eastAsia="zh-CN"/>
        </w:rPr>
        <w:t>4.3</w:t>
      </w:r>
      <w:r>
        <w:rPr>
          <w:rFonts w:hint="eastAsia" w:ascii="宋体" w:hAnsi="宋体" w:eastAsia="宋体" w:cs="宋体"/>
          <w:b w:val="0"/>
          <w:bCs/>
          <w:color w:val="FF0000"/>
          <w:sz w:val="20"/>
          <w:szCs w:val="20"/>
          <w:highlight w:val="none"/>
          <w:shd w:val="clear" w:color="auto" w:fill="FFFFFF"/>
        </w:rPr>
        <w:t xml:space="preserve"> 网络抽样</w:t>
      </w:r>
    </w:p>
    <w:p w14:paraId="3269F67D">
      <w:pPr>
        <w:pStyle w:val="6"/>
        <w:keepNext w:val="0"/>
        <w:keepLines w:val="0"/>
        <w:pageBreakBefore w:val="0"/>
        <w:widowControl/>
        <w:kinsoku/>
        <w:wordWrap/>
        <w:overflowPunct/>
        <w:topLinePunct w:val="0"/>
        <w:autoSpaceDE/>
        <w:autoSpaceDN/>
        <w:bidi w:val="0"/>
        <w:adjustRightInd w:val="0"/>
        <w:snapToGrid w:val="0"/>
        <w:spacing w:line="360" w:lineRule="auto"/>
        <w:ind w:firstLine="400" w:firstLineChars="200"/>
        <w:jc w:val="left"/>
        <w:textAlignment w:val="auto"/>
        <w:rPr>
          <w:rFonts w:hint="eastAsia" w:ascii="宋体" w:hAnsi="宋体" w:eastAsia="宋体" w:cs="宋体"/>
          <w:b w:val="0"/>
          <w:bCs/>
          <w:color w:val="FF0000"/>
          <w:sz w:val="20"/>
          <w:szCs w:val="20"/>
          <w:highlight w:val="none"/>
          <w:shd w:val="clear" w:color="auto" w:fill="FFFFFF"/>
        </w:rPr>
      </w:pPr>
      <w:r>
        <w:rPr>
          <w:rFonts w:hint="eastAsia" w:ascii="宋体" w:hAnsi="宋体" w:eastAsia="宋体" w:cs="宋体"/>
          <w:b w:val="0"/>
          <w:bCs/>
          <w:color w:val="FF0000"/>
          <w:sz w:val="20"/>
          <w:szCs w:val="20"/>
          <w:highlight w:val="none"/>
          <w:shd w:val="clear" w:color="auto" w:fill="FFFFFF"/>
        </w:rPr>
        <w:t>网络抽样的对象是通过网络开展食品交易的经营者,包括网络交易平台经营者、平台内经营者、自建网站经营者以及通过其他网络服务开展网络交易活动的经营者。</w:t>
      </w:r>
    </w:p>
    <w:p w14:paraId="6247E0F0">
      <w:pPr>
        <w:pStyle w:val="6"/>
        <w:keepNext w:val="0"/>
        <w:keepLines w:val="0"/>
        <w:pageBreakBefore w:val="0"/>
        <w:widowControl/>
        <w:kinsoku/>
        <w:wordWrap/>
        <w:overflowPunct/>
        <w:topLinePunct w:val="0"/>
        <w:autoSpaceDE/>
        <w:autoSpaceDN/>
        <w:bidi w:val="0"/>
        <w:adjustRightInd w:val="0"/>
        <w:snapToGrid w:val="0"/>
        <w:spacing w:line="360" w:lineRule="auto"/>
        <w:ind w:firstLine="400" w:firstLineChars="200"/>
        <w:jc w:val="left"/>
        <w:textAlignment w:val="auto"/>
        <w:rPr>
          <w:rFonts w:hint="eastAsia" w:ascii="宋体" w:hAnsi="宋体" w:eastAsia="宋体" w:cs="宋体"/>
          <w:b w:val="0"/>
          <w:bCs/>
          <w:color w:val="FF0000"/>
          <w:sz w:val="20"/>
          <w:szCs w:val="20"/>
          <w:highlight w:val="none"/>
          <w:shd w:val="clear" w:color="auto" w:fill="FFFFFF"/>
        </w:rPr>
      </w:pPr>
      <w:r>
        <w:rPr>
          <w:rFonts w:hint="eastAsia" w:ascii="宋体" w:hAnsi="宋体" w:eastAsia="宋体" w:cs="宋体"/>
          <w:b w:val="0"/>
          <w:bCs/>
          <w:color w:val="FF0000"/>
          <w:sz w:val="20"/>
          <w:szCs w:val="20"/>
          <w:highlight w:val="none"/>
          <w:shd w:val="clear" w:color="auto" w:fill="FFFFFF"/>
          <w:lang w:val="en-US" w:eastAsia="zh-CN"/>
        </w:rPr>
        <w:t>4</w:t>
      </w:r>
      <w:r>
        <w:rPr>
          <w:rFonts w:hint="eastAsia" w:ascii="宋体" w:hAnsi="宋体" w:eastAsia="宋体" w:cs="宋体"/>
          <w:b w:val="0"/>
          <w:bCs/>
          <w:color w:val="FF0000"/>
          <w:sz w:val="20"/>
          <w:szCs w:val="20"/>
          <w:highlight w:val="none"/>
          <w:shd w:val="clear" w:color="auto" w:fill="FFFFFF"/>
        </w:rPr>
        <w:t>.</w:t>
      </w:r>
      <w:r>
        <w:rPr>
          <w:rFonts w:hint="eastAsia" w:ascii="宋体" w:hAnsi="宋体" w:eastAsia="宋体" w:cs="宋体"/>
          <w:b w:val="0"/>
          <w:bCs/>
          <w:color w:val="FF0000"/>
          <w:sz w:val="20"/>
          <w:szCs w:val="20"/>
          <w:highlight w:val="none"/>
          <w:shd w:val="clear" w:color="auto" w:fill="FFFFFF"/>
          <w:lang w:val="en-US" w:eastAsia="zh-CN"/>
        </w:rPr>
        <w:t>3</w:t>
      </w:r>
      <w:r>
        <w:rPr>
          <w:rFonts w:hint="eastAsia" w:ascii="宋体" w:hAnsi="宋体" w:eastAsia="宋体" w:cs="宋体"/>
          <w:b w:val="0"/>
          <w:bCs/>
          <w:color w:val="FF0000"/>
          <w:sz w:val="20"/>
          <w:szCs w:val="20"/>
          <w:highlight w:val="none"/>
          <w:shd w:val="clear" w:color="auto" w:fill="FFFFFF"/>
        </w:rPr>
        <w:t>.1信息核查</w:t>
      </w:r>
    </w:p>
    <w:p w14:paraId="3131A172">
      <w:pPr>
        <w:pStyle w:val="6"/>
        <w:keepNext w:val="0"/>
        <w:keepLines w:val="0"/>
        <w:pageBreakBefore w:val="0"/>
        <w:widowControl/>
        <w:kinsoku/>
        <w:wordWrap/>
        <w:overflowPunct/>
        <w:topLinePunct w:val="0"/>
        <w:autoSpaceDE/>
        <w:autoSpaceDN/>
        <w:bidi w:val="0"/>
        <w:adjustRightInd w:val="0"/>
        <w:snapToGrid w:val="0"/>
        <w:spacing w:line="360" w:lineRule="auto"/>
        <w:ind w:firstLine="400" w:firstLineChars="200"/>
        <w:jc w:val="left"/>
        <w:textAlignment w:val="auto"/>
        <w:rPr>
          <w:rFonts w:hint="eastAsia" w:ascii="宋体" w:hAnsi="宋体" w:eastAsia="宋体" w:cs="宋体"/>
          <w:b w:val="0"/>
          <w:bCs/>
          <w:color w:val="FF0000"/>
          <w:sz w:val="20"/>
          <w:szCs w:val="20"/>
          <w:highlight w:val="none"/>
          <w:shd w:val="clear" w:color="auto" w:fill="FFFFFF"/>
        </w:rPr>
      </w:pPr>
      <w:r>
        <w:rPr>
          <w:rFonts w:hint="eastAsia" w:ascii="宋体" w:hAnsi="宋体" w:eastAsia="宋体" w:cs="宋体"/>
          <w:b w:val="0"/>
          <w:bCs/>
          <w:color w:val="FF0000"/>
          <w:sz w:val="20"/>
          <w:szCs w:val="20"/>
          <w:highlight w:val="none"/>
          <w:shd w:val="clear" w:color="auto" w:fill="FFFFFF"/>
        </w:rPr>
        <w:t>抽样人员应当确认网络食品交易经营者或食品生产企业(含委托加工方、受委托加工方)中至少有一方处于</w:t>
      </w:r>
      <w:r>
        <w:rPr>
          <w:rFonts w:hint="eastAsia" w:ascii="宋体" w:hAnsi="宋体" w:eastAsia="宋体" w:cs="宋体"/>
          <w:b w:val="0"/>
          <w:bCs/>
          <w:color w:val="FF0000"/>
          <w:sz w:val="20"/>
          <w:szCs w:val="20"/>
          <w:highlight w:val="none"/>
          <w:shd w:val="clear" w:color="auto" w:fill="FFFFFF"/>
          <w:lang w:eastAsia="zh-CN"/>
        </w:rPr>
        <w:t>采购人</w:t>
      </w:r>
      <w:r>
        <w:rPr>
          <w:rFonts w:hint="eastAsia" w:ascii="宋体" w:hAnsi="宋体" w:eastAsia="宋体" w:cs="宋体"/>
          <w:b w:val="0"/>
          <w:bCs/>
          <w:color w:val="FF0000"/>
          <w:sz w:val="20"/>
          <w:szCs w:val="20"/>
          <w:highlight w:val="none"/>
          <w:shd w:val="clear" w:color="auto" w:fill="FFFFFF"/>
        </w:rPr>
        <w:t>监管辖区内，同时核查营业执照、许可证等相关证件。</w:t>
      </w:r>
    </w:p>
    <w:p w14:paraId="3F3039E5">
      <w:pPr>
        <w:pStyle w:val="6"/>
        <w:keepNext w:val="0"/>
        <w:keepLines w:val="0"/>
        <w:pageBreakBefore w:val="0"/>
        <w:widowControl/>
        <w:kinsoku/>
        <w:wordWrap/>
        <w:overflowPunct/>
        <w:topLinePunct w:val="0"/>
        <w:autoSpaceDE/>
        <w:autoSpaceDN/>
        <w:bidi w:val="0"/>
        <w:adjustRightInd w:val="0"/>
        <w:snapToGrid w:val="0"/>
        <w:spacing w:line="360" w:lineRule="auto"/>
        <w:ind w:firstLine="400" w:firstLineChars="200"/>
        <w:jc w:val="left"/>
        <w:textAlignment w:val="auto"/>
        <w:rPr>
          <w:rFonts w:hint="eastAsia" w:ascii="宋体" w:hAnsi="宋体" w:eastAsia="宋体" w:cs="宋体"/>
          <w:b w:val="0"/>
          <w:bCs/>
          <w:color w:val="FF0000"/>
          <w:sz w:val="20"/>
          <w:szCs w:val="20"/>
          <w:highlight w:val="none"/>
          <w:shd w:val="clear" w:color="auto" w:fill="FFFFFF"/>
        </w:rPr>
      </w:pPr>
      <w:r>
        <w:rPr>
          <w:rFonts w:hint="eastAsia" w:ascii="宋体" w:hAnsi="宋体" w:eastAsia="宋体" w:cs="宋体"/>
          <w:b w:val="0"/>
          <w:bCs/>
          <w:color w:val="FF0000"/>
          <w:sz w:val="20"/>
          <w:szCs w:val="20"/>
          <w:highlight w:val="none"/>
          <w:shd w:val="clear" w:color="auto" w:fill="FFFFFF"/>
          <w:lang w:val="en-US" w:eastAsia="zh-CN"/>
        </w:rPr>
        <w:t>4</w:t>
      </w:r>
      <w:r>
        <w:rPr>
          <w:rFonts w:hint="eastAsia" w:ascii="宋体" w:hAnsi="宋体" w:eastAsia="宋体" w:cs="宋体"/>
          <w:b w:val="0"/>
          <w:bCs/>
          <w:color w:val="FF0000"/>
          <w:sz w:val="20"/>
          <w:szCs w:val="20"/>
          <w:highlight w:val="none"/>
          <w:shd w:val="clear" w:color="auto" w:fill="FFFFFF"/>
        </w:rPr>
        <w:t>.</w:t>
      </w:r>
      <w:r>
        <w:rPr>
          <w:rFonts w:hint="eastAsia" w:ascii="宋体" w:hAnsi="宋体" w:eastAsia="宋体" w:cs="宋体"/>
          <w:b w:val="0"/>
          <w:bCs/>
          <w:color w:val="FF0000"/>
          <w:sz w:val="20"/>
          <w:szCs w:val="20"/>
          <w:highlight w:val="none"/>
          <w:shd w:val="clear" w:color="auto" w:fill="FFFFFF"/>
          <w:lang w:val="en-US" w:eastAsia="zh-CN"/>
        </w:rPr>
        <w:t>3</w:t>
      </w:r>
      <w:r>
        <w:rPr>
          <w:rFonts w:hint="eastAsia" w:ascii="宋体" w:hAnsi="宋体" w:eastAsia="宋体" w:cs="宋体"/>
          <w:b w:val="0"/>
          <w:bCs/>
          <w:color w:val="FF0000"/>
          <w:sz w:val="20"/>
          <w:szCs w:val="20"/>
          <w:highlight w:val="none"/>
          <w:shd w:val="clear" w:color="auto" w:fill="FFFFFF"/>
        </w:rPr>
        <w:t>.2样品购买</w:t>
      </w:r>
    </w:p>
    <w:p w14:paraId="65C209B0">
      <w:pPr>
        <w:pStyle w:val="6"/>
        <w:keepNext w:val="0"/>
        <w:keepLines w:val="0"/>
        <w:pageBreakBefore w:val="0"/>
        <w:widowControl/>
        <w:kinsoku/>
        <w:wordWrap/>
        <w:overflowPunct/>
        <w:topLinePunct w:val="0"/>
        <w:autoSpaceDE/>
        <w:autoSpaceDN/>
        <w:bidi w:val="0"/>
        <w:adjustRightInd w:val="0"/>
        <w:snapToGrid w:val="0"/>
        <w:spacing w:line="360" w:lineRule="auto"/>
        <w:ind w:firstLine="400" w:firstLineChars="200"/>
        <w:jc w:val="left"/>
        <w:textAlignment w:val="auto"/>
        <w:rPr>
          <w:rFonts w:hint="eastAsia" w:ascii="宋体" w:hAnsi="宋体" w:eastAsia="宋体" w:cs="宋体"/>
          <w:b w:val="0"/>
          <w:bCs/>
          <w:color w:val="FF0000"/>
          <w:sz w:val="20"/>
          <w:szCs w:val="20"/>
          <w:highlight w:val="none"/>
          <w:shd w:val="clear" w:color="auto" w:fill="FFFFFF"/>
        </w:rPr>
      </w:pPr>
      <w:r>
        <w:rPr>
          <w:rFonts w:hint="eastAsia" w:ascii="宋体" w:hAnsi="宋体" w:eastAsia="宋体" w:cs="宋体"/>
          <w:b w:val="0"/>
          <w:bCs/>
          <w:color w:val="FF0000"/>
          <w:sz w:val="20"/>
          <w:szCs w:val="20"/>
          <w:highlight w:val="none"/>
          <w:shd w:val="clear" w:color="auto" w:fill="FFFFFF"/>
        </w:rPr>
        <w:t>抽样人员使用已备案的账户登录网络交易平台,检索平台内的拟抽检食品,以消费者身份购买样品,使用已备案的付款账户向被抽样单位支付费用(含样品费、打包费、运输费等),索要支付凭证(发票或收据)。被抽样单位无法提供发票或收据的,网络支付截图和订单明细可作为购样凭证。</w:t>
      </w:r>
    </w:p>
    <w:p w14:paraId="1186CE59">
      <w:pPr>
        <w:pStyle w:val="6"/>
        <w:keepNext w:val="0"/>
        <w:keepLines w:val="0"/>
        <w:pageBreakBefore w:val="0"/>
        <w:widowControl/>
        <w:kinsoku/>
        <w:wordWrap/>
        <w:overflowPunct/>
        <w:topLinePunct w:val="0"/>
        <w:autoSpaceDE/>
        <w:autoSpaceDN/>
        <w:bidi w:val="0"/>
        <w:adjustRightInd w:val="0"/>
        <w:snapToGrid w:val="0"/>
        <w:spacing w:line="360" w:lineRule="auto"/>
        <w:ind w:firstLine="400" w:firstLineChars="200"/>
        <w:jc w:val="left"/>
        <w:textAlignment w:val="auto"/>
        <w:rPr>
          <w:rFonts w:hint="eastAsia" w:ascii="宋体" w:hAnsi="宋体" w:eastAsia="宋体" w:cs="宋体"/>
          <w:b w:val="0"/>
          <w:bCs/>
          <w:color w:val="FF0000"/>
          <w:sz w:val="20"/>
          <w:szCs w:val="20"/>
          <w:highlight w:val="none"/>
          <w:shd w:val="clear" w:color="auto" w:fill="FFFFFF"/>
        </w:rPr>
      </w:pPr>
      <w:r>
        <w:rPr>
          <w:rFonts w:hint="eastAsia" w:ascii="宋体" w:hAnsi="宋体" w:eastAsia="宋体" w:cs="宋体"/>
          <w:b w:val="0"/>
          <w:bCs/>
          <w:color w:val="FF0000"/>
          <w:sz w:val="20"/>
          <w:szCs w:val="20"/>
          <w:highlight w:val="none"/>
          <w:shd w:val="clear" w:color="auto" w:fill="FFFFFF"/>
          <w:lang w:val="en-US" w:eastAsia="zh-CN"/>
        </w:rPr>
        <w:t>4</w:t>
      </w:r>
      <w:r>
        <w:rPr>
          <w:rFonts w:hint="eastAsia" w:ascii="宋体" w:hAnsi="宋体" w:eastAsia="宋体" w:cs="宋体"/>
          <w:b w:val="0"/>
          <w:bCs/>
          <w:color w:val="FF0000"/>
          <w:sz w:val="20"/>
          <w:szCs w:val="20"/>
          <w:highlight w:val="none"/>
          <w:shd w:val="clear" w:color="auto" w:fill="FFFFFF"/>
        </w:rPr>
        <w:t>.</w:t>
      </w:r>
      <w:r>
        <w:rPr>
          <w:rFonts w:hint="eastAsia" w:ascii="宋体" w:hAnsi="宋体" w:eastAsia="宋体" w:cs="宋体"/>
          <w:b w:val="0"/>
          <w:bCs/>
          <w:color w:val="FF0000"/>
          <w:sz w:val="20"/>
          <w:szCs w:val="20"/>
          <w:highlight w:val="none"/>
          <w:shd w:val="clear" w:color="auto" w:fill="FFFFFF"/>
          <w:lang w:val="en-US" w:eastAsia="zh-CN"/>
        </w:rPr>
        <w:t>3</w:t>
      </w:r>
      <w:r>
        <w:rPr>
          <w:rFonts w:hint="eastAsia" w:ascii="宋体" w:hAnsi="宋体" w:eastAsia="宋体" w:cs="宋体"/>
          <w:b w:val="0"/>
          <w:bCs/>
          <w:color w:val="FF0000"/>
          <w:sz w:val="20"/>
          <w:szCs w:val="20"/>
          <w:highlight w:val="none"/>
          <w:shd w:val="clear" w:color="auto" w:fill="FFFFFF"/>
        </w:rPr>
        <w:t>.3 购买过程的信息采集</w:t>
      </w:r>
    </w:p>
    <w:p w14:paraId="187C2ED1">
      <w:pPr>
        <w:pStyle w:val="6"/>
        <w:keepNext w:val="0"/>
        <w:keepLines w:val="0"/>
        <w:pageBreakBefore w:val="0"/>
        <w:widowControl/>
        <w:kinsoku/>
        <w:wordWrap/>
        <w:overflowPunct/>
        <w:topLinePunct w:val="0"/>
        <w:autoSpaceDE/>
        <w:autoSpaceDN/>
        <w:bidi w:val="0"/>
        <w:adjustRightInd w:val="0"/>
        <w:snapToGrid w:val="0"/>
        <w:spacing w:line="360" w:lineRule="auto"/>
        <w:ind w:firstLine="400" w:firstLineChars="200"/>
        <w:jc w:val="left"/>
        <w:textAlignment w:val="auto"/>
        <w:rPr>
          <w:rFonts w:hint="eastAsia" w:ascii="宋体" w:hAnsi="宋体" w:eastAsia="宋体" w:cs="宋体"/>
          <w:b w:val="0"/>
          <w:bCs/>
          <w:color w:val="FF0000"/>
          <w:sz w:val="20"/>
          <w:szCs w:val="20"/>
          <w:highlight w:val="none"/>
          <w:shd w:val="clear" w:color="auto" w:fill="FFFFFF"/>
        </w:rPr>
      </w:pPr>
      <w:r>
        <w:rPr>
          <w:rFonts w:hint="eastAsia" w:ascii="宋体" w:hAnsi="宋体" w:eastAsia="宋体" w:cs="宋体"/>
          <w:b w:val="0"/>
          <w:bCs/>
          <w:color w:val="FF0000"/>
          <w:sz w:val="20"/>
          <w:szCs w:val="20"/>
          <w:highlight w:val="none"/>
          <w:shd w:val="clear" w:color="auto" w:fill="FFFFFF"/>
        </w:rPr>
        <w:t>购买样品过程中应当通过截图、拍照或者录像等方式采集以下信息:(1)样品展示页信息,应当包括网店名称、网址、食品名称、规格型号、单价等;(2)网页上显示的被抽样单位营业执照、许可证等证件;(3)支付记录</w:t>
      </w:r>
      <w:r>
        <w:rPr>
          <w:rFonts w:hint="eastAsia" w:ascii="宋体" w:hAnsi="宋体" w:eastAsia="宋体" w:cs="宋体"/>
          <w:b w:val="0"/>
          <w:bCs/>
          <w:color w:val="FF0000"/>
          <w:sz w:val="20"/>
          <w:szCs w:val="20"/>
          <w:highlight w:val="none"/>
          <w:shd w:val="clear" w:color="auto" w:fill="FFFFFF"/>
          <w:lang w:eastAsia="zh-CN"/>
        </w:rPr>
        <w:t>；</w:t>
      </w:r>
      <w:r>
        <w:rPr>
          <w:rFonts w:hint="eastAsia" w:ascii="宋体" w:hAnsi="宋体" w:eastAsia="宋体" w:cs="宋体"/>
          <w:b w:val="0"/>
          <w:bCs/>
          <w:color w:val="FF0000"/>
          <w:sz w:val="20"/>
          <w:szCs w:val="20"/>
          <w:highlight w:val="none"/>
          <w:shd w:val="clear" w:color="auto" w:fill="FFFFFF"/>
        </w:rPr>
        <w:t>(4)成功下单后的订单信息,包括订单编号、订单日期、样品明细、费用明细、收货人信息等;(5)其他需要记录的信息。</w:t>
      </w:r>
    </w:p>
    <w:p w14:paraId="4F4D3C86">
      <w:pPr>
        <w:pStyle w:val="6"/>
        <w:keepNext w:val="0"/>
        <w:keepLines w:val="0"/>
        <w:pageBreakBefore w:val="0"/>
        <w:widowControl/>
        <w:kinsoku/>
        <w:wordWrap/>
        <w:overflowPunct/>
        <w:topLinePunct w:val="0"/>
        <w:autoSpaceDE/>
        <w:autoSpaceDN/>
        <w:bidi w:val="0"/>
        <w:adjustRightInd w:val="0"/>
        <w:snapToGrid w:val="0"/>
        <w:spacing w:line="360" w:lineRule="auto"/>
        <w:ind w:firstLine="400" w:firstLineChars="200"/>
        <w:jc w:val="left"/>
        <w:textAlignment w:val="auto"/>
        <w:rPr>
          <w:rFonts w:hint="eastAsia" w:ascii="宋体" w:hAnsi="宋体" w:eastAsia="宋体" w:cs="宋体"/>
          <w:b w:val="0"/>
          <w:bCs/>
          <w:color w:val="FF0000"/>
          <w:sz w:val="20"/>
          <w:szCs w:val="20"/>
          <w:highlight w:val="none"/>
          <w:shd w:val="clear" w:color="auto" w:fill="FFFFFF"/>
        </w:rPr>
      </w:pPr>
      <w:r>
        <w:rPr>
          <w:rFonts w:hint="eastAsia" w:ascii="宋体" w:hAnsi="宋体" w:eastAsia="宋体" w:cs="宋体"/>
          <w:b w:val="0"/>
          <w:bCs/>
          <w:color w:val="FF0000"/>
          <w:sz w:val="20"/>
          <w:szCs w:val="20"/>
          <w:highlight w:val="none"/>
          <w:shd w:val="clear" w:color="auto" w:fill="FFFFFF"/>
          <w:lang w:val="en-US" w:eastAsia="zh-CN"/>
        </w:rPr>
        <w:t>4</w:t>
      </w:r>
      <w:r>
        <w:rPr>
          <w:rFonts w:hint="eastAsia" w:ascii="宋体" w:hAnsi="宋体" w:eastAsia="宋体" w:cs="宋体"/>
          <w:b w:val="0"/>
          <w:bCs/>
          <w:color w:val="FF0000"/>
          <w:sz w:val="20"/>
          <w:szCs w:val="20"/>
          <w:highlight w:val="none"/>
          <w:shd w:val="clear" w:color="auto" w:fill="FFFFFF"/>
        </w:rPr>
        <w:t>.</w:t>
      </w:r>
      <w:r>
        <w:rPr>
          <w:rFonts w:hint="eastAsia" w:ascii="宋体" w:hAnsi="宋体" w:eastAsia="宋体" w:cs="宋体"/>
          <w:b w:val="0"/>
          <w:bCs/>
          <w:color w:val="FF0000"/>
          <w:sz w:val="20"/>
          <w:szCs w:val="20"/>
          <w:highlight w:val="none"/>
          <w:shd w:val="clear" w:color="auto" w:fill="FFFFFF"/>
          <w:lang w:val="en-US" w:eastAsia="zh-CN"/>
        </w:rPr>
        <w:t>3</w:t>
      </w:r>
      <w:r>
        <w:rPr>
          <w:rFonts w:hint="eastAsia" w:ascii="宋体" w:hAnsi="宋体" w:eastAsia="宋体" w:cs="宋体"/>
          <w:b w:val="0"/>
          <w:bCs/>
          <w:color w:val="FF0000"/>
          <w:sz w:val="20"/>
          <w:szCs w:val="20"/>
          <w:highlight w:val="none"/>
          <w:shd w:val="clear" w:color="auto" w:fill="FFFFFF"/>
        </w:rPr>
        <w:t>.4拆包、查验及封样过程的信息采集</w:t>
      </w:r>
    </w:p>
    <w:p w14:paraId="4DF17EE8">
      <w:pPr>
        <w:pStyle w:val="6"/>
        <w:keepNext w:val="0"/>
        <w:keepLines w:val="0"/>
        <w:pageBreakBefore w:val="0"/>
        <w:widowControl/>
        <w:kinsoku/>
        <w:wordWrap/>
        <w:overflowPunct/>
        <w:topLinePunct w:val="0"/>
        <w:autoSpaceDE/>
        <w:autoSpaceDN/>
        <w:bidi w:val="0"/>
        <w:adjustRightInd w:val="0"/>
        <w:snapToGrid w:val="0"/>
        <w:spacing w:line="360" w:lineRule="auto"/>
        <w:ind w:firstLine="400" w:firstLineChars="200"/>
        <w:jc w:val="left"/>
        <w:textAlignment w:val="auto"/>
        <w:rPr>
          <w:rFonts w:hint="eastAsia" w:ascii="宋体" w:hAnsi="宋体" w:eastAsia="宋体" w:cs="宋体"/>
          <w:b w:val="0"/>
          <w:bCs/>
          <w:color w:val="FF0000"/>
          <w:sz w:val="20"/>
          <w:szCs w:val="20"/>
          <w:highlight w:val="none"/>
          <w:shd w:val="clear" w:color="auto" w:fill="FFFFFF"/>
        </w:rPr>
      </w:pPr>
      <w:r>
        <w:rPr>
          <w:rFonts w:hint="eastAsia" w:ascii="宋体" w:hAnsi="宋体" w:eastAsia="宋体" w:cs="宋体"/>
          <w:b w:val="0"/>
          <w:bCs/>
          <w:color w:val="FF0000"/>
          <w:sz w:val="20"/>
          <w:szCs w:val="20"/>
          <w:highlight w:val="none"/>
          <w:shd w:val="clear" w:color="auto" w:fill="FFFFFF"/>
        </w:rPr>
        <w:t>收到物流包裹后，由不少于两名抽样人员共同对物流单据记载的订单信息进行核对,确认无误后拆包、查验,对检验样品和复检备份样品分别封样。拆包、查验、封样过程应当拍照及录像,留存足以证明样品来源的关键影像资料。</w:t>
      </w:r>
    </w:p>
    <w:p w14:paraId="4CF13151">
      <w:pPr>
        <w:pStyle w:val="6"/>
        <w:keepNext w:val="0"/>
        <w:keepLines w:val="0"/>
        <w:pageBreakBefore w:val="0"/>
        <w:widowControl/>
        <w:kinsoku/>
        <w:wordWrap/>
        <w:overflowPunct/>
        <w:topLinePunct w:val="0"/>
        <w:autoSpaceDE/>
        <w:autoSpaceDN/>
        <w:bidi w:val="0"/>
        <w:adjustRightInd w:val="0"/>
        <w:snapToGrid w:val="0"/>
        <w:spacing w:line="360" w:lineRule="auto"/>
        <w:ind w:firstLine="400" w:firstLineChars="200"/>
        <w:jc w:val="left"/>
        <w:textAlignment w:val="auto"/>
        <w:rPr>
          <w:rFonts w:hint="eastAsia" w:ascii="宋体" w:hAnsi="宋体" w:eastAsia="宋体" w:cs="宋体"/>
          <w:b w:val="0"/>
          <w:bCs/>
          <w:color w:val="FF0000"/>
          <w:sz w:val="20"/>
          <w:szCs w:val="20"/>
          <w:highlight w:val="none"/>
          <w:shd w:val="clear" w:color="auto" w:fill="FFFFFF"/>
        </w:rPr>
      </w:pPr>
      <w:r>
        <w:rPr>
          <w:rFonts w:hint="eastAsia" w:ascii="宋体" w:hAnsi="宋体" w:eastAsia="宋体" w:cs="宋体"/>
          <w:b w:val="0"/>
          <w:bCs/>
          <w:color w:val="FF0000"/>
          <w:sz w:val="20"/>
          <w:szCs w:val="20"/>
          <w:highlight w:val="none"/>
          <w:shd w:val="clear" w:color="auto" w:fill="FFFFFF"/>
        </w:rPr>
        <w:t>采集信息应当包含以下内容:(1)收到包裹的外包装及物流单据信息;(2)拆包后样品状态;(3)有特殊储存要求的,应当记录样品储存状态;(4)样品的外观照片(含包装、标签等信息):(5)封样完毕后,所封样品码放整齐后的外观照片和封条近照;(6)其他需要记录的信息。</w:t>
      </w:r>
    </w:p>
    <w:p w14:paraId="3DB01EFC">
      <w:pPr>
        <w:pStyle w:val="6"/>
        <w:keepNext w:val="0"/>
        <w:keepLines w:val="0"/>
        <w:pageBreakBefore w:val="0"/>
        <w:widowControl/>
        <w:kinsoku/>
        <w:wordWrap/>
        <w:overflowPunct/>
        <w:topLinePunct w:val="0"/>
        <w:autoSpaceDE/>
        <w:autoSpaceDN/>
        <w:bidi w:val="0"/>
        <w:adjustRightInd w:val="0"/>
        <w:snapToGrid w:val="0"/>
        <w:spacing w:line="360" w:lineRule="auto"/>
        <w:ind w:firstLine="400" w:firstLineChars="200"/>
        <w:jc w:val="left"/>
        <w:textAlignment w:val="auto"/>
        <w:rPr>
          <w:rFonts w:hint="eastAsia" w:ascii="宋体" w:hAnsi="宋体" w:eastAsia="宋体" w:cs="宋体"/>
          <w:b w:val="0"/>
          <w:bCs/>
          <w:color w:val="FF0000"/>
          <w:sz w:val="20"/>
          <w:szCs w:val="20"/>
          <w:highlight w:val="none"/>
          <w:shd w:val="clear" w:color="auto" w:fill="FFFFFF"/>
        </w:rPr>
      </w:pPr>
      <w:r>
        <w:rPr>
          <w:rFonts w:hint="eastAsia" w:ascii="宋体" w:hAnsi="宋体" w:eastAsia="宋体" w:cs="宋体"/>
          <w:b w:val="0"/>
          <w:bCs/>
          <w:color w:val="FF0000"/>
          <w:sz w:val="20"/>
          <w:szCs w:val="20"/>
          <w:highlight w:val="none"/>
          <w:shd w:val="clear" w:color="auto" w:fill="FFFFFF"/>
          <w:lang w:val="en-US" w:eastAsia="zh-CN"/>
        </w:rPr>
        <w:t>4</w:t>
      </w:r>
      <w:r>
        <w:rPr>
          <w:rFonts w:hint="eastAsia" w:ascii="宋体" w:hAnsi="宋体" w:eastAsia="宋体" w:cs="宋体"/>
          <w:b w:val="0"/>
          <w:bCs/>
          <w:color w:val="FF0000"/>
          <w:sz w:val="20"/>
          <w:szCs w:val="20"/>
          <w:highlight w:val="none"/>
          <w:shd w:val="clear" w:color="auto" w:fill="FFFFFF"/>
        </w:rPr>
        <w:t>.</w:t>
      </w:r>
      <w:r>
        <w:rPr>
          <w:rFonts w:hint="eastAsia" w:ascii="宋体" w:hAnsi="宋体" w:eastAsia="宋体" w:cs="宋体"/>
          <w:b w:val="0"/>
          <w:bCs/>
          <w:color w:val="FF0000"/>
          <w:sz w:val="20"/>
          <w:szCs w:val="20"/>
          <w:highlight w:val="none"/>
          <w:shd w:val="clear" w:color="auto" w:fill="FFFFFF"/>
          <w:lang w:val="en-US" w:eastAsia="zh-CN"/>
        </w:rPr>
        <w:t>3</w:t>
      </w:r>
      <w:r>
        <w:rPr>
          <w:rFonts w:hint="eastAsia" w:ascii="宋体" w:hAnsi="宋体" w:eastAsia="宋体" w:cs="宋体"/>
          <w:b w:val="0"/>
          <w:bCs/>
          <w:color w:val="FF0000"/>
          <w:sz w:val="20"/>
          <w:szCs w:val="20"/>
          <w:highlight w:val="none"/>
          <w:shd w:val="clear" w:color="auto" w:fill="FFFFFF"/>
        </w:rPr>
        <w:t>.5抽样文书填写及交付</w:t>
      </w:r>
    </w:p>
    <w:p w14:paraId="5B34E9C3">
      <w:pPr>
        <w:pStyle w:val="6"/>
        <w:keepNext w:val="0"/>
        <w:keepLines w:val="0"/>
        <w:pageBreakBefore w:val="0"/>
        <w:widowControl/>
        <w:kinsoku/>
        <w:wordWrap/>
        <w:overflowPunct/>
        <w:topLinePunct w:val="0"/>
        <w:autoSpaceDE/>
        <w:autoSpaceDN/>
        <w:bidi w:val="0"/>
        <w:adjustRightInd w:val="0"/>
        <w:snapToGrid w:val="0"/>
        <w:spacing w:line="360" w:lineRule="auto"/>
        <w:ind w:firstLine="400" w:firstLineChars="200"/>
        <w:jc w:val="left"/>
        <w:textAlignment w:val="auto"/>
        <w:rPr>
          <w:rFonts w:hint="eastAsia" w:ascii="宋体" w:hAnsi="宋体" w:eastAsia="宋体" w:cs="宋体"/>
          <w:b w:val="0"/>
          <w:bCs/>
          <w:color w:val="FF0000"/>
          <w:sz w:val="20"/>
          <w:szCs w:val="20"/>
          <w:highlight w:val="none"/>
          <w:shd w:val="clear" w:color="auto" w:fill="FFFFFF"/>
        </w:rPr>
      </w:pPr>
      <w:r>
        <w:rPr>
          <w:rFonts w:hint="eastAsia" w:ascii="宋体" w:hAnsi="宋体" w:eastAsia="宋体" w:cs="宋体"/>
          <w:b w:val="0"/>
          <w:bCs/>
          <w:color w:val="FF0000"/>
          <w:sz w:val="20"/>
          <w:szCs w:val="20"/>
          <w:highlight w:val="none"/>
          <w:shd w:val="clear" w:color="auto" w:fill="FFFFFF"/>
        </w:rPr>
        <w:t>抽样人员应当完整填写《食品安全抽样检验抽样单》。《食品安全抽样检验抽样单》和《食品安全抽样检验封条》不需要被抽样单位签字或盖章确认,也不需要交付被抽样单位,如需更改信息可由两名抽样人员签名确认或抽样单位盖章确认。</w:t>
      </w:r>
    </w:p>
    <w:p w14:paraId="3EB624E4">
      <w:pPr>
        <w:pStyle w:val="6"/>
        <w:keepNext w:val="0"/>
        <w:keepLines w:val="0"/>
        <w:pageBreakBefore w:val="0"/>
        <w:widowControl/>
        <w:kinsoku/>
        <w:wordWrap/>
        <w:overflowPunct/>
        <w:topLinePunct w:val="0"/>
        <w:autoSpaceDE/>
        <w:autoSpaceDN/>
        <w:bidi w:val="0"/>
        <w:adjustRightInd w:val="0"/>
        <w:snapToGrid w:val="0"/>
        <w:spacing w:line="360" w:lineRule="auto"/>
        <w:ind w:firstLine="400" w:firstLineChars="200"/>
        <w:jc w:val="left"/>
        <w:textAlignment w:val="auto"/>
        <w:rPr>
          <w:rFonts w:hint="eastAsia" w:ascii="宋体" w:hAnsi="宋体" w:eastAsia="宋体" w:cs="宋体"/>
          <w:b w:val="0"/>
          <w:bCs/>
          <w:color w:val="FF0000"/>
          <w:sz w:val="20"/>
          <w:szCs w:val="20"/>
          <w:highlight w:val="none"/>
          <w:shd w:val="clear" w:color="auto" w:fill="FFFFFF"/>
        </w:rPr>
      </w:pPr>
      <w:r>
        <w:rPr>
          <w:rFonts w:hint="eastAsia" w:ascii="宋体" w:hAnsi="宋体" w:eastAsia="宋体" w:cs="宋体"/>
          <w:b w:val="0"/>
          <w:bCs/>
          <w:color w:val="FF0000"/>
          <w:sz w:val="20"/>
          <w:szCs w:val="20"/>
          <w:highlight w:val="none"/>
          <w:shd w:val="clear" w:color="auto" w:fill="FFFFFF"/>
          <w:lang w:val="en-US" w:eastAsia="zh-CN"/>
        </w:rPr>
        <w:t>4</w:t>
      </w:r>
      <w:r>
        <w:rPr>
          <w:rFonts w:hint="eastAsia" w:ascii="宋体" w:hAnsi="宋体" w:eastAsia="宋体" w:cs="宋体"/>
          <w:b w:val="0"/>
          <w:bCs/>
          <w:color w:val="FF0000"/>
          <w:sz w:val="20"/>
          <w:szCs w:val="20"/>
          <w:highlight w:val="none"/>
          <w:shd w:val="clear" w:color="auto" w:fill="FFFFFF"/>
        </w:rPr>
        <w:t>.</w:t>
      </w:r>
      <w:r>
        <w:rPr>
          <w:rFonts w:hint="eastAsia" w:ascii="宋体" w:hAnsi="宋体" w:eastAsia="宋体" w:cs="宋体"/>
          <w:b w:val="0"/>
          <w:bCs/>
          <w:color w:val="FF0000"/>
          <w:sz w:val="20"/>
          <w:szCs w:val="20"/>
          <w:highlight w:val="none"/>
          <w:shd w:val="clear" w:color="auto" w:fill="FFFFFF"/>
          <w:lang w:val="en-US" w:eastAsia="zh-CN"/>
        </w:rPr>
        <w:t>3</w:t>
      </w:r>
      <w:r>
        <w:rPr>
          <w:rFonts w:hint="eastAsia" w:ascii="宋体" w:hAnsi="宋体" w:eastAsia="宋体" w:cs="宋体"/>
          <w:b w:val="0"/>
          <w:bCs/>
          <w:color w:val="FF0000"/>
          <w:sz w:val="20"/>
          <w:szCs w:val="20"/>
          <w:highlight w:val="none"/>
          <w:shd w:val="clear" w:color="auto" w:fill="FFFFFF"/>
        </w:rPr>
        <w:t>.6特殊情况的处理</w:t>
      </w:r>
    </w:p>
    <w:p w14:paraId="448F29DC">
      <w:pPr>
        <w:pStyle w:val="6"/>
        <w:keepNext w:val="0"/>
        <w:keepLines w:val="0"/>
        <w:pageBreakBefore w:val="0"/>
        <w:widowControl/>
        <w:kinsoku/>
        <w:wordWrap/>
        <w:overflowPunct/>
        <w:topLinePunct w:val="0"/>
        <w:autoSpaceDE/>
        <w:autoSpaceDN/>
        <w:bidi w:val="0"/>
        <w:adjustRightInd w:val="0"/>
        <w:snapToGrid w:val="0"/>
        <w:spacing w:line="360" w:lineRule="auto"/>
        <w:ind w:firstLine="400" w:firstLineChars="200"/>
        <w:jc w:val="left"/>
        <w:textAlignment w:val="auto"/>
        <w:rPr>
          <w:rFonts w:hint="eastAsia" w:ascii="宋体" w:hAnsi="宋体" w:eastAsia="宋体" w:cs="宋体"/>
          <w:b w:val="0"/>
          <w:bCs/>
          <w:color w:val="FF0000"/>
          <w:sz w:val="20"/>
          <w:szCs w:val="20"/>
          <w:highlight w:val="none"/>
          <w:shd w:val="clear" w:color="auto" w:fill="FFFFFF"/>
        </w:rPr>
      </w:pPr>
      <w:r>
        <w:rPr>
          <w:rFonts w:hint="eastAsia" w:ascii="宋体" w:hAnsi="宋体" w:eastAsia="宋体" w:cs="宋体"/>
          <w:b w:val="0"/>
          <w:bCs/>
          <w:color w:val="FF0000"/>
          <w:sz w:val="20"/>
          <w:szCs w:val="20"/>
          <w:highlight w:val="none"/>
          <w:shd w:val="clear" w:color="auto" w:fill="FFFFFF"/>
        </w:rPr>
        <w:t>对于收到的食品为不同生产批次的,选取其中满足检验及复检要求的某一批次食品为抽检样品，其余不同批次食品应当单独封样,同复检备份样品一并管理,并在抽样单备注栏说明</w:t>
      </w:r>
      <w:r>
        <w:rPr>
          <w:rFonts w:hint="eastAsia" w:ascii="宋体" w:hAnsi="宋体" w:eastAsia="宋体" w:cs="宋体"/>
          <w:b w:val="0"/>
          <w:bCs/>
          <w:color w:val="FF0000"/>
          <w:sz w:val="20"/>
          <w:szCs w:val="20"/>
          <w:highlight w:val="none"/>
          <w:shd w:val="clear" w:color="auto" w:fill="FFFFFF"/>
          <w:lang w:eastAsia="zh-CN"/>
        </w:rPr>
        <w:t>。</w:t>
      </w:r>
      <w:r>
        <w:rPr>
          <w:rFonts w:hint="eastAsia" w:ascii="宋体" w:hAnsi="宋体" w:eastAsia="宋体" w:cs="宋体"/>
          <w:b w:val="0"/>
          <w:bCs/>
          <w:color w:val="FF0000"/>
          <w:sz w:val="20"/>
          <w:szCs w:val="20"/>
          <w:highlight w:val="none"/>
          <w:shd w:val="clear" w:color="auto" w:fill="FFFFFF"/>
        </w:rPr>
        <w:t>若无任何一批次满足检验及复检要求的,抽样单位可向</w:t>
      </w:r>
      <w:r>
        <w:rPr>
          <w:rFonts w:hint="eastAsia" w:ascii="宋体" w:hAnsi="宋体" w:eastAsia="宋体" w:cs="宋体"/>
          <w:b w:val="0"/>
          <w:bCs/>
          <w:color w:val="FF0000"/>
          <w:sz w:val="20"/>
          <w:szCs w:val="20"/>
          <w:highlight w:val="none"/>
          <w:shd w:val="clear" w:color="auto" w:fill="FFFFFF"/>
          <w:lang w:eastAsia="zh-CN"/>
        </w:rPr>
        <w:t>采购人</w:t>
      </w:r>
      <w:r>
        <w:rPr>
          <w:rFonts w:hint="eastAsia" w:ascii="宋体" w:hAnsi="宋体" w:eastAsia="宋体" w:cs="宋体"/>
          <w:b w:val="0"/>
          <w:bCs/>
          <w:color w:val="FF0000"/>
          <w:sz w:val="20"/>
          <w:szCs w:val="20"/>
          <w:highlight w:val="none"/>
          <w:shd w:val="clear" w:color="auto" w:fill="FFFFFF"/>
        </w:rPr>
        <w:t>申请调整检验项目等，经同意后可对某一批次样品进行检验。</w:t>
      </w:r>
    </w:p>
    <w:p w14:paraId="72BB3A14">
      <w:pPr>
        <w:pStyle w:val="6"/>
        <w:keepNext w:val="0"/>
        <w:keepLines w:val="0"/>
        <w:pageBreakBefore w:val="0"/>
        <w:widowControl/>
        <w:kinsoku/>
        <w:wordWrap/>
        <w:overflowPunct/>
        <w:topLinePunct w:val="0"/>
        <w:autoSpaceDE/>
        <w:autoSpaceDN/>
        <w:bidi w:val="0"/>
        <w:adjustRightInd w:val="0"/>
        <w:snapToGrid w:val="0"/>
        <w:spacing w:line="360" w:lineRule="auto"/>
        <w:ind w:firstLine="400" w:firstLineChars="200"/>
        <w:jc w:val="left"/>
        <w:textAlignment w:val="auto"/>
        <w:rPr>
          <w:rFonts w:hint="eastAsia" w:ascii="宋体" w:hAnsi="宋体" w:eastAsia="宋体" w:cs="宋体"/>
          <w:b w:val="0"/>
          <w:bCs/>
          <w:color w:val="FF0000"/>
          <w:sz w:val="20"/>
          <w:szCs w:val="20"/>
          <w:highlight w:val="none"/>
        </w:rPr>
      </w:pPr>
      <w:r>
        <w:rPr>
          <w:rFonts w:hint="eastAsia" w:ascii="宋体" w:hAnsi="宋体" w:eastAsia="宋体" w:cs="宋体"/>
          <w:b w:val="0"/>
          <w:bCs/>
          <w:color w:val="FF0000"/>
          <w:sz w:val="20"/>
          <w:szCs w:val="20"/>
          <w:highlight w:val="none"/>
          <w:shd w:val="clear" w:color="auto" w:fill="FFFFFF"/>
        </w:rPr>
        <w:t>监督抽检的样品应一式两份，分为检验样品和复检备份样品，由承检机构支付买样费，原则上应索取正式发票留存报销和备查；无正式发票的，应当索取其他买样费用的证明，且要由被抽样单位相关负责人或管理人在费用证明上签字（盖章）确认。对仅用于风险监测的食品样品抽样不受抽样数量、抽样地点、被抽样单位是否具备合法资质等限制，并可简化告知被抽样单位抽样性质、现场信息采集等执法相关的程序。</w:t>
      </w:r>
    </w:p>
    <w:p w14:paraId="04024222">
      <w:pPr>
        <w:pStyle w:val="6"/>
        <w:keepNext w:val="0"/>
        <w:keepLines w:val="0"/>
        <w:pageBreakBefore w:val="0"/>
        <w:widowControl/>
        <w:kinsoku/>
        <w:wordWrap/>
        <w:overflowPunct/>
        <w:topLinePunct w:val="0"/>
        <w:autoSpaceDE/>
        <w:autoSpaceDN/>
        <w:bidi w:val="0"/>
        <w:adjustRightInd w:val="0"/>
        <w:snapToGrid w:val="0"/>
        <w:spacing w:line="360" w:lineRule="auto"/>
        <w:ind w:firstLine="400" w:firstLineChars="200"/>
        <w:jc w:val="left"/>
        <w:textAlignment w:val="auto"/>
        <w:rPr>
          <w:rFonts w:hint="eastAsia" w:ascii="宋体" w:hAnsi="宋体" w:eastAsia="宋体" w:cs="宋体"/>
          <w:b w:val="0"/>
          <w:bCs/>
          <w:color w:val="FF0000"/>
          <w:sz w:val="20"/>
          <w:szCs w:val="20"/>
          <w:highlight w:val="none"/>
        </w:rPr>
      </w:pPr>
      <w:r>
        <w:rPr>
          <w:rFonts w:hint="eastAsia" w:ascii="宋体" w:hAnsi="宋体" w:eastAsia="宋体" w:cs="宋体"/>
          <w:b w:val="0"/>
          <w:bCs/>
          <w:color w:val="FF0000"/>
          <w:sz w:val="20"/>
          <w:szCs w:val="20"/>
          <w:highlight w:val="none"/>
          <w:shd w:val="clear" w:color="auto" w:fill="FFFFFF"/>
        </w:rPr>
        <w:t>承检机构接收样品时应当确认样品的外观、状态、封条完好，并确认样品与抽样文书的记录相符后，对检验和复检备份样品分别加贴相应标识。样品存在对检验结果或综合判定产生影响的情况，或与抽样文书的记录不符的，承检机构应拒收样品，并填写《食品安全抽样检验样品移交确认单》，告知抽样单位拒收原因。</w:t>
      </w:r>
    </w:p>
    <w:p w14:paraId="2C3B2AD5">
      <w:pPr>
        <w:pStyle w:val="6"/>
        <w:keepNext w:val="0"/>
        <w:keepLines w:val="0"/>
        <w:pageBreakBefore w:val="0"/>
        <w:widowControl/>
        <w:kinsoku/>
        <w:wordWrap/>
        <w:overflowPunct/>
        <w:topLinePunct w:val="0"/>
        <w:autoSpaceDE/>
        <w:autoSpaceDN/>
        <w:bidi w:val="0"/>
        <w:adjustRightInd w:val="0"/>
        <w:snapToGrid w:val="0"/>
        <w:spacing w:line="360" w:lineRule="auto"/>
        <w:ind w:firstLine="400" w:firstLineChars="200"/>
        <w:jc w:val="left"/>
        <w:textAlignment w:val="auto"/>
        <w:rPr>
          <w:rFonts w:hint="eastAsia" w:ascii="宋体" w:hAnsi="宋体" w:eastAsia="宋体" w:cs="宋体"/>
          <w:b w:val="0"/>
          <w:bCs/>
          <w:color w:val="FF0000"/>
          <w:sz w:val="20"/>
          <w:szCs w:val="20"/>
          <w:highlight w:val="none"/>
        </w:rPr>
      </w:pPr>
      <w:r>
        <w:rPr>
          <w:rFonts w:hint="eastAsia" w:ascii="宋体" w:hAnsi="宋体" w:eastAsia="宋体" w:cs="宋体"/>
          <w:b w:val="0"/>
          <w:bCs/>
          <w:color w:val="FF0000"/>
          <w:sz w:val="20"/>
          <w:szCs w:val="20"/>
          <w:highlight w:val="none"/>
          <w:shd w:val="clear" w:color="auto" w:fill="FFFFFF"/>
        </w:rPr>
        <w:t>★5.检验工作的实施</w:t>
      </w:r>
    </w:p>
    <w:p w14:paraId="63E75AE4">
      <w:pPr>
        <w:pStyle w:val="6"/>
        <w:keepNext w:val="0"/>
        <w:keepLines w:val="0"/>
        <w:pageBreakBefore w:val="0"/>
        <w:widowControl/>
        <w:kinsoku/>
        <w:wordWrap/>
        <w:overflowPunct/>
        <w:topLinePunct w:val="0"/>
        <w:autoSpaceDE/>
        <w:autoSpaceDN/>
        <w:bidi w:val="0"/>
        <w:adjustRightInd w:val="0"/>
        <w:snapToGrid w:val="0"/>
        <w:spacing w:line="360" w:lineRule="auto"/>
        <w:ind w:firstLine="400" w:firstLineChars="200"/>
        <w:jc w:val="left"/>
        <w:textAlignment w:val="auto"/>
        <w:rPr>
          <w:rFonts w:hint="eastAsia" w:ascii="宋体" w:hAnsi="宋体" w:eastAsia="宋体" w:cs="宋体"/>
          <w:b w:val="0"/>
          <w:bCs/>
          <w:color w:val="FF0000"/>
          <w:sz w:val="20"/>
          <w:szCs w:val="20"/>
          <w:highlight w:val="none"/>
          <w:shd w:val="clear" w:color="auto" w:fill="FFFFFF"/>
          <w:lang w:eastAsia="zh-CN"/>
        </w:rPr>
      </w:pPr>
      <w:r>
        <w:rPr>
          <w:rFonts w:hint="eastAsia" w:ascii="宋体" w:hAnsi="宋体" w:eastAsia="宋体" w:cs="宋体"/>
          <w:b w:val="0"/>
          <w:bCs/>
          <w:color w:val="FF0000"/>
          <w:sz w:val="20"/>
          <w:szCs w:val="20"/>
          <w:highlight w:val="none"/>
          <w:shd w:val="clear" w:color="auto" w:fill="FFFFFF"/>
        </w:rPr>
        <w:t xml:space="preserve">5.1 </w:t>
      </w:r>
      <w:r>
        <w:rPr>
          <w:rFonts w:hint="eastAsia" w:ascii="宋体" w:hAnsi="宋体" w:eastAsia="宋体" w:cs="宋体"/>
          <w:b w:val="0"/>
          <w:bCs/>
          <w:color w:val="FF0000"/>
          <w:sz w:val="20"/>
          <w:szCs w:val="20"/>
          <w:highlight w:val="none"/>
          <w:shd w:val="clear" w:color="auto" w:fill="FFFFFF"/>
          <w:lang w:eastAsia="zh-CN"/>
        </w:rPr>
        <w:t>样品的接收与保存</w:t>
      </w:r>
    </w:p>
    <w:p w14:paraId="373AF7AA">
      <w:pPr>
        <w:pStyle w:val="6"/>
        <w:keepNext w:val="0"/>
        <w:keepLines w:val="0"/>
        <w:pageBreakBefore w:val="0"/>
        <w:widowControl/>
        <w:kinsoku/>
        <w:wordWrap/>
        <w:overflowPunct/>
        <w:topLinePunct w:val="0"/>
        <w:autoSpaceDE/>
        <w:autoSpaceDN/>
        <w:bidi w:val="0"/>
        <w:adjustRightInd w:val="0"/>
        <w:snapToGrid w:val="0"/>
        <w:spacing w:line="360" w:lineRule="auto"/>
        <w:ind w:firstLine="400" w:firstLineChars="200"/>
        <w:jc w:val="left"/>
        <w:textAlignment w:val="auto"/>
        <w:rPr>
          <w:rFonts w:hint="eastAsia" w:ascii="宋体" w:hAnsi="宋体" w:eastAsia="宋体" w:cs="宋体"/>
          <w:b w:val="0"/>
          <w:bCs/>
          <w:color w:val="FF0000"/>
          <w:sz w:val="20"/>
          <w:szCs w:val="20"/>
          <w:highlight w:val="none"/>
          <w:shd w:val="clear" w:color="auto" w:fill="FFFFFF"/>
          <w:lang w:eastAsia="zh-CN"/>
        </w:rPr>
      </w:pPr>
      <w:r>
        <w:rPr>
          <w:rFonts w:hint="eastAsia" w:ascii="宋体" w:hAnsi="宋体" w:eastAsia="宋体" w:cs="宋体"/>
          <w:b w:val="0"/>
          <w:bCs/>
          <w:color w:val="FF0000"/>
          <w:sz w:val="20"/>
          <w:szCs w:val="20"/>
          <w:highlight w:val="none"/>
          <w:shd w:val="clear" w:color="auto" w:fill="FFFFFF"/>
          <w:lang w:eastAsia="zh-CN"/>
        </w:rPr>
        <w:t>承检机构接收样品时,应当查验、记录样品的外观、状态、封条有无破损以及其他可能对检验结论产生影响的情况,并核对样品与抽样文书信息。样品移交时,应当填写《食品安全抽样检验样品移交确认单》。</w:t>
      </w:r>
    </w:p>
    <w:p w14:paraId="1111C300">
      <w:pPr>
        <w:pStyle w:val="6"/>
        <w:keepNext w:val="0"/>
        <w:keepLines w:val="0"/>
        <w:pageBreakBefore w:val="0"/>
        <w:widowControl/>
        <w:kinsoku/>
        <w:wordWrap/>
        <w:overflowPunct/>
        <w:topLinePunct w:val="0"/>
        <w:autoSpaceDE/>
        <w:autoSpaceDN/>
        <w:bidi w:val="0"/>
        <w:adjustRightInd w:val="0"/>
        <w:snapToGrid w:val="0"/>
        <w:spacing w:line="360" w:lineRule="auto"/>
        <w:ind w:firstLine="400" w:firstLineChars="200"/>
        <w:jc w:val="left"/>
        <w:textAlignment w:val="auto"/>
        <w:rPr>
          <w:rFonts w:hint="eastAsia" w:ascii="宋体" w:hAnsi="宋体" w:eastAsia="宋体" w:cs="宋体"/>
          <w:b w:val="0"/>
          <w:bCs/>
          <w:color w:val="FF0000"/>
          <w:sz w:val="20"/>
          <w:szCs w:val="20"/>
          <w:highlight w:val="none"/>
          <w:shd w:val="clear" w:color="auto" w:fill="FFFFFF"/>
          <w:lang w:eastAsia="zh-CN"/>
        </w:rPr>
      </w:pPr>
      <w:r>
        <w:rPr>
          <w:rFonts w:hint="eastAsia" w:ascii="宋体" w:hAnsi="宋体" w:eastAsia="宋体" w:cs="宋体"/>
          <w:b w:val="0"/>
          <w:bCs/>
          <w:color w:val="FF0000"/>
          <w:sz w:val="20"/>
          <w:szCs w:val="20"/>
          <w:highlight w:val="none"/>
          <w:shd w:val="clear" w:color="auto" w:fill="FFFFFF"/>
          <w:lang w:eastAsia="zh-CN"/>
        </w:rPr>
        <w:t>对符合要求的样品,承检机构应当在抽样后五个工作日内完成样品接收工作,将检验样品和复检备份样品分别加贴相应标识后,按照要求入库存放。</w:t>
      </w:r>
    </w:p>
    <w:p w14:paraId="7965CE08">
      <w:pPr>
        <w:pStyle w:val="6"/>
        <w:keepNext w:val="0"/>
        <w:keepLines w:val="0"/>
        <w:pageBreakBefore w:val="0"/>
        <w:widowControl/>
        <w:kinsoku/>
        <w:wordWrap/>
        <w:overflowPunct/>
        <w:topLinePunct w:val="0"/>
        <w:autoSpaceDE/>
        <w:autoSpaceDN/>
        <w:bidi w:val="0"/>
        <w:adjustRightInd w:val="0"/>
        <w:snapToGrid w:val="0"/>
        <w:spacing w:line="360" w:lineRule="auto"/>
        <w:ind w:firstLine="400" w:firstLineChars="200"/>
        <w:jc w:val="left"/>
        <w:textAlignment w:val="auto"/>
        <w:rPr>
          <w:rFonts w:hint="eastAsia" w:ascii="宋体" w:hAnsi="宋体" w:eastAsia="宋体" w:cs="宋体"/>
          <w:b w:val="0"/>
          <w:bCs/>
          <w:color w:val="FF0000"/>
          <w:sz w:val="20"/>
          <w:szCs w:val="20"/>
          <w:highlight w:val="none"/>
          <w:shd w:val="clear" w:color="auto" w:fill="FFFFFF"/>
          <w:lang w:eastAsia="zh-CN"/>
        </w:rPr>
      </w:pPr>
      <w:r>
        <w:rPr>
          <w:rFonts w:hint="eastAsia" w:ascii="宋体" w:hAnsi="宋体" w:eastAsia="宋体" w:cs="宋体"/>
          <w:b w:val="0"/>
          <w:bCs/>
          <w:color w:val="FF0000"/>
          <w:sz w:val="20"/>
          <w:szCs w:val="20"/>
          <w:highlight w:val="none"/>
          <w:shd w:val="clear" w:color="auto" w:fill="FFFFFF"/>
          <w:lang w:eastAsia="zh-CN"/>
        </w:rPr>
        <w:t>对不符合要求的样品,如抽样文书信息与实际样品不符、样品数量不能满足检验或复检要求、样品性状改变可能对检验结论产生影响、封条破损、封样缺少防拆封措施等情况,承检机构应当拒绝接收并在《食品安全抽样检验样品移交确认单》填写拒收理由,及时报告采购人。</w:t>
      </w:r>
    </w:p>
    <w:p w14:paraId="01EC62B8">
      <w:pPr>
        <w:pStyle w:val="6"/>
        <w:keepNext w:val="0"/>
        <w:keepLines w:val="0"/>
        <w:pageBreakBefore w:val="0"/>
        <w:widowControl/>
        <w:kinsoku/>
        <w:wordWrap/>
        <w:overflowPunct/>
        <w:topLinePunct w:val="0"/>
        <w:autoSpaceDE/>
        <w:autoSpaceDN/>
        <w:bidi w:val="0"/>
        <w:adjustRightInd w:val="0"/>
        <w:snapToGrid w:val="0"/>
        <w:spacing w:line="360" w:lineRule="auto"/>
        <w:ind w:firstLine="400" w:firstLineChars="200"/>
        <w:jc w:val="left"/>
        <w:textAlignment w:val="auto"/>
        <w:rPr>
          <w:rFonts w:hint="eastAsia" w:ascii="宋体" w:hAnsi="宋体" w:eastAsia="宋体" w:cs="宋体"/>
          <w:b w:val="0"/>
          <w:bCs/>
          <w:color w:val="FF0000"/>
          <w:sz w:val="20"/>
          <w:szCs w:val="20"/>
          <w:highlight w:val="none"/>
          <w:shd w:val="clear" w:color="auto" w:fill="FFFFFF"/>
          <w:lang w:eastAsia="zh-CN"/>
        </w:rPr>
      </w:pPr>
      <w:r>
        <w:rPr>
          <w:rFonts w:hint="eastAsia" w:ascii="宋体" w:hAnsi="宋体" w:eastAsia="宋体" w:cs="宋体"/>
          <w:b w:val="0"/>
          <w:bCs/>
          <w:color w:val="FF0000"/>
          <w:sz w:val="20"/>
          <w:szCs w:val="20"/>
          <w:highlight w:val="none"/>
          <w:shd w:val="clear" w:color="auto" w:fill="FFFFFF"/>
          <w:lang w:eastAsia="zh-CN"/>
        </w:rPr>
        <w:t>抽样检验的样品由承检机构保存。承检机构应当建立样品保管制度,严禁样品被随意调换、拆封。对于复检备份样品的调取或使用,应当经相关负责人签字确认后方可进行。</w:t>
      </w:r>
    </w:p>
    <w:p w14:paraId="1B239DB1">
      <w:pPr>
        <w:pStyle w:val="6"/>
        <w:keepNext w:val="0"/>
        <w:keepLines w:val="0"/>
        <w:pageBreakBefore w:val="0"/>
        <w:widowControl/>
        <w:kinsoku/>
        <w:wordWrap/>
        <w:overflowPunct/>
        <w:topLinePunct w:val="0"/>
        <w:autoSpaceDE/>
        <w:autoSpaceDN/>
        <w:bidi w:val="0"/>
        <w:adjustRightInd w:val="0"/>
        <w:snapToGrid w:val="0"/>
        <w:spacing w:line="360" w:lineRule="auto"/>
        <w:ind w:firstLine="400" w:firstLineChars="200"/>
        <w:jc w:val="left"/>
        <w:textAlignment w:val="auto"/>
        <w:rPr>
          <w:rFonts w:hint="eastAsia" w:ascii="宋体" w:hAnsi="宋体" w:eastAsia="宋体" w:cs="宋体"/>
          <w:b w:val="0"/>
          <w:bCs/>
          <w:color w:val="FF0000"/>
          <w:sz w:val="20"/>
          <w:szCs w:val="20"/>
          <w:highlight w:val="none"/>
          <w:shd w:val="clear" w:color="auto" w:fill="FFFFFF"/>
          <w:lang w:eastAsia="zh-CN"/>
        </w:rPr>
      </w:pPr>
      <w:r>
        <w:rPr>
          <w:rFonts w:hint="eastAsia" w:ascii="宋体" w:hAnsi="宋体" w:eastAsia="宋体" w:cs="宋体"/>
          <w:b w:val="0"/>
          <w:bCs/>
          <w:color w:val="FF0000"/>
          <w:sz w:val="20"/>
          <w:szCs w:val="20"/>
          <w:highlight w:val="none"/>
          <w:shd w:val="clear" w:color="auto" w:fill="FFFFFF"/>
          <w:lang w:val="en-US" w:eastAsia="zh-CN"/>
        </w:rPr>
        <w:t>5.2</w:t>
      </w:r>
      <w:r>
        <w:rPr>
          <w:rFonts w:hint="eastAsia" w:ascii="宋体" w:hAnsi="宋体" w:eastAsia="宋体" w:cs="宋体"/>
          <w:b w:val="0"/>
          <w:bCs/>
          <w:color w:val="FF0000"/>
          <w:sz w:val="20"/>
          <w:szCs w:val="20"/>
          <w:highlight w:val="none"/>
          <w:shd w:val="clear" w:color="auto" w:fill="FFFFFF"/>
          <w:lang w:eastAsia="zh-CN"/>
        </w:rPr>
        <w:t xml:space="preserve"> 检验与记录</w:t>
      </w:r>
    </w:p>
    <w:p w14:paraId="16B3BDE4">
      <w:pPr>
        <w:pStyle w:val="6"/>
        <w:keepNext w:val="0"/>
        <w:keepLines w:val="0"/>
        <w:pageBreakBefore w:val="0"/>
        <w:widowControl/>
        <w:kinsoku/>
        <w:wordWrap/>
        <w:overflowPunct/>
        <w:topLinePunct w:val="0"/>
        <w:autoSpaceDE/>
        <w:autoSpaceDN/>
        <w:bidi w:val="0"/>
        <w:adjustRightInd w:val="0"/>
        <w:snapToGrid w:val="0"/>
        <w:spacing w:line="360" w:lineRule="auto"/>
        <w:ind w:firstLine="400" w:firstLineChars="200"/>
        <w:jc w:val="left"/>
        <w:textAlignment w:val="auto"/>
        <w:rPr>
          <w:rFonts w:hint="eastAsia" w:ascii="宋体" w:hAnsi="宋体" w:eastAsia="宋体" w:cs="宋体"/>
          <w:b w:val="0"/>
          <w:bCs/>
          <w:color w:val="FF0000"/>
          <w:sz w:val="20"/>
          <w:szCs w:val="20"/>
          <w:highlight w:val="none"/>
          <w:shd w:val="clear" w:color="auto" w:fill="FFFFFF"/>
          <w:lang w:eastAsia="zh-CN"/>
        </w:rPr>
      </w:pPr>
      <w:r>
        <w:rPr>
          <w:rFonts w:hint="eastAsia" w:ascii="宋体" w:hAnsi="宋体" w:eastAsia="宋体" w:cs="宋体"/>
          <w:b w:val="0"/>
          <w:bCs/>
          <w:color w:val="FF0000"/>
          <w:sz w:val="20"/>
          <w:szCs w:val="20"/>
          <w:highlight w:val="none"/>
          <w:shd w:val="clear" w:color="auto" w:fill="FFFFFF"/>
          <w:lang w:eastAsia="zh-CN"/>
        </w:rPr>
        <w:t>监督抽检和评价性抽检应当按照食品安全标准、注册或者备案的特殊食品产品技术要求以及国家有关规定确定的检验项目和检验方法进行。</w:t>
      </w:r>
    </w:p>
    <w:p w14:paraId="3B2FE37E">
      <w:pPr>
        <w:pStyle w:val="6"/>
        <w:keepNext w:val="0"/>
        <w:keepLines w:val="0"/>
        <w:pageBreakBefore w:val="0"/>
        <w:widowControl/>
        <w:kinsoku/>
        <w:wordWrap/>
        <w:overflowPunct/>
        <w:topLinePunct w:val="0"/>
        <w:autoSpaceDE/>
        <w:autoSpaceDN/>
        <w:bidi w:val="0"/>
        <w:adjustRightInd w:val="0"/>
        <w:snapToGrid w:val="0"/>
        <w:spacing w:line="360" w:lineRule="auto"/>
        <w:ind w:firstLine="400" w:firstLineChars="200"/>
        <w:jc w:val="left"/>
        <w:textAlignment w:val="auto"/>
        <w:rPr>
          <w:rFonts w:hint="eastAsia" w:ascii="宋体" w:hAnsi="宋体" w:eastAsia="宋体" w:cs="宋体"/>
          <w:b w:val="0"/>
          <w:bCs/>
          <w:color w:val="FF0000"/>
          <w:sz w:val="20"/>
          <w:szCs w:val="20"/>
          <w:highlight w:val="none"/>
          <w:shd w:val="clear" w:color="auto" w:fill="FFFFFF"/>
          <w:lang w:eastAsia="zh-CN"/>
        </w:rPr>
      </w:pPr>
      <w:r>
        <w:rPr>
          <w:rFonts w:hint="eastAsia" w:ascii="宋体" w:hAnsi="宋体" w:eastAsia="宋体" w:cs="宋体"/>
          <w:b w:val="0"/>
          <w:bCs/>
          <w:color w:val="FF0000"/>
          <w:sz w:val="20"/>
          <w:szCs w:val="20"/>
          <w:highlight w:val="none"/>
          <w:shd w:val="clear" w:color="auto" w:fill="FFFFFF"/>
          <w:lang w:eastAsia="zh-CN"/>
        </w:rPr>
        <w:t>风险监测工作中,在没有前款规定的检验方法的情况下,可以采用其他检验方法。</w:t>
      </w:r>
    </w:p>
    <w:p w14:paraId="2B41169A">
      <w:pPr>
        <w:pStyle w:val="6"/>
        <w:keepNext w:val="0"/>
        <w:keepLines w:val="0"/>
        <w:pageBreakBefore w:val="0"/>
        <w:widowControl/>
        <w:kinsoku/>
        <w:wordWrap/>
        <w:overflowPunct/>
        <w:topLinePunct w:val="0"/>
        <w:autoSpaceDE/>
        <w:autoSpaceDN/>
        <w:bidi w:val="0"/>
        <w:adjustRightInd w:val="0"/>
        <w:snapToGrid w:val="0"/>
        <w:spacing w:line="360" w:lineRule="auto"/>
        <w:ind w:firstLine="400" w:firstLineChars="200"/>
        <w:jc w:val="left"/>
        <w:textAlignment w:val="auto"/>
        <w:rPr>
          <w:rFonts w:hint="eastAsia" w:ascii="宋体" w:hAnsi="宋体" w:eastAsia="宋体" w:cs="宋体"/>
          <w:b w:val="0"/>
          <w:bCs/>
          <w:color w:val="FF0000"/>
          <w:sz w:val="20"/>
          <w:szCs w:val="20"/>
          <w:highlight w:val="none"/>
          <w:shd w:val="clear" w:color="auto" w:fill="FFFFFF"/>
          <w:lang w:eastAsia="zh-CN"/>
        </w:rPr>
      </w:pPr>
      <w:r>
        <w:rPr>
          <w:rFonts w:hint="eastAsia" w:ascii="宋体" w:hAnsi="宋体" w:eastAsia="宋体" w:cs="宋体"/>
          <w:b w:val="0"/>
          <w:bCs/>
          <w:color w:val="FF0000"/>
          <w:sz w:val="20"/>
          <w:szCs w:val="20"/>
          <w:highlight w:val="none"/>
          <w:shd w:val="clear" w:color="auto" w:fill="FFFFFF"/>
          <w:lang w:eastAsia="zh-CN"/>
        </w:rPr>
        <w:t>在不影响样品检验结果的前提下,承检机构应当对检验样品采取相应的措施(如分装或者重新包装编号),以保证不会发生人为原因导致不公正的情况。</w:t>
      </w:r>
    </w:p>
    <w:p w14:paraId="6092E386">
      <w:pPr>
        <w:pStyle w:val="6"/>
        <w:keepNext w:val="0"/>
        <w:keepLines w:val="0"/>
        <w:pageBreakBefore w:val="0"/>
        <w:widowControl/>
        <w:kinsoku/>
        <w:wordWrap/>
        <w:overflowPunct/>
        <w:topLinePunct w:val="0"/>
        <w:autoSpaceDE/>
        <w:autoSpaceDN/>
        <w:bidi w:val="0"/>
        <w:adjustRightInd w:val="0"/>
        <w:snapToGrid w:val="0"/>
        <w:spacing w:line="360" w:lineRule="auto"/>
        <w:ind w:firstLine="400" w:firstLineChars="200"/>
        <w:jc w:val="left"/>
        <w:textAlignment w:val="auto"/>
        <w:rPr>
          <w:rFonts w:hint="eastAsia" w:ascii="宋体" w:hAnsi="宋体" w:eastAsia="宋体" w:cs="宋体"/>
          <w:b w:val="0"/>
          <w:bCs/>
          <w:color w:val="FF0000"/>
          <w:sz w:val="20"/>
          <w:szCs w:val="20"/>
          <w:highlight w:val="none"/>
          <w:shd w:val="clear" w:color="auto" w:fill="FFFFFF"/>
          <w:lang w:eastAsia="zh-CN"/>
        </w:rPr>
      </w:pPr>
      <w:r>
        <w:rPr>
          <w:rFonts w:hint="eastAsia" w:ascii="宋体" w:hAnsi="宋体" w:eastAsia="宋体" w:cs="宋体"/>
          <w:b w:val="0"/>
          <w:bCs/>
          <w:color w:val="FF0000"/>
          <w:sz w:val="20"/>
          <w:szCs w:val="20"/>
          <w:highlight w:val="none"/>
          <w:shd w:val="clear" w:color="auto" w:fill="FFFFFF"/>
          <w:lang w:eastAsia="zh-CN"/>
        </w:rPr>
        <w:t>承检机构应当按照标准或相关规定制备样品，必要时制定作业指导书,认真记录制样过程关键信息。</w:t>
      </w:r>
    </w:p>
    <w:p w14:paraId="44CE6CCA">
      <w:pPr>
        <w:pStyle w:val="6"/>
        <w:keepNext w:val="0"/>
        <w:keepLines w:val="0"/>
        <w:pageBreakBefore w:val="0"/>
        <w:widowControl/>
        <w:kinsoku/>
        <w:wordWrap/>
        <w:overflowPunct/>
        <w:topLinePunct w:val="0"/>
        <w:autoSpaceDE/>
        <w:autoSpaceDN/>
        <w:bidi w:val="0"/>
        <w:adjustRightInd w:val="0"/>
        <w:snapToGrid w:val="0"/>
        <w:spacing w:line="360" w:lineRule="auto"/>
        <w:ind w:firstLine="400" w:firstLineChars="200"/>
        <w:jc w:val="left"/>
        <w:textAlignment w:val="auto"/>
        <w:rPr>
          <w:rFonts w:hint="eastAsia" w:ascii="宋体" w:hAnsi="宋体" w:eastAsia="宋体" w:cs="宋体"/>
          <w:b w:val="0"/>
          <w:bCs/>
          <w:color w:val="FF0000"/>
          <w:sz w:val="20"/>
          <w:szCs w:val="20"/>
          <w:highlight w:val="none"/>
          <w:shd w:val="clear" w:color="auto" w:fill="FFFFFF"/>
          <w:lang w:eastAsia="zh-CN"/>
        </w:rPr>
      </w:pPr>
      <w:r>
        <w:rPr>
          <w:rFonts w:hint="eastAsia" w:ascii="宋体" w:hAnsi="宋体" w:eastAsia="宋体" w:cs="宋体"/>
          <w:b w:val="0"/>
          <w:bCs/>
          <w:color w:val="FF0000"/>
          <w:sz w:val="20"/>
          <w:szCs w:val="20"/>
          <w:highlight w:val="none"/>
          <w:shd w:val="clear" w:color="auto" w:fill="FFFFFF"/>
          <w:lang w:eastAsia="zh-CN"/>
        </w:rPr>
        <w:t>承检机构应当建立检验结果复验程序(微生物、端、寄生虫项目除外),在检验结果不合格或存疑等情况时,应当对同批次样品进行再次检验并保存原始记录,确保数据准确可靠。</w:t>
      </w:r>
    </w:p>
    <w:p w14:paraId="51D4EA68">
      <w:pPr>
        <w:pStyle w:val="6"/>
        <w:keepNext w:val="0"/>
        <w:keepLines w:val="0"/>
        <w:pageBreakBefore w:val="0"/>
        <w:widowControl/>
        <w:kinsoku/>
        <w:wordWrap/>
        <w:overflowPunct/>
        <w:topLinePunct w:val="0"/>
        <w:autoSpaceDE/>
        <w:autoSpaceDN/>
        <w:bidi w:val="0"/>
        <w:adjustRightInd w:val="0"/>
        <w:snapToGrid w:val="0"/>
        <w:spacing w:line="360" w:lineRule="auto"/>
        <w:ind w:firstLine="400" w:firstLineChars="200"/>
        <w:jc w:val="left"/>
        <w:textAlignment w:val="auto"/>
        <w:rPr>
          <w:rFonts w:hint="eastAsia" w:ascii="宋体" w:hAnsi="宋体" w:eastAsia="宋体" w:cs="宋体"/>
          <w:b w:val="0"/>
          <w:bCs/>
          <w:color w:val="FF0000"/>
          <w:sz w:val="20"/>
          <w:szCs w:val="20"/>
          <w:highlight w:val="none"/>
          <w:shd w:val="clear" w:color="auto" w:fill="FFFFFF"/>
          <w:lang w:eastAsia="zh-CN"/>
        </w:rPr>
      </w:pPr>
      <w:r>
        <w:rPr>
          <w:rFonts w:hint="eastAsia" w:ascii="宋体" w:hAnsi="宋体" w:eastAsia="宋体" w:cs="宋体"/>
          <w:b w:val="0"/>
          <w:bCs/>
          <w:color w:val="FF0000"/>
          <w:sz w:val="20"/>
          <w:szCs w:val="20"/>
          <w:highlight w:val="none"/>
          <w:shd w:val="clear" w:color="auto" w:fill="FFFFFF"/>
          <w:lang w:eastAsia="zh-CN"/>
        </w:rPr>
        <w:t>微生物项目不合格的,应当由微生物检验领域关键技术人员(与样品检验人员非同一人)对检验过程中影响结果的关键因素进行复核。</w:t>
      </w:r>
    </w:p>
    <w:p w14:paraId="0AEC8D22">
      <w:pPr>
        <w:pStyle w:val="6"/>
        <w:keepNext w:val="0"/>
        <w:keepLines w:val="0"/>
        <w:pageBreakBefore w:val="0"/>
        <w:widowControl/>
        <w:kinsoku/>
        <w:wordWrap/>
        <w:overflowPunct/>
        <w:topLinePunct w:val="0"/>
        <w:autoSpaceDE/>
        <w:autoSpaceDN/>
        <w:bidi w:val="0"/>
        <w:adjustRightInd w:val="0"/>
        <w:snapToGrid w:val="0"/>
        <w:spacing w:line="360" w:lineRule="auto"/>
        <w:ind w:firstLine="400" w:firstLineChars="200"/>
        <w:jc w:val="left"/>
        <w:textAlignment w:val="auto"/>
        <w:rPr>
          <w:rFonts w:hint="eastAsia" w:ascii="宋体" w:hAnsi="宋体" w:eastAsia="宋体" w:cs="宋体"/>
          <w:b w:val="0"/>
          <w:bCs/>
          <w:color w:val="FF0000"/>
          <w:sz w:val="20"/>
          <w:szCs w:val="20"/>
          <w:highlight w:val="none"/>
          <w:shd w:val="clear" w:color="auto" w:fill="FFFFFF"/>
          <w:lang w:eastAsia="zh-CN"/>
        </w:rPr>
      </w:pPr>
      <w:r>
        <w:rPr>
          <w:rFonts w:hint="eastAsia" w:ascii="宋体" w:hAnsi="宋体" w:eastAsia="宋体" w:cs="宋体"/>
          <w:b w:val="0"/>
          <w:bCs/>
          <w:color w:val="FF0000"/>
          <w:sz w:val="20"/>
          <w:szCs w:val="20"/>
          <w:highlight w:val="none"/>
          <w:shd w:val="clear" w:color="auto" w:fill="FFFFFF"/>
          <w:lang w:eastAsia="zh-CN"/>
        </w:rPr>
        <w:t>检验原始记录必须如实填写,保证真实、准确、完整、清晰、可溯源,不得随意更改;确有必要更改的,更改处应当经检验人员签字或盖章确认;采用电子化原始记录的,应当保留更改痕迹。</w:t>
      </w:r>
    </w:p>
    <w:p w14:paraId="6B3E67CF">
      <w:pPr>
        <w:pStyle w:val="6"/>
        <w:keepNext w:val="0"/>
        <w:keepLines w:val="0"/>
        <w:pageBreakBefore w:val="0"/>
        <w:widowControl/>
        <w:kinsoku/>
        <w:wordWrap/>
        <w:overflowPunct/>
        <w:topLinePunct w:val="0"/>
        <w:autoSpaceDE/>
        <w:autoSpaceDN/>
        <w:bidi w:val="0"/>
        <w:adjustRightInd w:val="0"/>
        <w:snapToGrid w:val="0"/>
        <w:spacing w:line="360" w:lineRule="auto"/>
        <w:ind w:firstLine="400" w:firstLineChars="200"/>
        <w:jc w:val="left"/>
        <w:textAlignment w:val="auto"/>
        <w:rPr>
          <w:rFonts w:hint="eastAsia" w:ascii="宋体" w:hAnsi="宋体" w:eastAsia="宋体" w:cs="宋体"/>
          <w:b w:val="0"/>
          <w:bCs/>
          <w:color w:val="FF0000"/>
          <w:sz w:val="20"/>
          <w:szCs w:val="20"/>
          <w:highlight w:val="none"/>
          <w:shd w:val="clear" w:color="auto" w:fill="FFFFFF"/>
          <w:lang w:eastAsia="zh-CN"/>
        </w:rPr>
      </w:pPr>
      <w:r>
        <w:rPr>
          <w:rFonts w:hint="eastAsia" w:ascii="宋体" w:hAnsi="宋体" w:eastAsia="宋体" w:cs="宋体"/>
          <w:b w:val="0"/>
          <w:bCs/>
          <w:color w:val="FF0000"/>
          <w:sz w:val="20"/>
          <w:szCs w:val="20"/>
          <w:highlight w:val="none"/>
          <w:shd w:val="clear" w:color="auto" w:fill="FFFFFF"/>
        </w:rPr>
        <w:t>承检机构在所中采购包，如有部分项目没有取得相应的检验资质，需上报采购人得到允许后方可将项目分包给其他机构。</w:t>
      </w:r>
    </w:p>
    <w:p w14:paraId="2970F26F">
      <w:pPr>
        <w:pStyle w:val="6"/>
        <w:keepNext w:val="0"/>
        <w:keepLines w:val="0"/>
        <w:pageBreakBefore w:val="0"/>
        <w:widowControl/>
        <w:kinsoku/>
        <w:wordWrap/>
        <w:overflowPunct/>
        <w:topLinePunct w:val="0"/>
        <w:autoSpaceDE/>
        <w:autoSpaceDN/>
        <w:bidi w:val="0"/>
        <w:adjustRightInd w:val="0"/>
        <w:snapToGrid w:val="0"/>
        <w:spacing w:line="360" w:lineRule="auto"/>
        <w:ind w:firstLine="400" w:firstLineChars="200"/>
        <w:jc w:val="left"/>
        <w:textAlignment w:val="auto"/>
        <w:rPr>
          <w:rFonts w:hint="eastAsia" w:ascii="宋体" w:hAnsi="宋体" w:eastAsia="宋体" w:cs="宋体"/>
          <w:b w:val="0"/>
          <w:bCs/>
          <w:color w:val="FF0000"/>
          <w:sz w:val="20"/>
          <w:szCs w:val="20"/>
          <w:highlight w:val="none"/>
          <w:shd w:val="clear" w:color="auto" w:fill="FFFFFF"/>
          <w:lang w:eastAsia="zh-CN"/>
        </w:rPr>
      </w:pPr>
      <w:r>
        <w:rPr>
          <w:rFonts w:hint="eastAsia" w:ascii="宋体" w:hAnsi="宋体" w:eastAsia="宋体" w:cs="宋体"/>
          <w:b w:val="0"/>
          <w:bCs/>
          <w:color w:val="FF0000"/>
          <w:sz w:val="20"/>
          <w:szCs w:val="20"/>
          <w:highlight w:val="none"/>
          <w:shd w:val="clear" w:color="auto" w:fill="FFFFFF"/>
          <w:lang w:val="en-US" w:eastAsia="zh-CN"/>
        </w:rPr>
        <w:t>5.3</w:t>
      </w:r>
      <w:r>
        <w:rPr>
          <w:rFonts w:hint="eastAsia" w:ascii="宋体" w:hAnsi="宋体" w:eastAsia="宋体" w:cs="宋体"/>
          <w:b w:val="0"/>
          <w:bCs/>
          <w:color w:val="FF0000"/>
          <w:sz w:val="20"/>
          <w:szCs w:val="20"/>
          <w:highlight w:val="none"/>
          <w:shd w:val="clear" w:color="auto" w:fill="FFFFFF"/>
          <w:lang w:eastAsia="zh-CN"/>
        </w:rPr>
        <w:t xml:space="preserve"> 结果质量控制</w:t>
      </w:r>
    </w:p>
    <w:p w14:paraId="5FC63CF8">
      <w:pPr>
        <w:pStyle w:val="6"/>
        <w:keepNext w:val="0"/>
        <w:keepLines w:val="0"/>
        <w:pageBreakBefore w:val="0"/>
        <w:widowControl/>
        <w:kinsoku/>
        <w:wordWrap/>
        <w:overflowPunct/>
        <w:topLinePunct w:val="0"/>
        <w:autoSpaceDE/>
        <w:autoSpaceDN/>
        <w:bidi w:val="0"/>
        <w:adjustRightInd w:val="0"/>
        <w:snapToGrid w:val="0"/>
        <w:spacing w:line="360" w:lineRule="auto"/>
        <w:ind w:firstLine="400" w:firstLineChars="200"/>
        <w:jc w:val="left"/>
        <w:textAlignment w:val="auto"/>
        <w:rPr>
          <w:rFonts w:hint="eastAsia" w:ascii="宋体" w:hAnsi="宋体" w:eastAsia="宋体" w:cs="宋体"/>
          <w:b w:val="0"/>
          <w:bCs/>
          <w:color w:val="FF0000"/>
          <w:sz w:val="20"/>
          <w:szCs w:val="20"/>
          <w:highlight w:val="none"/>
          <w:shd w:val="clear" w:color="auto" w:fill="FFFFFF"/>
          <w:lang w:eastAsia="zh-CN"/>
        </w:rPr>
      </w:pPr>
      <w:r>
        <w:rPr>
          <w:rFonts w:hint="eastAsia" w:ascii="宋体" w:hAnsi="宋体" w:eastAsia="宋体" w:cs="宋体"/>
          <w:b w:val="0"/>
          <w:bCs/>
          <w:color w:val="FF0000"/>
          <w:sz w:val="20"/>
          <w:szCs w:val="20"/>
          <w:highlight w:val="none"/>
          <w:shd w:val="clear" w:color="auto" w:fill="FFFFFF"/>
          <w:lang w:eastAsia="zh-CN"/>
        </w:rPr>
        <w:t>承检机构应当选取加标回收、人员比对、设备比对或实验室间比对等质控方式确保数据的准确性。</w:t>
      </w:r>
    </w:p>
    <w:p w14:paraId="031AEFE4">
      <w:pPr>
        <w:pStyle w:val="6"/>
        <w:keepNext w:val="0"/>
        <w:keepLines w:val="0"/>
        <w:pageBreakBefore w:val="0"/>
        <w:widowControl/>
        <w:kinsoku/>
        <w:wordWrap/>
        <w:overflowPunct/>
        <w:topLinePunct w:val="0"/>
        <w:autoSpaceDE/>
        <w:autoSpaceDN/>
        <w:bidi w:val="0"/>
        <w:adjustRightInd w:val="0"/>
        <w:snapToGrid w:val="0"/>
        <w:spacing w:line="360" w:lineRule="auto"/>
        <w:ind w:firstLine="400" w:firstLineChars="200"/>
        <w:jc w:val="left"/>
        <w:textAlignment w:val="auto"/>
        <w:rPr>
          <w:rFonts w:hint="eastAsia" w:ascii="宋体" w:hAnsi="宋体" w:eastAsia="宋体" w:cs="宋体"/>
          <w:b w:val="0"/>
          <w:bCs/>
          <w:color w:val="FF0000"/>
          <w:sz w:val="20"/>
          <w:szCs w:val="20"/>
          <w:highlight w:val="none"/>
          <w:shd w:val="clear" w:color="auto" w:fill="FFFFFF"/>
          <w:lang w:eastAsia="zh-CN"/>
        </w:rPr>
      </w:pPr>
      <w:r>
        <w:rPr>
          <w:rFonts w:hint="eastAsia" w:ascii="宋体" w:hAnsi="宋体" w:eastAsia="宋体" w:cs="宋体"/>
          <w:b w:val="0"/>
          <w:bCs/>
          <w:color w:val="FF0000"/>
          <w:sz w:val="20"/>
          <w:szCs w:val="20"/>
          <w:highlight w:val="none"/>
          <w:shd w:val="clear" w:color="auto" w:fill="FFFFFF"/>
          <w:lang w:val="en-US" w:eastAsia="zh-CN"/>
        </w:rPr>
        <w:t>5.4</w:t>
      </w:r>
      <w:r>
        <w:rPr>
          <w:rFonts w:hint="eastAsia" w:ascii="宋体" w:hAnsi="宋体" w:eastAsia="宋体" w:cs="宋体"/>
          <w:b w:val="0"/>
          <w:bCs/>
          <w:color w:val="FF0000"/>
          <w:sz w:val="20"/>
          <w:szCs w:val="20"/>
          <w:highlight w:val="none"/>
          <w:shd w:val="clear" w:color="auto" w:fill="FFFFFF"/>
          <w:lang w:eastAsia="zh-CN"/>
        </w:rPr>
        <w:t xml:space="preserve"> 检验报告</w:t>
      </w:r>
    </w:p>
    <w:p w14:paraId="2ED03373">
      <w:pPr>
        <w:pStyle w:val="6"/>
        <w:keepNext w:val="0"/>
        <w:keepLines w:val="0"/>
        <w:pageBreakBefore w:val="0"/>
        <w:widowControl/>
        <w:kinsoku/>
        <w:wordWrap/>
        <w:overflowPunct/>
        <w:topLinePunct w:val="0"/>
        <w:autoSpaceDE/>
        <w:autoSpaceDN/>
        <w:bidi w:val="0"/>
        <w:adjustRightInd w:val="0"/>
        <w:snapToGrid w:val="0"/>
        <w:spacing w:line="360" w:lineRule="auto"/>
        <w:ind w:firstLine="400" w:firstLineChars="200"/>
        <w:jc w:val="left"/>
        <w:textAlignment w:val="auto"/>
        <w:rPr>
          <w:rFonts w:hint="eastAsia" w:ascii="宋体" w:hAnsi="宋体" w:eastAsia="宋体" w:cs="宋体"/>
          <w:b w:val="0"/>
          <w:bCs/>
          <w:color w:val="FF0000"/>
          <w:sz w:val="20"/>
          <w:szCs w:val="20"/>
          <w:highlight w:val="none"/>
          <w:shd w:val="clear" w:color="auto" w:fill="FFFFFF"/>
          <w:lang w:eastAsia="zh-CN"/>
        </w:rPr>
      </w:pPr>
      <w:r>
        <w:rPr>
          <w:rFonts w:hint="eastAsia" w:ascii="宋体" w:hAnsi="宋体" w:eastAsia="宋体" w:cs="宋体"/>
          <w:b w:val="0"/>
          <w:bCs/>
          <w:color w:val="FF0000"/>
          <w:sz w:val="20"/>
          <w:szCs w:val="20"/>
          <w:highlight w:val="none"/>
          <w:shd w:val="clear" w:color="auto" w:fill="FFFFFF"/>
          <w:lang w:eastAsia="zh-CN"/>
        </w:rPr>
        <w:t>承检机构应当按规定的格式出具检验报告,检验报告应当内容真实完整、数据准确。</w:t>
      </w:r>
    </w:p>
    <w:p w14:paraId="7C210B49">
      <w:pPr>
        <w:pStyle w:val="6"/>
        <w:keepNext w:val="0"/>
        <w:keepLines w:val="0"/>
        <w:pageBreakBefore w:val="0"/>
        <w:widowControl/>
        <w:kinsoku/>
        <w:wordWrap/>
        <w:overflowPunct/>
        <w:topLinePunct w:val="0"/>
        <w:autoSpaceDE/>
        <w:autoSpaceDN/>
        <w:bidi w:val="0"/>
        <w:adjustRightInd w:val="0"/>
        <w:snapToGrid w:val="0"/>
        <w:spacing w:line="360" w:lineRule="auto"/>
        <w:ind w:firstLine="400" w:firstLineChars="200"/>
        <w:jc w:val="left"/>
        <w:textAlignment w:val="auto"/>
        <w:rPr>
          <w:rFonts w:hint="eastAsia" w:ascii="宋体" w:hAnsi="宋体" w:eastAsia="宋体" w:cs="宋体"/>
          <w:b w:val="0"/>
          <w:bCs/>
          <w:color w:val="FF0000"/>
          <w:sz w:val="20"/>
          <w:szCs w:val="20"/>
          <w:highlight w:val="none"/>
          <w:shd w:val="clear" w:color="auto" w:fill="FFFFFF"/>
          <w:lang w:eastAsia="zh-CN"/>
        </w:rPr>
      </w:pPr>
      <w:r>
        <w:rPr>
          <w:rFonts w:hint="eastAsia" w:ascii="宋体" w:hAnsi="宋体" w:eastAsia="宋体" w:cs="宋体"/>
          <w:b w:val="0"/>
          <w:bCs/>
          <w:color w:val="FF0000"/>
          <w:sz w:val="20"/>
          <w:szCs w:val="20"/>
          <w:highlight w:val="none"/>
          <w:shd w:val="clear" w:color="auto" w:fill="FFFFFF"/>
          <w:lang w:eastAsia="zh-CN"/>
        </w:rPr>
        <w:t>承检机构应当自收到样品之日起二十个工作日内出具检验报告。采购人与承检机构另有约定的,从其约定。</w:t>
      </w:r>
    </w:p>
    <w:p w14:paraId="26AD7B27">
      <w:pPr>
        <w:pStyle w:val="6"/>
        <w:keepNext w:val="0"/>
        <w:keepLines w:val="0"/>
        <w:pageBreakBefore w:val="0"/>
        <w:widowControl/>
        <w:kinsoku/>
        <w:wordWrap/>
        <w:overflowPunct/>
        <w:topLinePunct w:val="0"/>
        <w:autoSpaceDE/>
        <w:autoSpaceDN/>
        <w:bidi w:val="0"/>
        <w:adjustRightInd w:val="0"/>
        <w:snapToGrid w:val="0"/>
        <w:spacing w:line="360" w:lineRule="auto"/>
        <w:ind w:firstLine="400" w:firstLineChars="200"/>
        <w:jc w:val="left"/>
        <w:textAlignment w:val="auto"/>
        <w:rPr>
          <w:rFonts w:hint="eastAsia" w:ascii="宋体" w:hAnsi="宋体" w:eastAsia="宋体" w:cs="宋体"/>
          <w:b w:val="0"/>
          <w:bCs/>
          <w:color w:val="FF0000"/>
          <w:sz w:val="20"/>
          <w:szCs w:val="20"/>
          <w:highlight w:val="none"/>
          <w:shd w:val="clear" w:color="auto" w:fill="FFFFFF"/>
          <w:lang w:eastAsia="zh-CN"/>
        </w:rPr>
      </w:pPr>
      <w:r>
        <w:rPr>
          <w:rFonts w:hint="eastAsia" w:ascii="宋体" w:hAnsi="宋体" w:eastAsia="宋体" w:cs="宋体"/>
          <w:b w:val="0"/>
          <w:bCs/>
          <w:color w:val="FF0000"/>
          <w:sz w:val="20"/>
          <w:szCs w:val="20"/>
          <w:highlight w:val="none"/>
          <w:shd w:val="clear" w:color="auto" w:fill="FFFFFF"/>
          <w:lang w:eastAsia="zh-CN"/>
        </w:rPr>
        <w:t>食品安全抽样检验实行承检机构与检验人负责制。承检机构出具的食品安全检验报告应当加盖机构公章或检验检测专用章,并有检验人的签名或者盖章。承检机构和检验人对出具的检验报告负责。</w:t>
      </w:r>
    </w:p>
    <w:p w14:paraId="44F1E9A7">
      <w:pPr>
        <w:pStyle w:val="6"/>
        <w:keepNext w:val="0"/>
        <w:keepLines w:val="0"/>
        <w:pageBreakBefore w:val="0"/>
        <w:widowControl/>
        <w:kinsoku/>
        <w:wordWrap/>
        <w:overflowPunct/>
        <w:topLinePunct w:val="0"/>
        <w:autoSpaceDE/>
        <w:autoSpaceDN/>
        <w:bidi w:val="0"/>
        <w:adjustRightInd w:val="0"/>
        <w:snapToGrid w:val="0"/>
        <w:spacing w:line="360" w:lineRule="auto"/>
        <w:ind w:firstLine="400" w:firstLineChars="200"/>
        <w:jc w:val="left"/>
        <w:textAlignment w:val="auto"/>
        <w:rPr>
          <w:rFonts w:hint="eastAsia" w:ascii="宋体" w:hAnsi="宋体" w:eastAsia="宋体" w:cs="宋体"/>
          <w:b w:val="0"/>
          <w:bCs/>
          <w:color w:val="FF0000"/>
          <w:sz w:val="20"/>
          <w:szCs w:val="20"/>
          <w:highlight w:val="none"/>
          <w:shd w:val="clear" w:color="auto" w:fill="FFFFFF"/>
          <w:lang w:eastAsia="zh-CN"/>
        </w:rPr>
      </w:pPr>
      <w:r>
        <w:rPr>
          <w:rFonts w:hint="eastAsia" w:ascii="宋体" w:hAnsi="宋体" w:eastAsia="宋体" w:cs="宋体"/>
          <w:b w:val="0"/>
          <w:bCs/>
          <w:color w:val="FF0000"/>
          <w:sz w:val="20"/>
          <w:szCs w:val="20"/>
          <w:highlight w:val="none"/>
          <w:shd w:val="clear" w:color="auto" w:fill="FFFFFF"/>
          <w:lang w:val="en-US" w:eastAsia="zh-CN"/>
        </w:rPr>
        <w:t>5.5</w:t>
      </w:r>
      <w:r>
        <w:rPr>
          <w:rFonts w:hint="eastAsia" w:ascii="宋体" w:hAnsi="宋体" w:eastAsia="宋体" w:cs="宋体"/>
          <w:b w:val="0"/>
          <w:bCs/>
          <w:color w:val="FF0000"/>
          <w:sz w:val="20"/>
          <w:szCs w:val="20"/>
          <w:highlight w:val="none"/>
          <w:shd w:val="clear" w:color="auto" w:fill="FFFFFF"/>
          <w:lang w:eastAsia="zh-CN"/>
        </w:rPr>
        <w:t xml:space="preserve"> 检验过程的特殊情况</w:t>
      </w:r>
    </w:p>
    <w:p w14:paraId="4E2F1F2F">
      <w:pPr>
        <w:pStyle w:val="6"/>
        <w:keepNext w:val="0"/>
        <w:keepLines w:val="0"/>
        <w:pageBreakBefore w:val="0"/>
        <w:widowControl/>
        <w:kinsoku/>
        <w:wordWrap/>
        <w:overflowPunct/>
        <w:topLinePunct w:val="0"/>
        <w:autoSpaceDE/>
        <w:autoSpaceDN/>
        <w:bidi w:val="0"/>
        <w:adjustRightInd w:val="0"/>
        <w:snapToGrid w:val="0"/>
        <w:spacing w:line="360" w:lineRule="auto"/>
        <w:ind w:firstLine="400" w:firstLineChars="200"/>
        <w:jc w:val="left"/>
        <w:textAlignment w:val="auto"/>
        <w:rPr>
          <w:rFonts w:hint="eastAsia" w:ascii="宋体" w:hAnsi="宋体" w:eastAsia="宋体" w:cs="宋体"/>
          <w:b w:val="0"/>
          <w:bCs/>
          <w:color w:val="FF0000"/>
          <w:sz w:val="20"/>
          <w:szCs w:val="20"/>
          <w:highlight w:val="none"/>
          <w:shd w:val="clear" w:color="auto" w:fill="FFFFFF"/>
          <w:lang w:eastAsia="zh-CN"/>
        </w:rPr>
      </w:pPr>
      <w:r>
        <w:rPr>
          <w:rFonts w:hint="eastAsia" w:ascii="宋体" w:hAnsi="宋体" w:eastAsia="宋体" w:cs="宋体"/>
          <w:b w:val="0"/>
          <w:bCs/>
          <w:color w:val="FF0000"/>
          <w:sz w:val="20"/>
          <w:szCs w:val="20"/>
          <w:highlight w:val="none"/>
          <w:shd w:val="clear" w:color="auto" w:fill="FFFFFF"/>
          <w:lang w:eastAsia="zh-CN"/>
        </w:rPr>
        <w:t>检验过程中遇有样品失效或者其他情况致使检验无法进行的,承检机构必须如实记录有关情况,提供充分的证明材料。并将有关情况报告采购人。</w:t>
      </w:r>
    </w:p>
    <w:p w14:paraId="47AD7BD0">
      <w:pPr>
        <w:pStyle w:val="6"/>
        <w:keepNext w:val="0"/>
        <w:keepLines w:val="0"/>
        <w:pageBreakBefore w:val="0"/>
        <w:widowControl/>
        <w:kinsoku/>
        <w:wordWrap/>
        <w:overflowPunct/>
        <w:topLinePunct w:val="0"/>
        <w:autoSpaceDE/>
        <w:autoSpaceDN/>
        <w:bidi w:val="0"/>
        <w:adjustRightInd w:val="0"/>
        <w:snapToGrid w:val="0"/>
        <w:spacing w:line="360" w:lineRule="auto"/>
        <w:ind w:firstLine="400" w:firstLineChars="200"/>
        <w:jc w:val="left"/>
        <w:textAlignment w:val="auto"/>
        <w:rPr>
          <w:rFonts w:hint="eastAsia" w:ascii="宋体" w:hAnsi="宋体" w:eastAsia="宋体" w:cs="宋体"/>
          <w:b w:val="0"/>
          <w:bCs/>
          <w:color w:val="FF0000"/>
          <w:sz w:val="20"/>
          <w:szCs w:val="20"/>
          <w:highlight w:val="none"/>
          <w:shd w:val="clear" w:color="auto" w:fill="FFFFFF"/>
          <w:lang w:eastAsia="zh-CN"/>
        </w:rPr>
      </w:pPr>
      <w:r>
        <w:rPr>
          <w:rFonts w:hint="eastAsia" w:ascii="宋体" w:hAnsi="宋体" w:eastAsia="宋体" w:cs="宋体"/>
          <w:b w:val="0"/>
          <w:bCs/>
          <w:color w:val="FF0000"/>
          <w:sz w:val="20"/>
          <w:szCs w:val="20"/>
          <w:highlight w:val="none"/>
          <w:shd w:val="clear" w:color="auto" w:fill="FFFFFF"/>
          <w:lang w:val="en-US" w:eastAsia="zh-CN"/>
        </w:rPr>
        <w:t>5.6</w:t>
      </w:r>
      <w:r>
        <w:rPr>
          <w:rFonts w:hint="eastAsia" w:ascii="宋体" w:hAnsi="宋体" w:eastAsia="宋体" w:cs="宋体"/>
          <w:b w:val="0"/>
          <w:bCs/>
          <w:color w:val="FF0000"/>
          <w:sz w:val="20"/>
          <w:szCs w:val="20"/>
          <w:highlight w:val="none"/>
          <w:shd w:val="clear" w:color="auto" w:fill="FFFFFF"/>
          <w:lang w:eastAsia="zh-CN"/>
        </w:rPr>
        <w:t xml:space="preserve"> 风险信息限时报送</w:t>
      </w:r>
    </w:p>
    <w:p w14:paraId="6F349278">
      <w:pPr>
        <w:pStyle w:val="6"/>
        <w:keepNext w:val="0"/>
        <w:keepLines w:val="0"/>
        <w:pageBreakBefore w:val="0"/>
        <w:widowControl/>
        <w:kinsoku/>
        <w:wordWrap/>
        <w:overflowPunct/>
        <w:topLinePunct w:val="0"/>
        <w:autoSpaceDE/>
        <w:autoSpaceDN/>
        <w:bidi w:val="0"/>
        <w:adjustRightInd w:val="0"/>
        <w:snapToGrid w:val="0"/>
        <w:spacing w:line="360" w:lineRule="auto"/>
        <w:ind w:firstLine="400" w:firstLineChars="200"/>
        <w:jc w:val="left"/>
        <w:textAlignment w:val="auto"/>
        <w:rPr>
          <w:rFonts w:hint="eastAsia" w:ascii="宋体" w:hAnsi="宋体" w:eastAsia="宋体" w:cs="宋体"/>
          <w:b w:val="0"/>
          <w:bCs/>
          <w:color w:val="FF0000"/>
          <w:sz w:val="20"/>
          <w:szCs w:val="20"/>
          <w:highlight w:val="none"/>
          <w:shd w:val="clear" w:color="auto" w:fill="FFFFFF"/>
          <w:lang w:eastAsia="zh-CN"/>
        </w:rPr>
      </w:pPr>
      <w:r>
        <w:rPr>
          <w:rFonts w:hint="eastAsia" w:ascii="宋体" w:hAnsi="宋体" w:eastAsia="宋体" w:cs="宋体"/>
          <w:b w:val="0"/>
          <w:bCs/>
          <w:color w:val="FF0000"/>
          <w:sz w:val="20"/>
          <w:szCs w:val="20"/>
          <w:highlight w:val="none"/>
          <w:shd w:val="clear" w:color="auto" w:fill="FFFFFF"/>
          <w:lang w:eastAsia="zh-CN"/>
        </w:rPr>
        <w:t>承检机构在检验过程中发现《食品抽检发现严重食品安全风险情形参考表》所列情形的，应当立即对样品信息、检验结果等进行核实,在十二个小时内填写《食品安全抽样检验限时报告情况表》上传国抽信息系统，同时向采购人书面或电话报告,确认对方收悉并记录备查。承检机构要按“急事急办”原则,尽快出具完整的检验报告。</w:t>
      </w:r>
    </w:p>
    <w:p w14:paraId="3D857EA3">
      <w:pPr>
        <w:pStyle w:val="6"/>
        <w:keepNext w:val="0"/>
        <w:keepLines w:val="0"/>
        <w:pageBreakBefore w:val="0"/>
        <w:widowControl/>
        <w:kinsoku/>
        <w:wordWrap/>
        <w:overflowPunct/>
        <w:topLinePunct w:val="0"/>
        <w:autoSpaceDE/>
        <w:autoSpaceDN/>
        <w:bidi w:val="0"/>
        <w:adjustRightInd w:val="0"/>
        <w:snapToGrid w:val="0"/>
        <w:spacing w:line="360" w:lineRule="auto"/>
        <w:ind w:firstLine="400" w:firstLineChars="200"/>
        <w:jc w:val="left"/>
        <w:textAlignment w:val="auto"/>
        <w:rPr>
          <w:rFonts w:hint="eastAsia" w:ascii="宋体" w:hAnsi="宋体" w:eastAsia="宋体" w:cs="宋体"/>
          <w:b w:val="0"/>
          <w:bCs/>
          <w:color w:val="FF0000"/>
          <w:sz w:val="20"/>
          <w:szCs w:val="20"/>
          <w:highlight w:val="none"/>
          <w:shd w:val="clear" w:color="auto" w:fill="FFFFFF"/>
        </w:rPr>
      </w:pPr>
      <w:r>
        <w:rPr>
          <w:rFonts w:hint="eastAsia" w:ascii="宋体" w:hAnsi="宋体" w:eastAsia="宋体" w:cs="宋体"/>
          <w:b w:val="0"/>
          <w:bCs/>
          <w:color w:val="FF0000"/>
          <w:sz w:val="20"/>
          <w:szCs w:val="20"/>
          <w:highlight w:val="none"/>
          <w:shd w:val="clear" w:color="auto" w:fill="FFFFFF"/>
          <w:lang w:val="en-US" w:eastAsia="zh-CN"/>
        </w:rPr>
        <w:t>5.7</w:t>
      </w:r>
      <w:r>
        <w:rPr>
          <w:rFonts w:hint="eastAsia" w:ascii="宋体" w:hAnsi="宋体" w:eastAsia="宋体" w:cs="宋体"/>
          <w:b w:val="0"/>
          <w:bCs/>
          <w:color w:val="FF0000"/>
          <w:sz w:val="20"/>
          <w:szCs w:val="20"/>
          <w:highlight w:val="none"/>
          <w:shd w:val="clear" w:color="auto" w:fill="FFFFFF"/>
        </w:rPr>
        <w:t>检验报告报送和送达</w:t>
      </w:r>
    </w:p>
    <w:p w14:paraId="6D52CAB6">
      <w:pPr>
        <w:pStyle w:val="6"/>
        <w:keepNext w:val="0"/>
        <w:keepLines w:val="0"/>
        <w:pageBreakBefore w:val="0"/>
        <w:widowControl/>
        <w:kinsoku/>
        <w:wordWrap/>
        <w:overflowPunct/>
        <w:topLinePunct w:val="0"/>
        <w:autoSpaceDE/>
        <w:autoSpaceDN/>
        <w:bidi w:val="0"/>
        <w:adjustRightInd w:val="0"/>
        <w:snapToGrid w:val="0"/>
        <w:spacing w:line="360" w:lineRule="auto"/>
        <w:ind w:firstLine="400" w:firstLineChars="200"/>
        <w:jc w:val="left"/>
        <w:textAlignment w:val="auto"/>
        <w:rPr>
          <w:rFonts w:hint="eastAsia" w:ascii="宋体" w:hAnsi="宋体" w:eastAsia="宋体" w:cs="宋体"/>
          <w:b w:val="0"/>
          <w:bCs/>
          <w:color w:val="FF0000"/>
          <w:sz w:val="20"/>
          <w:szCs w:val="20"/>
          <w:highlight w:val="none"/>
          <w:shd w:val="clear" w:color="auto" w:fill="FFFFFF"/>
        </w:rPr>
      </w:pPr>
      <w:r>
        <w:rPr>
          <w:rFonts w:hint="eastAsia" w:ascii="宋体" w:hAnsi="宋体" w:eastAsia="宋体" w:cs="宋体"/>
          <w:b w:val="0"/>
          <w:bCs/>
          <w:color w:val="FF0000"/>
          <w:sz w:val="20"/>
          <w:szCs w:val="20"/>
          <w:highlight w:val="none"/>
          <w:shd w:val="clear" w:color="auto" w:fill="FFFFFF"/>
          <w:lang w:val="en-US" w:eastAsia="zh-CN"/>
        </w:rPr>
        <w:t>5.7.</w:t>
      </w:r>
      <w:r>
        <w:rPr>
          <w:rFonts w:hint="eastAsia" w:ascii="宋体" w:hAnsi="宋体" w:eastAsia="宋体" w:cs="宋体"/>
          <w:b w:val="0"/>
          <w:bCs/>
          <w:color w:val="FF0000"/>
          <w:sz w:val="20"/>
          <w:szCs w:val="20"/>
          <w:highlight w:val="none"/>
          <w:shd w:val="clear" w:color="auto" w:fill="FFFFFF"/>
        </w:rPr>
        <w:t>1合格样品、未发现问题样品检验报告的报送承检机构应当在检验结论作出后七个工作日内将检验结论报送</w:t>
      </w:r>
      <w:r>
        <w:rPr>
          <w:rFonts w:hint="eastAsia" w:ascii="宋体" w:hAnsi="宋体" w:eastAsia="宋体" w:cs="宋体"/>
          <w:b w:val="0"/>
          <w:bCs/>
          <w:color w:val="FF0000"/>
          <w:sz w:val="20"/>
          <w:szCs w:val="20"/>
          <w:highlight w:val="none"/>
          <w:shd w:val="clear" w:color="auto" w:fill="FFFFFF"/>
          <w:lang w:eastAsia="zh-CN"/>
        </w:rPr>
        <w:t>采购人</w:t>
      </w:r>
      <w:r>
        <w:rPr>
          <w:rFonts w:hint="eastAsia" w:ascii="宋体" w:hAnsi="宋体" w:eastAsia="宋体" w:cs="宋体"/>
          <w:b w:val="0"/>
          <w:bCs/>
          <w:color w:val="FF0000"/>
          <w:sz w:val="20"/>
          <w:szCs w:val="20"/>
          <w:highlight w:val="none"/>
          <w:shd w:val="clear" w:color="auto" w:fill="FFFFFF"/>
        </w:rPr>
        <w:t>。</w:t>
      </w:r>
    </w:p>
    <w:p w14:paraId="162D87DA">
      <w:pPr>
        <w:pStyle w:val="6"/>
        <w:keepNext w:val="0"/>
        <w:keepLines w:val="0"/>
        <w:pageBreakBefore w:val="0"/>
        <w:widowControl/>
        <w:kinsoku/>
        <w:wordWrap/>
        <w:overflowPunct/>
        <w:topLinePunct w:val="0"/>
        <w:autoSpaceDE/>
        <w:autoSpaceDN/>
        <w:bidi w:val="0"/>
        <w:adjustRightInd w:val="0"/>
        <w:snapToGrid w:val="0"/>
        <w:spacing w:line="360" w:lineRule="auto"/>
        <w:ind w:firstLine="400" w:firstLineChars="200"/>
        <w:jc w:val="left"/>
        <w:textAlignment w:val="auto"/>
        <w:rPr>
          <w:rFonts w:hint="eastAsia" w:ascii="宋体" w:hAnsi="宋体" w:eastAsia="宋体" w:cs="宋体"/>
          <w:b w:val="0"/>
          <w:bCs/>
          <w:color w:val="FF0000"/>
          <w:sz w:val="20"/>
          <w:szCs w:val="20"/>
          <w:highlight w:val="none"/>
          <w:shd w:val="clear" w:color="auto" w:fill="FFFFFF"/>
        </w:rPr>
      </w:pPr>
      <w:r>
        <w:rPr>
          <w:rFonts w:hint="eastAsia" w:ascii="宋体" w:hAnsi="宋体" w:eastAsia="宋体" w:cs="宋体"/>
          <w:b w:val="0"/>
          <w:bCs/>
          <w:color w:val="FF0000"/>
          <w:sz w:val="20"/>
          <w:szCs w:val="20"/>
          <w:highlight w:val="none"/>
          <w:shd w:val="clear" w:color="auto" w:fill="FFFFFF"/>
          <w:lang w:val="en-US" w:eastAsia="zh-CN"/>
        </w:rPr>
        <w:t>5.7</w:t>
      </w:r>
      <w:r>
        <w:rPr>
          <w:rFonts w:hint="eastAsia" w:ascii="宋体" w:hAnsi="宋体" w:eastAsia="宋体" w:cs="宋体"/>
          <w:b w:val="0"/>
          <w:bCs/>
          <w:color w:val="FF0000"/>
          <w:sz w:val="20"/>
          <w:szCs w:val="20"/>
          <w:highlight w:val="none"/>
          <w:shd w:val="clear" w:color="auto" w:fill="FFFFFF"/>
        </w:rPr>
        <w:t>.2不合格样品、问题样品检验报告的报送</w:t>
      </w:r>
    </w:p>
    <w:p w14:paraId="388E8DD1">
      <w:pPr>
        <w:pStyle w:val="6"/>
        <w:keepNext w:val="0"/>
        <w:keepLines w:val="0"/>
        <w:pageBreakBefore w:val="0"/>
        <w:widowControl/>
        <w:kinsoku/>
        <w:wordWrap/>
        <w:overflowPunct/>
        <w:topLinePunct w:val="0"/>
        <w:autoSpaceDE/>
        <w:autoSpaceDN/>
        <w:bidi w:val="0"/>
        <w:adjustRightInd w:val="0"/>
        <w:snapToGrid w:val="0"/>
        <w:spacing w:line="360" w:lineRule="auto"/>
        <w:ind w:firstLine="400" w:firstLineChars="200"/>
        <w:jc w:val="left"/>
        <w:textAlignment w:val="auto"/>
        <w:rPr>
          <w:rFonts w:hint="eastAsia" w:ascii="宋体" w:hAnsi="宋体" w:eastAsia="宋体" w:cs="宋体"/>
          <w:b w:val="0"/>
          <w:bCs/>
          <w:color w:val="FF0000"/>
          <w:sz w:val="20"/>
          <w:szCs w:val="20"/>
          <w:highlight w:val="none"/>
          <w:shd w:val="clear" w:color="auto" w:fill="FFFFFF"/>
        </w:rPr>
      </w:pPr>
      <w:r>
        <w:rPr>
          <w:rFonts w:hint="eastAsia" w:ascii="宋体" w:hAnsi="宋体" w:eastAsia="宋体" w:cs="宋体"/>
          <w:b w:val="0"/>
          <w:bCs/>
          <w:color w:val="FF0000"/>
          <w:sz w:val="20"/>
          <w:szCs w:val="20"/>
          <w:highlight w:val="none"/>
          <w:shd w:val="clear" w:color="auto" w:fill="FFFFFF"/>
        </w:rPr>
        <w:t>承检机构应当在检验结论作出后两个工作日内将检验报告及《食品安全抽样检验告知书》</w:t>
      </w:r>
      <w:r>
        <w:rPr>
          <w:rFonts w:hint="eastAsia" w:ascii="宋体" w:hAnsi="宋体" w:eastAsia="宋体" w:cs="宋体"/>
          <w:b w:val="0"/>
          <w:bCs/>
          <w:color w:val="FF0000"/>
          <w:sz w:val="20"/>
          <w:szCs w:val="20"/>
          <w:highlight w:val="none"/>
          <w:shd w:val="clear" w:color="auto" w:fill="FFFFFF"/>
          <w:lang w:eastAsia="zh-CN"/>
        </w:rPr>
        <w:t>、</w:t>
      </w:r>
      <w:r>
        <w:rPr>
          <w:rFonts w:hint="eastAsia" w:ascii="宋体" w:hAnsi="宋体" w:eastAsia="宋体" w:cs="宋体"/>
          <w:b w:val="0"/>
          <w:bCs/>
          <w:color w:val="FF0000"/>
          <w:sz w:val="20"/>
          <w:szCs w:val="20"/>
          <w:highlight w:val="none"/>
          <w:shd w:val="clear" w:color="auto" w:fill="FFFFFF"/>
        </w:rPr>
        <w:t>《食品安全抽样检验抽样单》</w:t>
      </w:r>
      <w:r>
        <w:rPr>
          <w:rFonts w:hint="eastAsia" w:ascii="宋体" w:hAnsi="宋体" w:eastAsia="宋体" w:cs="宋体"/>
          <w:b w:val="0"/>
          <w:bCs/>
          <w:color w:val="FF0000"/>
          <w:sz w:val="20"/>
          <w:szCs w:val="20"/>
          <w:highlight w:val="none"/>
          <w:shd w:val="clear" w:color="auto" w:fill="FFFFFF"/>
          <w:lang w:eastAsia="zh-CN"/>
        </w:rPr>
        <w:t>、</w:t>
      </w:r>
      <w:r>
        <w:rPr>
          <w:rFonts w:hint="eastAsia" w:ascii="宋体" w:hAnsi="宋体" w:eastAsia="宋体" w:cs="宋体"/>
          <w:b w:val="0"/>
          <w:bCs/>
          <w:color w:val="FF0000"/>
          <w:sz w:val="20"/>
          <w:szCs w:val="20"/>
          <w:highlight w:val="none"/>
          <w:shd w:val="clear" w:color="auto" w:fill="FFFFFF"/>
        </w:rPr>
        <w:t>《食品安全抽样检验结果通知书》</w:t>
      </w:r>
      <w:r>
        <w:rPr>
          <w:rFonts w:hint="eastAsia" w:ascii="宋体" w:hAnsi="宋体" w:eastAsia="宋体" w:cs="宋体"/>
          <w:b w:val="0"/>
          <w:bCs/>
          <w:color w:val="FF0000"/>
          <w:sz w:val="20"/>
          <w:szCs w:val="20"/>
          <w:highlight w:val="none"/>
          <w:shd w:val="clear" w:color="auto" w:fill="FFFFFF"/>
          <w:lang w:eastAsia="zh-CN"/>
        </w:rPr>
        <w:t>和</w:t>
      </w:r>
      <w:r>
        <w:rPr>
          <w:rFonts w:hint="eastAsia" w:ascii="宋体" w:hAnsi="宋体" w:eastAsia="宋体" w:cs="宋体"/>
          <w:b w:val="0"/>
          <w:bCs/>
          <w:color w:val="FF0000"/>
          <w:sz w:val="20"/>
          <w:szCs w:val="20"/>
          <w:highlight w:val="none"/>
          <w:shd w:val="clear" w:color="auto" w:fill="FFFFFF"/>
        </w:rPr>
        <w:t>《食品安全风险监测结果通知书》等有关材料报送</w:t>
      </w:r>
      <w:r>
        <w:rPr>
          <w:rFonts w:hint="eastAsia" w:ascii="宋体" w:hAnsi="宋体" w:eastAsia="宋体" w:cs="宋体"/>
          <w:b w:val="0"/>
          <w:bCs/>
          <w:color w:val="FF0000"/>
          <w:sz w:val="20"/>
          <w:szCs w:val="20"/>
          <w:highlight w:val="none"/>
          <w:shd w:val="clear" w:color="auto" w:fill="FFFFFF"/>
          <w:lang w:eastAsia="zh-CN"/>
        </w:rPr>
        <w:t>采购人</w:t>
      </w:r>
      <w:r>
        <w:rPr>
          <w:rFonts w:hint="eastAsia" w:ascii="宋体" w:hAnsi="宋体" w:eastAsia="宋体" w:cs="宋体"/>
          <w:b w:val="0"/>
          <w:bCs/>
          <w:color w:val="FF0000"/>
          <w:sz w:val="20"/>
          <w:szCs w:val="20"/>
          <w:highlight w:val="none"/>
          <w:shd w:val="clear" w:color="auto" w:fill="FFFFFF"/>
        </w:rPr>
        <w:t>。</w:t>
      </w:r>
    </w:p>
    <w:p w14:paraId="7A7FEE7C">
      <w:pPr>
        <w:pStyle w:val="6"/>
        <w:keepNext w:val="0"/>
        <w:keepLines w:val="0"/>
        <w:pageBreakBefore w:val="0"/>
        <w:widowControl/>
        <w:kinsoku/>
        <w:wordWrap/>
        <w:overflowPunct/>
        <w:topLinePunct w:val="0"/>
        <w:autoSpaceDE/>
        <w:autoSpaceDN/>
        <w:bidi w:val="0"/>
        <w:adjustRightInd w:val="0"/>
        <w:snapToGrid w:val="0"/>
        <w:spacing w:line="360" w:lineRule="auto"/>
        <w:ind w:firstLine="400" w:firstLineChars="200"/>
        <w:jc w:val="left"/>
        <w:textAlignment w:val="auto"/>
        <w:rPr>
          <w:rFonts w:hint="eastAsia" w:ascii="宋体" w:hAnsi="宋体" w:eastAsia="宋体" w:cs="宋体"/>
          <w:b w:val="0"/>
          <w:bCs/>
          <w:color w:val="FF0000"/>
          <w:sz w:val="20"/>
          <w:szCs w:val="20"/>
          <w:highlight w:val="none"/>
          <w:shd w:val="clear" w:color="auto" w:fill="FFFFFF"/>
          <w:lang w:val="en-US" w:eastAsia="zh-CN"/>
        </w:rPr>
      </w:pPr>
      <w:r>
        <w:rPr>
          <w:rFonts w:hint="eastAsia" w:ascii="宋体" w:hAnsi="宋体" w:eastAsia="宋体" w:cs="宋体"/>
          <w:b w:val="0"/>
          <w:bCs/>
          <w:color w:val="FF0000"/>
          <w:sz w:val="20"/>
          <w:szCs w:val="20"/>
          <w:highlight w:val="none"/>
          <w:shd w:val="clear" w:color="auto" w:fill="FFFFFF"/>
          <w:lang w:val="en-US" w:eastAsia="zh-CN"/>
        </w:rPr>
        <w:t xml:space="preserve">5.8 </w:t>
      </w:r>
      <w:r>
        <w:rPr>
          <w:rFonts w:hint="eastAsia" w:ascii="宋体" w:hAnsi="宋体" w:eastAsia="宋体" w:cs="宋体"/>
          <w:b w:val="0"/>
          <w:bCs/>
          <w:color w:val="FF0000"/>
          <w:sz w:val="20"/>
          <w:szCs w:val="20"/>
          <w:highlight w:val="none"/>
          <w:shd w:val="clear" w:color="auto" w:fill="FFFFFF"/>
        </w:rPr>
        <w:t>对目前暂未有判定依据的项目应出具检测结果数值、检测方法介绍、结果分析和处理建议。</w:t>
      </w:r>
    </w:p>
    <w:p w14:paraId="697E1DC4">
      <w:pPr>
        <w:pStyle w:val="6"/>
        <w:keepNext w:val="0"/>
        <w:keepLines w:val="0"/>
        <w:pageBreakBefore w:val="0"/>
        <w:widowControl/>
        <w:kinsoku/>
        <w:wordWrap/>
        <w:overflowPunct/>
        <w:topLinePunct w:val="0"/>
        <w:autoSpaceDE/>
        <w:autoSpaceDN/>
        <w:bidi w:val="0"/>
        <w:adjustRightInd w:val="0"/>
        <w:snapToGrid w:val="0"/>
        <w:spacing w:line="360" w:lineRule="auto"/>
        <w:ind w:firstLine="400" w:firstLineChars="200"/>
        <w:jc w:val="left"/>
        <w:textAlignment w:val="auto"/>
        <w:rPr>
          <w:rFonts w:hint="eastAsia" w:ascii="宋体" w:hAnsi="宋体" w:eastAsia="宋体" w:cs="宋体"/>
          <w:b w:val="0"/>
          <w:bCs/>
          <w:color w:val="FF0000"/>
          <w:sz w:val="20"/>
          <w:szCs w:val="20"/>
          <w:highlight w:val="none"/>
          <w:shd w:val="clear" w:color="auto" w:fill="FFFFFF"/>
        </w:rPr>
      </w:pPr>
      <w:r>
        <w:rPr>
          <w:rFonts w:hint="eastAsia" w:ascii="宋体" w:hAnsi="宋体" w:eastAsia="宋体" w:cs="宋体"/>
          <w:b w:val="0"/>
          <w:bCs/>
          <w:color w:val="FF0000"/>
          <w:sz w:val="20"/>
          <w:szCs w:val="20"/>
          <w:highlight w:val="none"/>
          <w:shd w:val="clear" w:color="auto" w:fill="FFFFFF"/>
          <w:lang w:val="en-US" w:eastAsia="zh-CN"/>
        </w:rPr>
        <w:t>5.9</w:t>
      </w:r>
      <w:r>
        <w:rPr>
          <w:rFonts w:hint="eastAsia" w:ascii="宋体" w:hAnsi="宋体" w:eastAsia="宋体" w:cs="宋体"/>
          <w:b w:val="0"/>
          <w:bCs/>
          <w:color w:val="FF0000"/>
          <w:sz w:val="20"/>
          <w:szCs w:val="20"/>
          <w:highlight w:val="none"/>
          <w:shd w:val="clear" w:color="auto" w:fill="FFFFFF"/>
        </w:rPr>
        <w:t xml:space="preserve"> 复检备份样品的处理</w:t>
      </w:r>
    </w:p>
    <w:p w14:paraId="77CAE87D">
      <w:pPr>
        <w:pStyle w:val="6"/>
        <w:keepNext w:val="0"/>
        <w:keepLines w:val="0"/>
        <w:pageBreakBefore w:val="0"/>
        <w:widowControl/>
        <w:kinsoku/>
        <w:wordWrap/>
        <w:overflowPunct/>
        <w:topLinePunct w:val="0"/>
        <w:autoSpaceDE/>
        <w:autoSpaceDN/>
        <w:bidi w:val="0"/>
        <w:adjustRightInd w:val="0"/>
        <w:snapToGrid w:val="0"/>
        <w:spacing w:line="360" w:lineRule="auto"/>
        <w:ind w:firstLine="400" w:firstLineChars="200"/>
        <w:jc w:val="left"/>
        <w:textAlignment w:val="auto"/>
        <w:rPr>
          <w:rFonts w:hint="eastAsia" w:ascii="宋体" w:hAnsi="宋体" w:eastAsia="宋体" w:cs="宋体"/>
          <w:b w:val="0"/>
          <w:bCs/>
          <w:color w:val="FF0000"/>
          <w:sz w:val="20"/>
          <w:szCs w:val="20"/>
          <w:highlight w:val="none"/>
          <w:shd w:val="clear" w:color="auto" w:fill="FFFFFF"/>
          <w:lang w:eastAsia="zh-CN"/>
        </w:rPr>
      </w:pPr>
      <w:r>
        <w:rPr>
          <w:rFonts w:hint="eastAsia" w:ascii="宋体" w:hAnsi="宋体" w:eastAsia="宋体" w:cs="宋体"/>
          <w:b w:val="0"/>
          <w:bCs/>
          <w:color w:val="FF0000"/>
          <w:sz w:val="20"/>
          <w:szCs w:val="20"/>
          <w:highlight w:val="none"/>
          <w:shd w:val="clear" w:color="auto" w:fill="FFFFFF"/>
        </w:rPr>
        <w:t>原则上自检验结论作出之日起一个月后可按规范程序和有关要求组织对合格复检备份样品合理再利用</w:t>
      </w:r>
      <w:r>
        <w:rPr>
          <w:rFonts w:hint="eastAsia" w:ascii="宋体" w:hAnsi="宋体" w:eastAsia="宋体" w:cs="宋体"/>
          <w:b w:val="0"/>
          <w:bCs/>
          <w:color w:val="FF0000"/>
          <w:sz w:val="20"/>
          <w:szCs w:val="20"/>
          <w:highlight w:val="none"/>
          <w:shd w:val="clear" w:color="auto" w:fill="FFFFFF"/>
          <w:lang w:eastAsia="zh-CN"/>
        </w:rPr>
        <w:t>，</w:t>
      </w:r>
      <w:r>
        <w:rPr>
          <w:rFonts w:hint="eastAsia" w:ascii="宋体" w:hAnsi="宋体" w:eastAsia="宋体" w:cs="宋体"/>
          <w:b w:val="0"/>
          <w:bCs/>
          <w:color w:val="FF0000"/>
          <w:sz w:val="20"/>
          <w:szCs w:val="20"/>
          <w:highlight w:val="none"/>
          <w:shd w:val="clear" w:color="auto" w:fill="FFFFFF"/>
        </w:rPr>
        <w:t>其他合格备份样品应当自检验结论作出之日起三个月内妥善保存.剩余保质期不足三个月的,应当保存至保质期结束</w:t>
      </w:r>
      <w:r>
        <w:rPr>
          <w:rFonts w:hint="eastAsia" w:ascii="宋体" w:hAnsi="宋体" w:eastAsia="宋体" w:cs="宋体"/>
          <w:b w:val="0"/>
          <w:bCs/>
          <w:color w:val="FF0000"/>
          <w:sz w:val="20"/>
          <w:szCs w:val="20"/>
          <w:highlight w:val="none"/>
          <w:shd w:val="clear" w:color="auto" w:fill="FFFFFF"/>
          <w:lang w:eastAsia="zh-CN"/>
        </w:rPr>
        <w:t>。</w:t>
      </w:r>
    </w:p>
    <w:p w14:paraId="6D5286FE">
      <w:pPr>
        <w:pStyle w:val="6"/>
        <w:keepNext w:val="0"/>
        <w:keepLines w:val="0"/>
        <w:pageBreakBefore w:val="0"/>
        <w:widowControl/>
        <w:kinsoku/>
        <w:wordWrap/>
        <w:overflowPunct/>
        <w:topLinePunct w:val="0"/>
        <w:autoSpaceDE/>
        <w:autoSpaceDN/>
        <w:bidi w:val="0"/>
        <w:adjustRightInd w:val="0"/>
        <w:snapToGrid w:val="0"/>
        <w:spacing w:line="360" w:lineRule="auto"/>
        <w:ind w:firstLine="400" w:firstLineChars="200"/>
        <w:jc w:val="left"/>
        <w:textAlignment w:val="auto"/>
        <w:rPr>
          <w:rFonts w:hint="eastAsia" w:ascii="宋体" w:hAnsi="宋体" w:eastAsia="宋体" w:cs="宋体"/>
          <w:b w:val="0"/>
          <w:bCs/>
          <w:color w:val="FF0000"/>
          <w:sz w:val="20"/>
          <w:szCs w:val="20"/>
          <w:highlight w:val="none"/>
          <w:shd w:val="clear" w:color="auto" w:fill="FFFFFF"/>
        </w:rPr>
      </w:pPr>
      <w:r>
        <w:rPr>
          <w:rFonts w:hint="eastAsia" w:ascii="宋体" w:hAnsi="宋体" w:eastAsia="宋体" w:cs="宋体"/>
          <w:b w:val="0"/>
          <w:bCs/>
          <w:color w:val="FF0000"/>
          <w:sz w:val="20"/>
          <w:szCs w:val="20"/>
          <w:highlight w:val="none"/>
          <w:shd w:val="clear" w:color="auto" w:fill="FFFFFF"/>
        </w:rPr>
        <w:t>检验结论不合格的,承检机构应当自检验结论作出之日起六个月内妥善保存复检备份样品,剩余保质期不足六个月的，应当保存至保质期结束。</w:t>
      </w:r>
    </w:p>
    <w:p w14:paraId="3318D433">
      <w:pPr>
        <w:pStyle w:val="6"/>
        <w:keepNext w:val="0"/>
        <w:keepLines w:val="0"/>
        <w:pageBreakBefore w:val="0"/>
        <w:widowControl/>
        <w:kinsoku/>
        <w:wordWrap/>
        <w:overflowPunct/>
        <w:topLinePunct w:val="0"/>
        <w:autoSpaceDE/>
        <w:autoSpaceDN/>
        <w:bidi w:val="0"/>
        <w:adjustRightInd w:val="0"/>
        <w:snapToGrid w:val="0"/>
        <w:spacing w:line="360" w:lineRule="auto"/>
        <w:ind w:firstLine="400" w:firstLineChars="200"/>
        <w:jc w:val="left"/>
        <w:textAlignment w:val="auto"/>
        <w:rPr>
          <w:rFonts w:hint="eastAsia" w:ascii="宋体" w:hAnsi="宋体" w:eastAsia="宋体" w:cs="宋体"/>
          <w:b w:val="0"/>
          <w:bCs/>
          <w:color w:val="FF0000"/>
          <w:sz w:val="20"/>
          <w:szCs w:val="20"/>
          <w:highlight w:val="none"/>
          <w:shd w:val="clear" w:color="auto" w:fill="FFFFFF"/>
        </w:rPr>
      </w:pPr>
      <w:r>
        <w:rPr>
          <w:rFonts w:hint="eastAsia" w:ascii="宋体" w:hAnsi="宋体" w:eastAsia="宋体" w:cs="宋体"/>
          <w:b w:val="0"/>
          <w:bCs/>
          <w:color w:val="FF0000"/>
          <w:sz w:val="20"/>
          <w:szCs w:val="20"/>
          <w:highlight w:val="none"/>
          <w:shd w:val="clear" w:color="auto" w:fill="FFFFFF"/>
        </w:rPr>
        <w:t>对超过保存期的复检备份样品，应当进行妥善处理,并保留样品保存和处理记录。</w:t>
      </w:r>
    </w:p>
    <w:p w14:paraId="78F681AA">
      <w:pPr>
        <w:pStyle w:val="6"/>
        <w:keepNext w:val="0"/>
        <w:keepLines w:val="0"/>
        <w:pageBreakBefore w:val="0"/>
        <w:widowControl/>
        <w:kinsoku/>
        <w:wordWrap/>
        <w:overflowPunct/>
        <w:topLinePunct w:val="0"/>
        <w:autoSpaceDE/>
        <w:autoSpaceDN/>
        <w:bidi w:val="0"/>
        <w:adjustRightInd w:val="0"/>
        <w:snapToGrid w:val="0"/>
        <w:spacing w:line="360" w:lineRule="auto"/>
        <w:ind w:firstLine="400" w:firstLineChars="200"/>
        <w:jc w:val="left"/>
        <w:textAlignment w:val="auto"/>
        <w:rPr>
          <w:rFonts w:hint="eastAsia" w:ascii="宋体" w:hAnsi="宋体" w:eastAsia="宋体" w:cs="宋体"/>
          <w:b w:val="0"/>
          <w:bCs/>
          <w:color w:val="FF0000"/>
          <w:sz w:val="20"/>
          <w:szCs w:val="20"/>
          <w:highlight w:val="none"/>
        </w:rPr>
      </w:pPr>
      <w:r>
        <w:rPr>
          <w:rFonts w:hint="eastAsia" w:ascii="宋体" w:hAnsi="宋体" w:eastAsia="宋体" w:cs="宋体"/>
          <w:b w:val="0"/>
          <w:bCs/>
          <w:color w:val="FF0000"/>
          <w:sz w:val="20"/>
          <w:szCs w:val="20"/>
          <w:highlight w:val="none"/>
          <w:shd w:val="clear" w:color="auto" w:fill="FFFFFF"/>
        </w:rPr>
        <w:t>★6.检验结果的处理</w:t>
      </w:r>
    </w:p>
    <w:p w14:paraId="34D5C06E">
      <w:pPr>
        <w:pStyle w:val="6"/>
        <w:keepNext w:val="0"/>
        <w:keepLines w:val="0"/>
        <w:pageBreakBefore w:val="0"/>
        <w:widowControl/>
        <w:kinsoku/>
        <w:wordWrap/>
        <w:overflowPunct/>
        <w:topLinePunct w:val="0"/>
        <w:autoSpaceDE/>
        <w:autoSpaceDN/>
        <w:bidi w:val="0"/>
        <w:adjustRightInd w:val="0"/>
        <w:snapToGrid w:val="0"/>
        <w:spacing w:line="360" w:lineRule="auto"/>
        <w:ind w:firstLine="400" w:firstLineChars="200"/>
        <w:jc w:val="left"/>
        <w:textAlignment w:val="auto"/>
        <w:rPr>
          <w:rFonts w:hint="eastAsia" w:ascii="宋体" w:hAnsi="宋体" w:eastAsia="宋体" w:cs="宋体"/>
          <w:b w:val="0"/>
          <w:bCs/>
          <w:color w:val="FF0000"/>
          <w:sz w:val="20"/>
          <w:szCs w:val="20"/>
          <w:highlight w:val="none"/>
        </w:rPr>
      </w:pPr>
      <w:r>
        <w:rPr>
          <w:rFonts w:hint="eastAsia" w:ascii="宋体" w:hAnsi="宋体" w:eastAsia="宋体" w:cs="宋体"/>
          <w:b w:val="0"/>
          <w:bCs/>
          <w:color w:val="FF0000"/>
          <w:sz w:val="20"/>
          <w:szCs w:val="20"/>
          <w:highlight w:val="none"/>
          <w:shd w:val="clear" w:color="auto" w:fill="FFFFFF"/>
        </w:rPr>
        <w:t>6.1 出具检验结论、提供检验报告及有关材料的送达、告知：承检机构根据《中华人民共和国食品安全法》、《</w:t>
      </w:r>
      <w:r>
        <w:rPr>
          <w:rFonts w:hint="eastAsia" w:ascii="宋体" w:hAnsi="宋体" w:eastAsia="宋体" w:cs="宋体"/>
          <w:b w:val="0"/>
          <w:bCs/>
          <w:color w:val="FF0000"/>
          <w:sz w:val="20"/>
          <w:szCs w:val="20"/>
          <w:highlight w:val="none"/>
          <w:shd w:val="clear" w:color="auto" w:fill="FFFFFF"/>
          <w:lang w:eastAsia="zh-CN"/>
        </w:rPr>
        <w:t>食品安全抽样检验工作规范</w:t>
      </w:r>
      <w:r>
        <w:rPr>
          <w:rFonts w:hint="eastAsia" w:ascii="宋体" w:hAnsi="宋体" w:eastAsia="宋体" w:cs="宋体"/>
          <w:b w:val="0"/>
          <w:bCs/>
          <w:color w:val="FF0000"/>
          <w:sz w:val="20"/>
          <w:szCs w:val="20"/>
          <w:highlight w:val="none"/>
          <w:shd w:val="clear" w:color="auto" w:fill="FFFFFF"/>
        </w:rPr>
        <w:t>》等政策法规执行。</w:t>
      </w:r>
    </w:p>
    <w:p w14:paraId="73D43B9F">
      <w:pPr>
        <w:pStyle w:val="6"/>
        <w:keepNext w:val="0"/>
        <w:keepLines w:val="0"/>
        <w:pageBreakBefore w:val="0"/>
        <w:widowControl/>
        <w:kinsoku/>
        <w:wordWrap/>
        <w:overflowPunct/>
        <w:topLinePunct w:val="0"/>
        <w:autoSpaceDE/>
        <w:autoSpaceDN/>
        <w:bidi w:val="0"/>
        <w:adjustRightInd w:val="0"/>
        <w:snapToGrid w:val="0"/>
        <w:spacing w:line="360" w:lineRule="auto"/>
        <w:ind w:firstLine="400" w:firstLineChars="200"/>
        <w:jc w:val="left"/>
        <w:textAlignment w:val="auto"/>
        <w:rPr>
          <w:rFonts w:hint="eastAsia" w:ascii="宋体" w:hAnsi="宋体" w:eastAsia="宋体" w:cs="宋体"/>
          <w:b w:val="0"/>
          <w:bCs/>
          <w:color w:val="FF0000"/>
          <w:sz w:val="20"/>
          <w:szCs w:val="20"/>
          <w:highlight w:val="none"/>
        </w:rPr>
      </w:pPr>
      <w:r>
        <w:rPr>
          <w:rFonts w:hint="eastAsia" w:ascii="宋体" w:hAnsi="宋体" w:eastAsia="宋体" w:cs="宋体"/>
          <w:b w:val="0"/>
          <w:bCs/>
          <w:color w:val="FF0000"/>
          <w:sz w:val="20"/>
          <w:szCs w:val="20"/>
          <w:highlight w:val="none"/>
          <w:shd w:val="clear" w:color="auto" w:fill="FFFFFF"/>
        </w:rPr>
        <w:t>6.2 检验结果的评估：承检机构应指派专人负责整理、分类、汇总抽检数据。承检机构要对不合格项目进行原因及危害性分析评估，并出具分析评估报告，提出下一步检测意见和建议。</w:t>
      </w:r>
    </w:p>
    <w:p w14:paraId="7B73FB4A">
      <w:pPr>
        <w:pStyle w:val="6"/>
        <w:keepNext w:val="0"/>
        <w:keepLines w:val="0"/>
        <w:pageBreakBefore w:val="0"/>
        <w:widowControl/>
        <w:kinsoku/>
        <w:wordWrap/>
        <w:overflowPunct/>
        <w:topLinePunct w:val="0"/>
        <w:autoSpaceDE/>
        <w:autoSpaceDN/>
        <w:bidi w:val="0"/>
        <w:adjustRightInd w:val="0"/>
        <w:snapToGrid w:val="0"/>
        <w:spacing w:line="360" w:lineRule="auto"/>
        <w:ind w:firstLine="400" w:firstLineChars="200"/>
        <w:jc w:val="left"/>
        <w:textAlignment w:val="auto"/>
        <w:rPr>
          <w:rFonts w:hint="eastAsia" w:ascii="宋体" w:hAnsi="宋体" w:eastAsia="宋体" w:cs="宋体"/>
          <w:b w:val="0"/>
          <w:bCs/>
          <w:color w:val="FF0000"/>
          <w:sz w:val="20"/>
          <w:szCs w:val="20"/>
          <w:highlight w:val="none"/>
        </w:rPr>
      </w:pPr>
      <w:r>
        <w:rPr>
          <w:rFonts w:hint="eastAsia" w:ascii="宋体" w:hAnsi="宋体" w:eastAsia="宋体" w:cs="宋体"/>
          <w:b w:val="0"/>
          <w:bCs/>
          <w:color w:val="FF0000"/>
          <w:sz w:val="20"/>
          <w:szCs w:val="20"/>
          <w:highlight w:val="none"/>
          <w:shd w:val="clear" w:color="auto" w:fill="FFFFFF"/>
        </w:rPr>
        <w:t>6.3 对被抽检单位异议的处理以及复检：</w:t>
      </w:r>
    </w:p>
    <w:p w14:paraId="3543F2C4">
      <w:pPr>
        <w:pStyle w:val="6"/>
        <w:keepNext w:val="0"/>
        <w:keepLines w:val="0"/>
        <w:pageBreakBefore w:val="0"/>
        <w:widowControl/>
        <w:kinsoku/>
        <w:wordWrap/>
        <w:overflowPunct/>
        <w:topLinePunct w:val="0"/>
        <w:autoSpaceDE/>
        <w:autoSpaceDN/>
        <w:bidi w:val="0"/>
        <w:adjustRightInd w:val="0"/>
        <w:snapToGrid w:val="0"/>
        <w:spacing w:line="360" w:lineRule="auto"/>
        <w:ind w:firstLine="400" w:firstLineChars="200"/>
        <w:jc w:val="left"/>
        <w:textAlignment w:val="auto"/>
        <w:rPr>
          <w:rFonts w:hint="eastAsia" w:ascii="宋体" w:hAnsi="宋体" w:eastAsia="宋体" w:cs="宋体"/>
          <w:b w:val="0"/>
          <w:bCs/>
          <w:color w:val="FF0000"/>
          <w:sz w:val="20"/>
          <w:szCs w:val="20"/>
          <w:highlight w:val="none"/>
        </w:rPr>
      </w:pPr>
      <w:r>
        <w:rPr>
          <w:rFonts w:hint="eastAsia" w:ascii="宋体" w:hAnsi="宋体" w:eastAsia="宋体" w:cs="宋体"/>
          <w:b w:val="0"/>
          <w:bCs/>
          <w:color w:val="FF0000"/>
          <w:sz w:val="20"/>
          <w:szCs w:val="20"/>
          <w:highlight w:val="none"/>
          <w:shd w:val="clear" w:color="auto" w:fill="FFFFFF"/>
        </w:rPr>
        <w:t>6.3.1 协助采购人处理被抽检单位提出的异议申请。</w:t>
      </w:r>
    </w:p>
    <w:p w14:paraId="287ECD3E">
      <w:pPr>
        <w:pStyle w:val="6"/>
        <w:keepNext w:val="0"/>
        <w:keepLines w:val="0"/>
        <w:pageBreakBefore w:val="0"/>
        <w:widowControl/>
        <w:kinsoku/>
        <w:wordWrap/>
        <w:overflowPunct/>
        <w:topLinePunct w:val="0"/>
        <w:autoSpaceDE/>
        <w:autoSpaceDN/>
        <w:bidi w:val="0"/>
        <w:adjustRightInd w:val="0"/>
        <w:snapToGrid w:val="0"/>
        <w:spacing w:line="360" w:lineRule="auto"/>
        <w:ind w:firstLine="400" w:firstLineChars="200"/>
        <w:jc w:val="left"/>
        <w:textAlignment w:val="auto"/>
        <w:rPr>
          <w:rFonts w:hint="eastAsia" w:ascii="宋体" w:hAnsi="宋体" w:eastAsia="宋体" w:cs="宋体"/>
          <w:b w:val="0"/>
          <w:bCs/>
          <w:color w:val="FF0000"/>
          <w:sz w:val="20"/>
          <w:szCs w:val="20"/>
          <w:highlight w:val="none"/>
        </w:rPr>
      </w:pPr>
      <w:r>
        <w:rPr>
          <w:rFonts w:hint="eastAsia" w:ascii="宋体" w:hAnsi="宋体" w:eastAsia="宋体" w:cs="宋体"/>
          <w:b w:val="0"/>
          <w:bCs/>
          <w:color w:val="FF0000"/>
          <w:sz w:val="20"/>
          <w:szCs w:val="20"/>
          <w:highlight w:val="none"/>
          <w:shd w:val="clear" w:color="auto" w:fill="FFFFFF"/>
        </w:rPr>
        <w:t>6.3.2 初检机构配合有关复检工作，复检机构依法开展复检工作。</w:t>
      </w:r>
    </w:p>
    <w:p w14:paraId="25099D2A">
      <w:pPr>
        <w:pStyle w:val="6"/>
        <w:keepNext w:val="0"/>
        <w:keepLines w:val="0"/>
        <w:pageBreakBefore w:val="0"/>
        <w:widowControl/>
        <w:kinsoku/>
        <w:wordWrap/>
        <w:overflowPunct/>
        <w:topLinePunct w:val="0"/>
        <w:autoSpaceDE/>
        <w:autoSpaceDN/>
        <w:bidi w:val="0"/>
        <w:adjustRightInd w:val="0"/>
        <w:snapToGrid w:val="0"/>
        <w:spacing w:line="360" w:lineRule="auto"/>
        <w:ind w:firstLine="400" w:firstLineChars="200"/>
        <w:jc w:val="left"/>
        <w:textAlignment w:val="auto"/>
        <w:rPr>
          <w:rFonts w:hint="eastAsia" w:ascii="宋体" w:hAnsi="宋体" w:eastAsia="宋体" w:cs="宋体"/>
          <w:b w:val="0"/>
          <w:bCs/>
          <w:color w:val="FF0000"/>
          <w:sz w:val="20"/>
          <w:szCs w:val="20"/>
          <w:highlight w:val="none"/>
        </w:rPr>
      </w:pPr>
      <w:r>
        <w:rPr>
          <w:rFonts w:hint="eastAsia" w:ascii="宋体" w:hAnsi="宋体" w:eastAsia="宋体" w:cs="宋体"/>
          <w:b w:val="0"/>
          <w:bCs/>
          <w:color w:val="FF0000"/>
          <w:sz w:val="20"/>
          <w:szCs w:val="20"/>
          <w:highlight w:val="none"/>
          <w:shd w:val="clear" w:color="auto" w:fill="FFFFFF"/>
        </w:rPr>
        <w:t>6.3.3 中标承检机构（符合国家认监委发布的复检机构的名录里的单位）均为采购人指定的第三方复检机构，必须承接采购人赋予的第三方复检任务，在接到采购人要求的复检任务时，应予以受理。特殊情况不能接受的，中标承检机构应说明理由并与采购人协商解决。复检机构由采购人公布的复检机构名录中随机确定。</w:t>
      </w:r>
    </w:p>
    <w:p w14:paraId="6812A491">
      <w:pPr>
        <w:pStyle w:val="6"/>
        <w:keepNext w:val="0"/>
        <w:keepLines w:val="0"/>
        <w:pageBreakBefore w:val="0"/>
        <w:widowControl/>
        <w:kinsoku/>
        <w:wordWrap/>
        <w:overflowPunct/>
        <w:topLinePunct w:val="0"/>
        <w:autoSpaceDE/>
        <w:autoSpaceDN/>
        <w:bidi w:val="0"/>
        <w:adjustRightInd w:val="0"/>
        <w:snapToGrid w:val="0"/>
        <w:spacing w:line="360" w:lineRule="auto"/>
        <w:ind w:firstLine="400" w:firstLineChars="200"/>
        <w:jc w:val="left"/>
        <w:textAlignment w:val="auto"/>
        <w:rPr>
          <w:rFonts w:hint="eastAsia" w:ascii="宋体" w:hAnsi="宋体" w:eastAsia="宋体" w:cs="宋体"/>
          <w:b w:val="0"/>
          <w:bCs/>
          <w:color w:val="FF0000"/>
          <w:sz w:val="20"/>
          <w:szCs w:val="20"/>
          <w:highlight w:val="none"/>
        </w:rPr>
      </w:pPr>
      <w:r>
        <w:rPr>
          <w:rFonts w:hint="eastAsia" w:ascii="宋体" w:hAnsi="宋体" w:eastAsia="宋体" w:cs="宋体"/>
          <w:b w:val="0"/>
          <w:bCs/>
          <w:color w:val="FF0000"/>
          <w:sz w:val="20"/>
          <w:szCs w:val="20"/>
          <w:highlight w:val="none"/>
          <w:shd w:val="clear" w:color="auto" w:fill="FFFFFF"/>
        </w:rPr>
        <w:t>6.3.4 复检结果表明合格的，复检费用由初检机构承担；复检结论表明不合格的，复检费用由被抽检单位承担。复检收费标准比照中标同类品种检验项目单价收取。</w:t>
      </w:r>
    </w:p>
    <w:p w14:paraId="4BA45FDC">
      <w:pPr>
        <w:pStyle w:val="6"/>
        <w:keepNext w:val="0"/>
        <w:keepLines w:val="0"/>
        <w:pageBreakBefore w:val="0"/>
        <w:widowControl/>
        <w:kinsoku/>
        <w:wordWrap/>
        <w:overflowPunct/>
        <w:topLinePunct w:val="0"/>
        <w:autoSpaceDE/>
        <w:autoSpaceDN/>
        <w:bidi w:val="0"/>
        <w:adjustRightInd w:val="0"/>
        <w:snapToGrid w:val="0"/>
        <w:spacing w:line="360" w:lineRule="auto"/>
        <w:ind w:firstLine="400" w:firstLineChars="200"/>
        <w:jc w:val="left"/>
        <w:textAlignment w:val="auto"/>
        <w:rPr>
          <w:rFonts w:hint="eastAsia" w:ascii="宋体" w:hAnsi="宋体" w:eastAsia="宋体" w:cs="宋体"/>
          <w:b w:val="0"/>
          <w:bCs/>
          <w:color w:val="FF0000"/>
          <w:sz w:val="20"/>
          <w:szCs w:val="20"/>
          <w:highlight w:val="none"/>
        </w:rPr>
      </w:pPr>
      <w:r>
        <w:rPr>
          <w:rFonts w:hint="eastAsia" w:ascii="宋体" w:hAnsi="宋体" w:eastAsia="宋体" w:cs="宋体"/>
          <w:b w:val="0"/>
          <w:bCs/>
          <w:color w:val="FF0000"/>
          <w:sz w:val="20"/>
          <w:szCs w:val="20"/>
          <w:highlight w:val="none"/>
          <w:shd w:val="clear" w:color="auto" w:fill="FFFFFF"/>
        </w:rPr>
        <w:t>6.3.5 对不需要复检的异议，采购人依法受理后，转交相关承检机构全权负责处理和答复，采购人不介入处理过程；承检机构应当及时将处理和答复的结果反馈异议人，直至双方达成一致的处理意见并上报采购人备案。</w:t>
      </w:r>
    </w:p>
    <w:p w14:paraId="31AC3CF1">
      <w:pPr>
        <w:pStyle w:val="6"/>
        <w:keepNext w:val="0"/>
        <w:keepLines w:val="0"/>
        <w:pageBreakBefore w:val="0"/>
        <w:widowControl/>
        <w:kinsoku/>
        <w:wordWrap/>
        <w:overflowPunct/>
        <w:topLinePunct w:val="0"/>
        <w:autoSpaceDE/>
        <w:autoSpaceDN/>
        <w:bidi w:val="0"/>
        <w:adjustRightInd w:val="0"/>
        <w:snapToGrid w:val="0"/>
        <w:spacing w:line="360" w:lineRule="auto"/>
        <w:ind w:firstLine="400" w:firstLineChars="200"/>
        <w:jc w:val="left"/>
        <w:textAlignment w:val="auto"/>
        <w:rPr>
          <w:rFonts w:hint="eastAsia" w:ascii="宋体" w:hAnsi="宋体" w:eastAsia="宋体" w:cs="宋体"/>
          <w:b w:val="0"/>
          <w:bCs/>
          <w:color w:val="FF0000"/>
          <w:sz w:val="20"/>
          <w:szCs w:val="20"/>
          <w:highlight w:val="none"/>
        </w:rPr>
      </w:pPr>
      <w:r>
        <w:rPr>
          <w:rFonts w:hint="eastAsia" w:ascii="宋体" w:hAnsi="宋体" w:eastAsia="宋体" w:cs="宋体"/>
          <w:b w:val="0"/>
          <w:bCs/>
          <w:color w:val="FF0000"/>
          <w:sz w:val="20"/>
          <w:szCs w:val="20"/>
          <w:highlight w:val="none"/>
          <w:shd w:val="clear" w:color="auto" w:fill="FFFFFF"/>
        </w:rPr>
        <w:t>6.4 涉及抽检的全部情况包括数据及结果，承检机构必须保密，不得向除采购人以外的任何单位与个人透露情况。</w:t>
      </w:r>
    </w:p>
    <w:p w14:paraId="2CC129DD">
      <w:pPr>
        <w:pStyle w:val="6"/>
        <w:keepNext w:val="0"/>
        <w:keepLines w:val="0"/>
        <w:pageBreakBefore w:val="0"/>
        <w:widowControl/>
        <w:kinsoku/>
        <w:wordWrap/>
        <w:overflowPunct/>
        <w:topLinePunct w:val="0"/>
        <w:autoSpaceDE/>
        <w:autoSpaceDN/>
        <w:bidi w:val="0"/>
        <w:adjustRightInd w:val="0"/>
        <w:snapToGrid w:val="0"/>
        <w:spacing w:line="360" w:lineRule="auto"/>
        <w:ind w:firstLine="400" w:firstLineChars="200"/>
        <w:jc w:val="left"/>
        <w:textAlignment w:val="auto"/>
        <w:rPr>
          <w:rFonts w:hint="eastAsia" w:ascii="宋体" w:hAnsi="宋体" w:eastAsia="宋体" w:cs="宋体"/>
          <w:b w:val="0"/>
          <w:bCs/>
          <w:color w:val="FF0000"/>
          <w:sz w:val="20"/>
          <w:szCs w:val="20"/>
          <w:highlight w:val="none"/>
        </w:rPr>
      </w:pPr>
      <w:r>
        <w:rPr>
          <w:rFonts w:hint="eastAsia" w:ascii="宋体" w:hAnsi="宋体" w:eastAsia="宋体" w:cs="宋体"/>
          <w:b w:val="0"/>
          <w:bCs/>
          <w:color w:val="FF0000"/>
          <w:sz w:val="20"/>
          <w:szCs w:val="20"/>
          <w:highlight w:val="none"/>
          <w:shd w:val="clear" w:color="auto" w:fill="FFFFFF"/>
        </w:rPr>
        <w:t>6.5 为保证检验报告及有关公文的顺利送达，邮寄必须选择EMS。邮寄所需费用由承检机构支付。</w:t>
      </w:r>
    </w:p>
    <w:p w14:paraId="06E028DB">
      <w:pPr>
        <w:pStyle w:val="6"/>
        <w:keepNext w:val="0"/>
        <w:keepLines w:val="0"/>
        <w:pageBreakBefore w:val="0"/>
        <w:widowControl/>
        <w:kinsoku/>
        <w:wordWrap/>
        <w:overflowPunct/>
        <w:topLinePunct w:val="0"/>
        <w:autoSpaceDE/>
        <w:autoSpaceDN/>
        <w:bidi w:val="0"/>
        <w:adjustRightInd w:val="0"/>
        <w:snapToGrid w:val="0"/>
        <w:spacing w:line="360" w:lineRule="auto"/>
        <w:ind w:firstLine="400" w:firstLineChars="200"/>
        <w:jc w:val="left"/>
        <w:textAlignment w:val="auto"/>
        <w:rPr>
          <w:rFonts w:hint="eastAsia" w:ascii="宋体" w:hAnsi="宋体" w:eastAsia="宋体" w:cs="宋体"/>
          <w:b w:val="0"/>
          <w:bCs/>
          <w:color w:val="FF0000"/>
          <w:sz w:val="20"/>
          <w:szCs w:val="20"/>
          <w:highlight w:val="none"/>
        </w:rPr>
      </w:pPr>
      <w:r>
        <w:rPr>
          <w:rFonts w:hint="eastAsia" w:ascii="宋体" w:hAnsi="宋体" w:eastAsia="宋体" w:cs="宋体"/>
          <w:b w:val="0"/>
          <w:bCs/>
          <w:color w:val="FF0000"/>
          <w:sz w:val="20"/>
          <w:szCs w:val="20"/>
          <w:highlight w:val="none"/>
          <w:shd w:val="clear" w:color="auto" w:fill="FFFFFF"/>
        </w:rPr>
        <w:t>★7.应急行动和售后服务要求</w:t>
      </w:r>
    </w:p>
    <w:p w14:paraId="6E1D7023">
      <w:pPr>
        <w:pStyle w:val="6"/>
        <w:keepNext w:val="0"/>
        <w:keepLines w:val="0"/>
        <w:pageBreakBefore w:val="0"/>
        <w:widowControl/>
        <w:kinsoku/>
        <w:wordWrap/>
        <w:overflowPunct/>
        <w:topLinePunct w:val="0"/>
        <w:autoSpaceDE/>
        <w:autoSpaceDN/>
        <w:bidi w:val="0"/>
        <w:adjustRightInd w:val="0"/>
        <w:snapToGrid w:val="0"/>
        <w:spacing w:line="360" w:lineRule="auto"/>
        <w:ind w:firstLine="400" w:firstLineChars="200"/>
        <w:jc w:val="left"/>
        <w:textAlignment w:val="auto"/>
        <w:rPr>
          <w:rFonts w:hint="eastAsia" w:ascii="宋体" w:hAnsi="宋体" w:eastAsia="宋体" w:cs="宋体"/>
          <w:b w:val="0"/>
          <w:bCs/>
          <w:color w:val="FF0000"/>
          <w:sz w:val="20"/>
          <w:szCs w:val="20"/>
          <w:highlight w:val="none"/>
        </w:rPr>
      </w:pPr>
      <w:r>
        <w:rPr>
          <w:rFonts w:hint="eastAsia" w:ascii="宋体" w:hAnsi="宋体" w:eastAsia="宋体" w:cs="宋体"/>
          <w:b w:val="0"/>
          <w:bCs/>
          <w:color w:val="FF0000"/>
          <w:sz w:val="20"/>
          <w:szCs w:val="20"/>
          <w:highlight w:val="none"/>
          <w:shd w:val="clear" w:color="auto" w:fill="FFFFFF"/>
        </w:rPr>
        <w:t>7.1 采购人需要实施应急、执法等抽检时，承检机构及时协助采购人制定抽检方案。并且，承检机构能够同时派出不少于2个抽样组（每组2人或以上），快速出动配合采购人进行抽检，从接到采购人指令起，4小时内到达现场。</w:t>
      </w:r>
    </w:p>
    <w:p w14:paraId="7B4A9D0F">
      <w:pPr>
        <w:pStyle w:val="6"/>
        <w:keepNext w:val="0"/>
        <w:keepLines w:val="0"/>
        <w:pageBreakBefore w:val="0"/>
        <w:widowControl/>
        <w:kinsoku/>
        <w:wordWrap/>
        <w:overflowPunct/>
        <w:topLinePunct w:val="0"/>
        <w:autoSpaceDE/>
        <w:autoSpaceDN/>
        <w:bidi w:val="0"/>
        <w:adjustRightInd w:val="0"/>
        <w:snapToGrid w:val="0"/>
        <w:spacing w:line="360" w:lineRule="auto"/>
        <w:ind w:firstLine="400" w:firstLineChars="200"/>
        <w:jc w:val="left"/>
        <w:textAlignment w:val="auto"/>
        <w:rPr>
          <w:rFonts w:hint="eastAsia" w:ascii="宋体" w:hAnsi="宋体" w:eastAsia="宋体" w:cs="宋体"/>
          <w:b w:val="0"/>
          <w:bCs/>
          <w:color w:val="FF0000"/>
          <w:sz w:val="20"/>
          <w:szCs w:val="20"/>
          <w:highlight w:val="none"/>
        </w:rPr>
      </w:pPr>
      <w:r>
        <w:rPr>
          <w:rFonts w:hint="eastAsia" w:ascii="宋体" w:hAnsi="宋体" w:eastAsia="宋体" w:cs="宋体"/>
          <w:b w:val="0"/>
          <w:bCs/>
          <w:color w:val="FF0000"/>
          <w:sz w:val="20"/>
          <w:szCs w:val="20"/>
          <w:highlight w:val="none"/>
          <w:shd w:val="clear" w:color="auto" w:fill="FFFFFF"/>
        </w:rPr>
        <w:t>7.2 对采购人提出的样品复测、交叉检测等需求时，承检机构应无条件配合。</w:t>
      </w:r>
    </w:p>
    <w:p w14:paraId="1E7BC780">
      <w:pPr>
        <w:pStyle w:val="6"/>
        <w:keepNext w:val="0"/>
        <w:keepLines w:val="0"/>
        <w:pageBreakBefore w:val="0"/>
        <w:widowControl/>
        <w:kinsoku/>
        <w:wordWrap/>
        <w:overflowPunct/>
        <w:topLinePunct w:val="0"/>
        <w:autoSpaceDE/>
        <w:autoSpaceDN/>
        <w:bidi w:val="0"/>
        <w:adjustRightInd w:val="0"/>
        <w:snapToGrid w:val="0"/>
        <w:spacing w:line="360" w:lineRule="auto"/>
        <w:ind w:firstLine="400" w:firstLineChars="200"/>
        <w:jc w:val="left"/>
        <w:textAlignment w:val="auto"/>
        <w:rPr>
          <w:rFonts w:hint="eastAsia" w:ascii="宋体" w:hAnsi="宋体" w:eastAsia="宋体" w:cs="宋体"/>
          <w:b w:val="0"/>
          <w:bCs/>
          <w:color w:val="FF0000"/>
          <w:sz w:val="20"/>
          <w:szCs w:val="20"/>
          <w:highlight w:val="none"/>
        </w:rPr>
      </w:pPr>
      <w:r>
        <w:rPr>
          <w:rFonts w:hint="eastAsia" w:ascii="宋体" w:hAnsi="宋体" w:eastAsia="宋体" w:cs="宋体"/>
          <w:b w:val="0"/>
          <w:bCs/>
          <w:color w:val="FF0000"/>
          <w:sz w:val="20"/>
          <w:szCs w:val="20"/>
          <w:highlight w:val="none"/>
          <w:shd w:val="clear" w:color="auto" w:fill="FFFFFF"/>
        </w:rPr>
        <w:t>7.3 采购人与中标人签订合同前，因业务工作开展的需要，可以以口头、书面等形式，通知中标人先行开展中标任务的抽样检验工作。</w:t>
      </w:r>
    </w:p>
    <w:p w14:paraId="1F6B2949">
      <w:pPr>
        <w:pStyle w:val="6"/>
        <w:keepNext w:val="0"/>
        <w:keepLines w:val="0"/>
        <w:pageBreakBefore w:val="0"/>
        <w:widowControl/>
        <w:kinsoku/>
        <w:wordWrap/>
        <w:overflowPunct/>
        <w:topLinePunct w:val="0"/>
        <w:autoSpaceDE/>
        <w:autoSpaceDN/>
        <w:bidi w:val="0"/>
        <w:adjustRightInd w:val="0"/>
        <w:snapToGrid w:val="0"/>
        <w:spacing w:line="360" w:lineRule="auto"/>
        <w:ind w:firstLine="400" w:firstLineChars="200"/>
        <w:jc w:val="left"/>
        <w:textAlignment w:val="auto"/>
        <w:rPr>
          <w:rFonts w:hint="eastAsia" w:ascii="宋体" w:hAnsi="宋体" w:eastAsia="宋体" w:cs="宋体"/>
          <w:b w:val="0"/>
          <w:bCs/>
          <w:color w:val="FF0000"/>
          <w:sz w:val="20"/>
          <w:szCs w:val="20"/>
          <w:highlight w:val="none"/>
        </w:rPr>
      </w:pPr>
      <w:r>
        <w:rPr>
          <w:rFonts w:hint="eastAsia" w:ascii="宋体" w:hAnsi="宋体" w:eastAsia="宋体" w:cs="宋体"/>
          <w:b w:val="0"/>
          <w:bCs/>
          <w:color w:val="FF0000"/>
          <w:sz w:val="20"/>
          <w:szCs w:val="20"/>
          <w:highlight w:val="none"/>
          <w:shd w:val="clear" w:color="auto" w:fill="FFFFFF"/>
        </w:rPr>
        <w:t>★8.技术服务</w:t>
      </w:r>
    </w:p>
    <w:p w14:paraId="62CF22B4">
      <w:pPr>
        <w:pStyle w:val="6"/>
        <w:keepNext w:val="0"/>
        <w:keepLines w:val="0"/>
        <w:pageBreakBefore w:val="0"/>
        <w:widowControl/>
        <w:kinsoku/>
        <w:wordWrap/>
        <w:overflowPunct/>
        <w:topLinePunct w:val="0"/>
        <w:autoSpaceDE/>
        <w:autoSpaceDN/>
        <w:bidi w:val="0"/>
        <w:adjustRightInd w:val="0"/>
        <w:snapToGrid w:val="0"/>
        <w:spacing w:line="360" w:lineRule="auto"/>
        <w:ind w:firstLine="400" w:firstLineChars="200"/>
        <w:jc w:val="left"/>
        <w:textAlignment w:val="auto"/>
        <w:rPr>
          <w:rFonts w:hint="eastAsia" w:ascii="宋体" w:hAnsi="宋体" w:eastAsia="宋体" w:cs="宋体"/>
          <w:b w:val="0"/>
          <w:bCs/>
          <w:color w:val="FF0000"/>
          <w:sz w:val="20"/>
          <w:szCs w:val="20"/>
          <w:highlight w:val="none"/>
        </w:rPr>
      </w:pPr>
      <w:r>
        <w:rPr>
          <w:rFonts w:hint="eastAsia" w:ascii="宋体" w:hAnsi="宋体" w:eastAsia="宋体" w:cs="宋体"/>
          <w:b w:val="0"/>
          <w:bCs/>
          <w:color w:val="FF0000"/>
          <w:sz w:val="20"/>
          <w:szCs w:val="20"/>
          <w:highlight w:val="none"/>
          <w:shd w:val="clear" w:color="auto" w:fill="FFFFFF"/>
        </w:rPr>
        <w:t>8.1 承检机构根据采购人的工作需求，提供以下技术服务：</w:t>
      </w:r>
    </w:p>
    <w:p w14:paraId="5B6DA823">
      <w:pPr>
        <w:pStyle w:val="6"/>
        <w:keepNext w:val="0"/>
        <w:keepLines w:val="0"/>
        <w:pageBreakBefore w:val="0"/>
        <w:widowControl/>
        <w:kinsoku/>
        <w:wordWrap/>
        <w:overflowPunct/>
        <w:topLinePunct w:val="0"/>
        <w:autoSpaceDE/>
        <w:autoSpaceDN/>
        <w:bidi w:val="0"/>
        <w:adjustRightInd w:val="0"/>
        <w:snapToGrid w:val="0"/>
        <w:spacing w:line="360" w:lineRule="auto"/>
        <w:ind w:firstLine="400" w:firstLineChars="200"/>
        <w:jc w:val="left"/>
        <w:textAlignment w:val="auto"/>
        <w:rPr>
          <w:rFonts w:hint="eastAsia" w:ascii="宋体" w:hAnsi="宋体" w:eastAsia="宋体" w:cs="宋体"/>
          <w:b w:val="0"/>
          <w:bCs/>
          <w:color w:val="FF0000"/>
          <w:sz w:val="20"/>
          <w:szCs w:val="20"/>
          <w:highlight w:val="none"/>
        </w:rPr>
      </w:pPr>
      <w:r>
        <w:rPr>
          <w:rFonts w:hint="eastAsia" w:ascii="宋体" w:hAnsi="宋体" w:eastAsia="宋体" w:cs="宋体"/>
          <w:b w:val="0"/>
          <w:bCs/>
          <w:color w:val="FF0000"/>
          <w:sz w:val="20"/>
          <w:szCs w:val="20"/>
          <w:highlight w:val="none"/>
          <w:shd w:val="clear" w:color="auto" w:fill="FFFFFF"/>
        </w:rPr>
        <w:t>（1）中标承检机构(符合国家认监委发布的复检机构的名录里的单位）均为采购人指 定的第三方复检机构，必须承接采购人赋予的第三方复检任务。</w:t>
      </w:r>
    </w:p>
    <w:p w14:paraId="33B0FCB7">
      <w:pPr>
        <w:pStyle w:val="6"/>
        <w:keepNext w:val="0"/>
        <w:keepLines w:val="0"/>
        <w:pageBreakBefore w:val="0"/>
        <w:widowControl/>
        <w:kinsoku/>
        <w:wordWrap/>
        <w:overflowPunct/>
        <w:topLinePunct w:val="0"/>
        <w:autoSpaceDE/>
        <w:autoSpaceDN/>
        <w:bidi w:val="0"/>
        <w:adjustRightInd w:val="0"/>
        <w:snapToGrid w:val="0"/>
        <w:spacing w:line="360" w:lineRule="auto"/>
        <w:ind w:firstLine="400" w:firstLineChars="200"/>
        <w:jc w:val="left"/>
        <w:textAlignment w:val="auto"/>
        <w:rPr>
          <w:rFonts w:hint="eastAsia" w:ascii="宋体" w:hAnsi="宋体" w:eastAsia="宋体" w:cs="宋体"/>
          <w:b w:val="0"/>
          <w:bCs/>
          <w:color w:val="FF0000"/>
          <w:sz w:val="20"/>
          <w:szCs w:val="20"/>
          <w:highlight w:val="none"/>
        </w:rPr>
      </w:pPr>
      <w:r>
        <w:rPr>
          <w:rFonts w:hint="eastAsia" w:ascii="宋体" w:hAnsi="宋体" w:eastAsia="宋体" w:cs="宋体"/>
          <w:b w:val="0"/>
          <w:bCs/>
          <w:color w:val="FF0000"/>
          <w:sz w:val="20"/>
          <w:szCs w:val="20"/>
          <w:highlight w:val="none"/>
          <w:shd w:val="clear" w:color="auto" w:fill="FFFFFF"/>
        </w:rPr>
        <w:t>（2）食品安全宣传活动中的咨询、检测、宣讲等服务。</w:t>
      </w:r>
    </w:p>
    <w:p w14:paraId="604D42A3">
      <w:pPr>
        <w:pStyle w:val="6"/>
        <w:keepNext w:val="0"/>
        <w:keepLines w:val="0"/>
        <w:pageBreakBefore w:val="0"/>
        <w:widowControl/>
        <w:kinsoku/>
        <w:wordWrap/>
        <w:overflowPunct/>
        <w:topLinePunct w:val="0"/>
        <w:autoSpaceDE/>
        <w:autoSpaceDN/>
        <w:bidi w:val="0"/>
        <w:adjustRightInd w:val="0"/>
        <w:snapToGrid w:val="0"/>
        <w:spacing w:line="360" w:lineRule="auto"/>
        <w:ind w:firstLine="400" w:firstLineChars="200"/>
        <w:jc w:val="left"/>
        <w:textAlignment w:val="auto"/>
        <w:rPr>
          <w:rFonts w:hint="eastAsia" w:ascii="宋体" w:hAnsi="宋体" w:eastAsia="宋体" w:cs="宋体"/>
          <w:b w:val="0"/>
          <w:bCs/>
          <w:color w:val="FF0000"/>
          <w:sz w:val="20"/>
          <w:szCs w:val="20"/>
          <w:highlight w:val="none"/>
        </w:rPr>
      </w:pPr>
      <w:r>
        <w:rPr>
          <w:rFonts w:hint="eastAsia" w:ascii="宋体" w:hAnsi="宋体" w:eastAsia="宋体" w:cs="宋体"/>
          <w:b w:val="0"/>
          <w:bCs/>
          <w:color w:val="FF0000"/>
          <w:sz w:val="20"/>
          <w:szCs w:val="20"/>
          <w:highlight w:val="none"/>
          <w:shd w:val="clear" w:color="auto" w:fill="FFFFFF"/>
        </w:rPr>
        <w:t>（3）新闻发布、舆情应对、应急处置等相关工作中的技术支持。</w:t>
      </w:r>
    </w:p>
    <w:p w14:paraId="034E7CDA">
      <w:pPr>
        <w:pStyle w:val="6"/>
        <w:keepNext w:val="0"/>
        <w:keepLines w:val="0"/>
        <w:pageBreakBefore w:val="0"/>
        <w:widowControl/>
        <w:kinsoku/>
        <w:wordWrap/>
        <w:overflowPunct/>
        <w:topLinePunct w:val="0"/>
        <w:autoSpaceDE/>
        <w:autoSpaceDN/>
        <w:bidi w:val="0"/>
        <w:adjustRightInd w:val="0"/>
        <w:snapToGrid w:val="0"/>
        <w:spacing w:line="360" w:lineRule="auto"/>
        <w:ind w:firstLine="400" w:firstLineChars="200"/>
        <w:jc w:val="left"/>
        <w:textAlignment w:val="auto"/>
        <w:rPr>
          <w:rFonts w:hint="eastAsia" w:ascii="宋体" w:hAnsi="宋体" w:eastAsia="宋体" w:cs="宋体"/>
          <w:b w:val="0"/>
          <w:bCs/>
          <w:color w:val="FF0000"/>
          <w:sz w:val="20"/>
          <w:szCs w:val="20"/>
          <w:highlight w:val="none"/>
        </w:rPr>
      </w:pPr>
      <w:r>
        <w:rPr>
          <w:rFonts w:hint="eastAsia" w:ascii="宋体" w:hAnsi="宋体" w:eastAsia="宋体" w:cs="宋体"/>
          <w:b w:val="0"/>
          <w:bCs/>
          <w:color w:val="FF0000"/>
          <w:sz w:val="20"/>
          <w:szCs w:val="20"/>
          <w:highlight w:val="none"/>
          <w:shd w:val="clear" w:color="auto" w:fill="FFFFFF"/>
        </w:rPr>
        <w:t>（4）安排专家接受咨询、参加研讨、提出建议等。</w:t>
      </w:r>
    </w:p>
    <w:p w14:paraId="66EEC032">
      <w:pPr>
        <w:pStyle w:val="6"/>
        <w:keepNext w:val="0"/>
        <w:keepLines w:val="0"/>
        <w:pageBreakBefore w:val="0"/>
        <w:widowControl/>
        <w:kinsoku/>
        <w:wordWrap/>
        <w:overflowPunct/>
        <w:topLinePunct w:val="0"/>
        <w:autoSpaceDE/>
        <w:autoSpaceDN/>
        <w:bidi w:val="0"/>
        <w:adjustRightInd w:val="0"/>
        <w:snapToGrid w:val="0"/>
        <w:spacing w:line="360" w:lineRule="auto"/>
        <w:ind w:firstLine="400" w:firstLineChars="200"/>
        <w:jc w:val="left"/>
        <w:textAlignment w:val="auto"/>
        <w:rPr>
          <w:rFonts w:hint="eastAsia" w:ascii="宋体" w:hAnsi="宋体" w:eastAsia="宋体" w:cs="宋体"/>
          <w:b w:val="0"/>
          <w:bCs/>
          <w:color w:val="FF0000"/>
          <w:sz w:val="20"/>
          <w:szCs w:val="20"/>
          <w:highlight w:val="none"/>
        </w:rPr>
      </w:pPr>
      <w:r>
        <w:rPr>
          <w:rFonts w:hint="eastAsia" w:ascii="宋体" w:hAnsi="宋体" w:eastAsia="宋体" w:cs="宋体"/>
          <w:b w:val="0"/>
          <w:bCs/>
          <w:color w:val="FF0000"/>
          <w:sz w:val="20"/>
          <w:szCs w:val="20"/>
          <w:highlight w:val="none"/>
          <w:shd w:val="clear" w:color="auto" w:fill="FFFFFF"/>
        </w:rPr>
        <w:t>（5）协助起草省局食品安全抽检监测统计分析报告。</w:t>
      </w:r>
    </w:p>
    <w:p w14:paraId="7CEFC68E">
      <w:pPr>
        <w:pStyle w:val="6"/>
        <w:keepNext w:val="0"/>
        <w:keepLines w:val="0"/>
        <w:pageBreakBefore w:val="0"/>
        <w:widowControl/>
        <w:kinsoku/>
        <w:wordWrap/>
        <w:overflowPunct/>
        <w:topLinePunct w:val="0"/>
        <w:autoSpaceDE/>
        <w:autoSpaceDN/>
        <w:bidi w:val="0"/>
        <w:adjustRightInd w:val="0"/>
        <w:snapToGrid w:val="0"/>
        <w:spacing w:line="360" w:lineRule="auto"/>
        <w:ind w:firstLine="400" w:firstLineChars="200"/>
        <w:jc w:val="left"/>
        <w:textAlignment w:val="auto"/>
        <w:rPr>
          <w:rFonts w:hint="eastAsia" w:ascii="宋体" w:hAnsi="宋体" w:eastAsia="宋体" w:cs="宋体"/>
          <w:b w:val="0"/>
          <w:bCs/>
          <w:color w:val="FF0000"/>
          <w:sz w:val="20"/>
          <w:szCs w:val="20"/>
          <w:highlight w:val="none"/>
        </w:rPr>
      </w:pPr>
      <w:r>
        <w:rPr>
          <w:rFonts w:hint="eastAsia" w:ascii="宋体" w:hAnsi="宋体" w:eastAsia="宋体" w:cs="宋体"/>
          <w:b w:val="0"/>
          <w:bCs/>
          <w:color w:val="FF0000"/>
          <w:sz w:val="20"/>
          <w:szCs w:val="20"/>
          <w:highlight w:val="none"/>
          <w:shd w:val="clear" w:color="auto" w:fill="FFFFFF"/>
        </w:rPr>
        <w:t>（6）根据采购人工作需要，安排人员协助相关工作。</w:t>
      </w:r>
    </w:p>
    <w:p w14:paraId="78155FF8">
      <w:pPr>
        <w:pStyle w:val="6"/>
        <w:keepNext w:val="0"/>
        <w:keepLines w:val="0"/>
        <w:pageBreakBefore w:val="0"/>
        <w:widowControl/>
        <w:kinsoku/>
        <w:wordWrap/>
        <w:overflowPunct/>
        <w:topLinePunct w:val="0"/>
        <w:autoSpaceDE/>
        <w:autoSpaceDN/>
        <w:bidi w:val="0"/>
        <w:adjustRightInd w:val="0"/>
        <w:snapToGrid w:val="0"/>
        <w:spacing w:line="360" w:lineRule="auto"/>
        <w:ind w:firstLine="400" w:firstLineChars="200"/>
        <w:jc w:val="left"/>
        <w:textAlignment w:val="auto"/>
        <w:rPr>
          <w:rFonts w:hint="eastAsia" w:ascii="宋体" w:hAnsi="宋体" w:eastAsia="宋体" w:cs="宋体"/>
          <w:b w:val="0"/>
          <w:bCs/>
          <w:color w:val="FF0000"/>
          <w:sz w:val="20"/>
          <w:szCs w:val="20"/>
          <w:highlight w:val="none"/>
        </w:rPr>
      </w:pPr>
      <w:r>
        <w:rPr>
          <w:rFonts w:hint="eastAsia" w:ascii="宋体" w:hAnsi="宋体" w:eastAsia="宋体" w:cs="宋体"/>
          <w:b w:val="0"/>
          <w:bCs/>
          <w:color w:val="FF0000"/>
          <w:sz w:val="20"/>
          <w:szCs w:val="20"/>
          <w:highlight w:val="none"/>
          <w:shd w:val="clear" w:color="auto" w:fill="FFFFFF"/>
        </w:rPr>
        <w:t>（7）以科谱动漫、短视频等形式分别制作2条食品安全风险提示、风险解析；</w:t>
      </w:r>
    </w:p>
    <w:p w14:paraId="3C52ED0F">
      <w:pPr>
        <w:pStyle w:val="6"/>
        <w:keepNext w:val="0"/>
        <w:keepLines w:val="0"/>
        <w:pageBreakBefore w:val="0"/>
        <w:widowControl/>
        <w:kinsoku/>
        <w:wordWrap/>
        <w:overflowPunct/>
        <w:topLinePunct w:val="0"/>
        <w:autoSpaceDE/>
        <w:autoSpaceDN/>
        <w:bidi w:val="0"/>
        <w:adjustRightInd w:val="0"/>
        <w:snapToGrid w:val="0"/>
        <w:spacing w:line="360" w:lineRule="auto"/>
        <w:ind w:firstLine="400" w:firstLineChars="200"/>
        <w:jc w:val="left"/>
        <w:textAlignment w:val="auto"/>
        <w:rPr>
          <w:rFonts w:hint="eastAsia" w:ascii="宋体" w:hAnsi="宋体" w:eastAsia="宋体" w:cs="宋体"/>
          <w:b w:val="0"/>
          <w:bCs/>
          <w:color w:val="FF0000"/>
          <w:sz w:val="20"/>
          <w:szCs w:val="20"/>
          <w:highlight w:val="none"/>
        </w:rPr>
      </w:pPr>
      <w:r>
        <w:rPr>
          <w:rFonts w:hint="eastAsia" w:ascii="宋体" w:hAnsi="宋体" w:eastAsia="宋体" w:cs="宋体"/>
          <w:b w:val="0"/>
          <w:bCs/>
          <w:color w:val="FF0000"/>
          <w:sz w:val="20"/>
          <w:szCs w:val="20"/>
          <w:highlight w:val="none"/>
          <w:shd w:val="clear" w:color="auto" w:fill="FFFFFF"/>
        </w:rPr>
        <w:t>（8）其他根据工作提出的技术服务。</w:t>
      </w:r>
    </w:p>
    <w:p w14:paraId="1D86C49B">
      <w:pPr>
        <w:pStyle w:val="6"/>
        <w:keepNext w:val="0"/>
        <w:keepLines w:val="0"/>
        <w:pageBreakBefore w:val="0"/>
        <w:widowControl/>
        <w:kinsoku/>
        <w:wordWrap/>
        <w:overflowPunct/>
        <w:topLinePunct w:val="0"/>
        <w:autoSpaceDE/>
        <w:autoSpaceDN/>
        <w:bidi w:val="0"/>
        <w:adjustRightInd w:val="0"/>
        <w:snapToGrid w:val="0"/>
        <w:spacing w:line="360" w:lineRule="auto"/>
        <w:ind w:firstLine="400" w:firstLineChars="200"/>
        <w:jc w:val="left"/>
        <w:textAlignment w:val="auto"/>
        <w:rPr>
          <w:rFonts w:hint="eastAsia" w:ascii="宋体" w:hAnsi="宋体" w:eastAsia="宋体" w:cs="宋体"/>
          <w:b w:val="0"/>
          <w:bCs/>
          <w:color w:val="FF0000"/>
          <w:sz w:val="20"/>
          <w:szCs w:val="20"/>
          <w:highlight w:val="none"/>
        </w:rPr>
      </w:pPr>
      <w:r>
        <w:rPr>
          <w:rFonts w:hint="eastAsia" w:ascii="宋体" w:hAnsi="宋体" w:eastAsia="宋体" w:cs="宋体"/>
          <w:b w:val="0"/>
          <w:bCs/>
          <w:color w:val="FF0000"/>
          <w:sz w:val="20"/>
          <w:szCs w:val="20"/>
          <w:highlight w:val="none"/>
          <w:shd w:val="clear" w:color="auto" w:fill="FFFFFF"/>
        </w:rPr>
        <w:t>★9.承检机构管理</w:t>
      </w:r>
    </w:p>
    <w:p w14:paraId="360ED848">
      <w:pPr>
        <w:pStyle w:val="6"/>
        <w:keepNext w:val="0"/>
        <w:keepLines w:val="0"/>
        <w:pageBreakBefore w:val="0"/>
        <w:widowControl/>
        <w:kinsoku/>
        <w:wordWrap/>
        <w:overflowPunct/>
        <w:topLinePunct w:val="0"/>
        <w:autoSpaceDE/>
        <w:autoSpaceDN/>
        <w:bidi w:val="0"/>
        <w:adjustRightInd w:val="0"/>
        <w:snapToGrid w:val="0"/>
        <w:spacing w:line="360" w:lineRule="auto"/>
        <w:ind w:firstLine="400" w:firstLineChars="200"/>
        <w:jc w:val="left"/>
        <w:textAlignment w:val="auto"/>
        <w:rPr>
          <w:rFonts w:hint="eastAsia" w:ascii="宋体" w:hAnsi="宋体" w:eastAsia="宋体" w:cs="宋体"/>
          <w:b w:val="0"/>
          <w:bCs/>
          <w:color w:val="FF0000"/>
          <w:sz w:val="20"/>
          <w:szCs w:val="20"/>
          <w:highlight w:val="none"/>
        </w:rPr>
      </w:pPr>
      <w:r>
        <w:rPr>
          <w:rFonts w:hint="eastAsia" w:ascii="宋体" w:hAnsi="宋体" w:eastAsia="宋体" w:cs="宋体"/>
          <w:b w:val="0"/>
          <w:bCs/>
          <w:color w:val="FF0000"/>
          <w:sz w:val="20"/>
          <w:szCs w:val="20"/>
          <w:highlight w:val="none"/>
          <w:shd w:val="clear" w:color="auto" w:fill="FFFFFF"/>
        </w:rPr>
        <w:t>9.1 承检机构及其工作人员应当保证抽样检验活动不受所涉及的利益相关方、其他组织或人员的影响，保证出具的检验数据和结论客观、公正。</w:t>
      </w:r>
    </w:p>
    <w:p w14:paraId="3792B01E">
      <w:pPr>
        <w:pStyle w:val="6"/>
        <w:keepNext w:val="0"/>
        <w:keepLines w:val="0"/>
        <w:pageBreakBefore w:val="0"/>
        <w:widowControl/>
        <w:kinsoku/>
        <w:wordWrap/>
        <w:overflowPunct/>
        <w:topLinePunct w:val="0"/>
        <w:autoSpaceDE/>
        <w:autoSpaceDN/>
        <w:bidi w:val="0"/>
        <w:adjustRightInd w:val="0"/>
        <w:snapToGrid w:val="0"/>
        <w:spacing w:line="360" w:lineRule="auto"/>
        <w:ind w:firstLine="400" w:firstLineChars="200"/>
        <w:jc w:val="left"/>
        <w:textAlignment w:val="auto"/>
        <w:rPr>
          <w:rFonts w:hint="eastAsia" w:ascii="宋体" w:hAnsi="宋体" w:eastAsia="宋体" w:cs="宋体"/>
          <w:b w:val="0"/>
          <w:bCs/>
          <w:color w:val="FF0000"/>
          <w:sz w:val="20"/>
          <w:szCs w:val="20"/>
          <w:highlight w:val="none"/>
        </w:rPr>
      </w:pPr>
      <w:r>
        <w:rPr>
          <w:rFonts w:hint="eastAsia" w:ascii="宋体" w:hAnsi="宋体" w:eastAsia="宋体" w:cs="宋体"/>
          <w:b w:val="0"/>
          <w:bCs/>
          <w:color w:val="FF0000"/>
          <w:sz w:val="20"/>
          <w:szCs w:val="20"/>
          <w:highlight w:val="none"/>
          <w:shd w:val="clear" w:color="auto" w:fill="FFFFFF"/>
        </w:rPr>
        <w:t>9.2 承检机构及其工作人员不得接受被抽样食品生产经营者的馈赠、吃请，不得利用抽样检验结果开展有偿活动，牟取不正当利益。</w:t>
      </w:r>
    </w:p>
    <w:p w14:paraId="1577B1C4">
      <w:pPr>
        <w:pStyle w:val="6"/>
        <w:keepNext w:val="0"/>
        <w:keepLines w:val="0"/>
        <w:pageBreakBefore w:val="0"/>
        <w:widowControl/>
        <w:kinsoku/>
        <w:wordWrap/>
        <w:overflowPunct/>
        <w:topLinePunct w:val="0"/>
        <w:autoSpaceDE/>
        <w:autoSpaceDN/>
        <w:bidi w:val="0"/>
        <w:adjustRightInd w:val="0"/>
        <w:snapToGrid w:val="0"/>
        <w:spacing w:line="360" w:lineRule="auto"/>
        <w:ind w:firstLine="400" w:firstLineChars="200"/>
        <w:jc w:val="left"/>
        <w:textAlignment w:val="auto"/>
        <w:rPr>
          <w:rFonts w:hint="eastAsia" w:ascii="宋体" w:hAnsi="宋体" w:eastAsia="宋体" w:cs="宋体"/>
          <w:b w:val="0"/>
          <w:bCs/>
          <w:color w:val="FF0000"/>
          <w:sz w:val="20"/>
          <w:szCs w:val="20"/>
          <w:highlight w:val="none"/>
        </w:rPr>
      </w:pPr>
      <w:r>
        <w:rPr>
          <w:rFonts w:hint="eastAsia" w:ascii="宋体" w:hAnsi="宋体" w:eastAsia="宋体" w:cs="宋体"/>
          <w:b w:val="0"/>
          <w:bCs/>
          <w:color w:val="FF0000"/>
          <w:sz w:val="20"/>
          <w:szCs w:val="20"/>
          <w:highlight w:val="none"/>
          <w:shd w:val="clear" w:color="auto" w:fill="FFFFFF"/>
        </w:rPr>
        <w:t>9.3 承检机构因机构划转、兼并重组等，导致法人资质，检验能力等发生变化时，或不再具备相关检验资质时，应当及时向采购人书面报告。</w:t>
      </w:r>
    </w:p>
    <w:p w14:paraId="2666FEE9">
      <w:pPr>
        <w:pStyle w:val="6"/>
        <w:keepNext w:val="0"/>
        <w:keepLines w:val="0"/>
        <w:pageBreakBefore w:val="0"/>
        <w:widowControl/>
        <w:kinsoku/>
        <w:wordWrap/>
        <w:overflowPunct/>
        <w:topLinePunct w:val="0"/>
        <w:autoSpaceDE/>
        <w:autoSpaceDN/>
        <w:bidi w:val="0"/>
        <w:adjustRightInd w:val="0"/>
        <w:snapToGrid w:val="0"/>
        <w:spacing w:line="360" w:lineRule="auto"/>
        <w:ind w:firstLine="400" w:firstLineChars="200"/>
        <w:jc w:val="left"/>
        <w:textAlignment w:val="auto"/>
        <w:rPr>
          <w:rFonts w:hint="eastAsia" w:ascii="宋体" w:hAnsi="宋体" w:eastAsia="宋体" w:cs="宋体"/>
          <w:b w:val="0"/>
          <w:bCs/>
          <w:color w:val="FF0000"/>
          <w:sz w:val="20"/>
          <w:szCs w:val="20"/>
          <w:highlight w:val="none"/>
        </w:rPr>
      </w:pPr>
      <w:r>
        <w:rPr>
          <w:rFonts w:hint="eastAsia" w:ascii="宋体" w:hAnsi="宋体" w:eastAsia="宋体" w:cs="宋体"/>
          <w:b w:val="0"/>
          <w:bCs/>
          <w:color w:val="FF0000"/>
          <w:sz w:val="20"/>
          <w:szCs w:val="20"/>
          <w:highlight w:val="none"/>
          <w:shd w:val="clear" w:color="auto" w:fill="FFFFFF"/>
        </w:rPr>
        <w:t>9.4 承检机构应当参加采购人组织开展的盲样考核、留样复核检验以及其他方式考核，配合采购人组织的现场检查、数据抽查等工作。</w:t>
      </w:r>
    </w:p>
    <w:p w14:paraId="109AB04F">
      <w:pPr>
        <w:pStyle w:val="6"/>
        <w:keepNext w:val="0"/>
        <w:keepLines w:val="0"/>
        <w:pageBreakBefore w:val="0"/>
        <w:widowControl/>
        <w:kinsoku/>
        <w:wordWrap/>
        <w:overflowPunct/>
        <w:topLinePunct w:val="0"/>
        <w:autoSpaceDE/>
        <w:autoSpaceDN/>
        <w:bidi w:val="0"/>
        <w:adjustRightInd w:val="0"/>
        <w:snapToGrid w:val="0"/>
        <w:spacing w:line="360" w:lineRule="auto"/>
        <w:ind w:firstLine="400" w:firstLineChars="200"/>
        <w:jc w:val="left"/>
        <w:textAlignment w:val="auto"/>
        <w:rPr>
          <w:rFonts w:hint="eastAsia" w:ascii="宋体" w:hAnsi="宋体" w:eastAsia="宋体" w:cs="宋体"/>
          <w:b w:val="0"/>
          <w:bCs/>
          <w:color w:val="FF0000"/>
          <w:sz w:val="20"/>
          <w:szCs w:val="20"/>
          <w:highlight w:val="none"/>
        </w:rPr>
      </w:pPr>
      <w:r>
        <w:rPr>
          <w:rFonts w:hint="eastAsia" w:ascii="宋体" w:hAnsi="宋体" w:eastAsia="宋体" w:cs="宋体"/>
          <w:b w:val="0"/>
          <w:bCs/>
          <w:color w:val="FF0000"/>
          <w:sz w:val="20"/>
          <w:szCs w:val="20"/>
          <w:highlight w:val="none"/>
          <w:shd w:val="clear" w:color="auto" w:fill="FFFFFF"/>
        </w:rPr>
        <w:t>9.5 采购人适时对机构完成的任务数量、质量进行动态化考核，主要采取以下方式：</w:t>
      </w:r>
    </w:p>
    <w:p w14:paraId="139A124D">
      <w:pPr>
        <w:pStyle w:val="6"/>
        <w:keepNext w:val="0"/>
        <w:keepLines w:val="0"/>
        <w:pageBreakBefore w:val="0"/>
        <w:widowControl/>
        <w:kinsoku/>
        <w:wordWrap/>
        <w:overflowPunct/>
        <w:topLinePunct w:val="0"/>
        <w:autoSpaceDE/>
        <w:autoSpaceDN/>
        <w:bidi w:val="0"/>
        <w:adjustRightInd w:val="0"/>
        <w:snapToGrid w:val="0"/>
        <w:spacing w:line="360" w:lineRule="auto"/>
        <w:ind w:firstLine="400" w:firstLineChars="200"/>
        <w:jc w:val="left"/>
        <w:textAlignment w:val="auto"/>
        <w:rPr>
          <w:rFonts w:hint="eastAsia" w:ascii="宋体" w:hAnsi="宋体" w:eastAsia="宋体" w:cs="宋体"/>
          <w:b w:val="0"/>
          <w:bCs/>
          <w:color w:val="FF0000"/>
          <w:sz w:val="20"/>
          <w:szCs w:val="20"/>
          <w:highlight w:val="none"/>
        </w:rPr>
      </w:pPr>
      <w:r>
        <w:rPr>
          <w:rFonts w:hint="eastAsia" w:ascii="宋体" w:hAnsi="宋体" w:eastAsia="宋体" w:cs="宋体"/>
          <w:b w:val="0"/>
          <w:bCs/>
          <w:color w:val="FF0000"/>
          <w:sz w:val="20"/>
          <w:szCs w:val="20"/>
          <w:highlight w:val="none"/>
          <w:shd w:val="clear" w:color="auto" w:fill="FFFFFF"/>
        </w:rPr>
        <w:t>（1）抽查国家食品安全抽样检验信息系统中的数据；</w:t>
      </w:r>
    </w:p>
    <w:p w14:paraId="0CA7ACDC">
      <w:pPr>
        <w:pStyle w:val="6"/>
        <w:keepNext w:val="0"/>
        <w:keepLines w:val="0"/>
        <w:pageBreakBefore w:val="0"/>
        <w:widowControl/>
        <w:kinsoku/>
        <w:wordWrap/>
        <w:overflowPunct/>
        <w:topLinePunct w:val="0"/>
        <w:autoSpaceDE/>
        <w:autoSpaceDN/>
        <w:bidi w:val="0"/>
        <w:adjustRightInd w:val="0"/>
        <w:snapToGrid w:val="0"/>
        <w:spacing w:line="360" w:lineRule="auto"/>
        <w:ind w:firstLine="400" w:firstLineChars="200"/>
        <w:jc w:val="left"/>
        <w:textAlignment w:val="auto"/>
        <w:rPr>
          <w:rFonts w:hint="eastAsia" w:ascii="宋体" w:hAnsi="宋体" w:eastAsia="宋体" w:cs="宋体"/>
          <w:b w:val="0"/>
          <w:bCs/>
          <w:color w:val="FF0000"/>
          <w:sz w:val="20"/>
          <w:szCs w:val="20"/>
          <w:highlight w:val="none"/>
        </w:rPr>
      </w:pPr>
      <w:r>
        <w:rPr>
          <w:rFonts w:hint="eastAsia" w:ascii="宋体" w:hAnsi="宋体" w:eastAsia="宋体" w:cs="宋体"/>
          <w:b w:val="0"/>
          <w:bCs/>
          <w:color w:val="FF0000"/>
          <w:sz w:val="20"/>
          <w:szCs w:val="20"/>
          <w:highlight w:val="none"/>
          <w:shd w:val="clear" w:color="auto" w:fill="FFFFFF"/>
        </w:rPr>
        <w:t>（2）检查国家食品安全抽样检验信息系统中数据退回和修改的情况；</w:t>
      </w:r>
    </w:p>
    <w:p w14:paraId="37A90698">
      <w:pPr>
        <w:pStyle w:val="6"/>
        <w:keepNext w:val="0"/>
        <w:keepLines w:val="0"/>
        <w:pageBreakBefore w:val="0"/>
        <w:widowControl/>
        <w:kinsoku/>
        <w:wordWrap/>
        <w:overflowPunct/>
        <w:topLinePunct w:val="0"/>
        <w:autoSpaceDE/>
        <w:autoSpaceDN/>
        <w:bidi w:val="0"/>
        <w:adjustRightInd w:val="0"/>
        <w:snapToGrid w:val="0"/>
        <w:spacing w:line="360" w:lineRule="auto"/>
        <w:ind w:firstLine="400" w:firstLineChars="200"/>
        <w:jc w:val="left"/>
        <w:textAlignment w:val="auto"/>
        <w:rPr>
          <w:rFonts w:hint="eastAsia" w:ascii="宋体" w:hAnsi="宋体" w:eastAsia="宋体" w:cs="宋体"/>
          <w:b w:val="0"/>
          <w:bCs/>
          <w:color w:val="FF0000"/>
          <w:sz w:val="20"/>
          <w:szCs w:val="20"/>
          <w:highlight w:val="none"/>
        </w:rPr>
      </w:pPr>
      <w:r>
        <w:rPr>
          <w:rFonts w:hint="eastAsia" w:ascii="宋体" w:hAnsi="宋体" w:eastAsia="宋体" w:cs="宋体"/>
          <w:b w:val="0"/>
          <w:bCs/>
          <w:color w:val="FF0000"/>
          <w:sz w:val="20"/>
          <w:szCs w:val="20"/>
          <w:highlight w:val="none"/>
          <w:shd w:val="clear" w:color="auto" w:fill="FFFFFF"/>
        </w:rPr>
        <w:t>（3）现场检查；</w:t>
      </w:r>
    </w:p>
    <w:p w14:paraId="183F15D5">
      <w:pPr>
        <w:pStyle w:val="6"/>
        <w:keepNext w:val="0"/>
        <w:keepLines w:val="0"/>
        <w:pageBreakBefore w:val="0"/>
        <w:widowControl/>
        <w:kinsoku/>
        <w:wordWrap/>
        <w:overflowPunct/>
        <w:topLinePunct w:val="0"/>
        <w:autoSpaceDE/>
        <w:autoSpaceDN/>
        <w:bidi w:val="0"/>
        <w:adjustRightInd w:val="0"/>
        <w:snapToGrid w:val="0"/>
        <w:spacing w:line="360" w:lineRule="auto"/>
        <w:ind w:firstLine="400" w:firstLineChars="200"/>
        <w:jc w:val="left"/>
        <w:textAlignment w:val="auto"/>
        <w:rPr>
          <w:rFonts w:hint="eastAsia" w:ascii="宋体" w:hAnsi="宋体" w:eastAsia="宋体" w:cs="宋体"/>
          <w:b w:val="0"/>
          <w:bCs/>
          <w:color w:val="FF0000"/>
          <w:sz w:val="20"/>
          <w:szCs w:val="20"/>
          <w:highlight w:val="none"/>
        </w:rPr>
      </w:pPr>
      <w:r>
        <w:rPr>
          <w:rFonts w:hint="eastAsia" w:ascii="宋体" w:hAnsi="宋体" w:eastAsia="宋体" w:cs="宋体"/>
          <w:b w:val="0"/>
          <w:bCs/>
          <w:color w:val="FF0000"/>
          <w:sz w:val="20"/>
          <w:szCs w:val="20"/>
          <w:highlight w:val="none"/>
          <w:shd w:val="clear" w:color="auto" w:fill="FFFFFF"/>
        </w:rPr>
        <w:t>（4）对食品安全抽样检验留存的备份样品进行复核检验；</w:t>
      </w:r>
    </w:p>
    <w:p w14:paraId="4EF8A7BE">
      <w:pPr>
        <w:pStyle w:val="6"/>
        <w:keepNext w:val="0"/>
        <w:keepLines w:val="0"/>
        <w:pageBreakBefore w:val="0"/>
        <w:widowControl/>
        <w:kinsoku/>
        <w:wordWrap/>
        <w:overflowPunct/>
        <w:topLinePunct w:val="0"/>
        <w:autoSpaceDE/>
        <w:autoSpaceDN/>
        <w:bidi w:val="0"/>
        <w:adjustRightInd w:val="0"/>
        <w:snapToGrid w:val="0"/>
        <w:spacing w:line="360" w:lineRule="auto"/>
        <w:ind w:firstLine="400" w:firstLineChars="200"/>
        <w:jc w:val="left"/>
        <w:textAlignment w:val="auto"/>
        <w:rPr>
          <w:rFonts w:hint="eastAsia" w:ascii="宋体" w:hAnsi="宋体" w:eastAsia="宋体" w:cs="宋体"/>
          <w:b w:val="0"/>
          <w:bCs/>
          <w:color w:val="FF0000"/>
          <w:sz w:val="20"/>
          <w:szCs w:val="20"/>
          <w:highlight w:val="none"/>
        </w:rPr>
      </w:pPr>
      <w:r>
        <w:rPr>
          <w:rFonts w:hint="eastAsia" w:ascii="宋体" w:hAnsi="宋体" w:eastAsia="宋体" w:cs="宋体"/>
          <w:b w:val="0"/>
          <w:bCs/>
          <w:color w:val="FF0000"/>
          <w:sz w:val="20"/>
          <w:szCs w:val="20"/>
          <w:highlight w:val="none"/>
          <w:shd w:val="clear" w:color="auto" w:fill="FFFFFF"/>
        </w:rPr>
        <w:t>（5）盲样考核。</w:t>
      </w:r>
    </w:p>
    <w:p w14:paraId="3E041E59">
      <w:pPr>
        <w:pStyle w:val="6"/>
        <w:keepNext w:val="0"/>
        <w:keepLines w:val="0"/>
        <w:pageBreakBefore w:val="0"/>
        <w:widowControl/>
        <w:kinsoku/>
        <w:wordWrap/>
        <w:overflowPunct/>
        <w:topLinePunct w:val="0"/>
        <w:autoSpaceDE/>
        <w:autoSpaceDN/>
        <w:bidi w:val="0"/>
        <w:adjustRightInd w:val="0"/>
        <w:snapToGrid w:val="0"/>
        <w:spacing w:line="360" w:lineRule="auto"/>
        <w:ind w:firstLine="400" w:firstLineChars="200"/>
        <w:jc w:val="left"/>
        <w:textAlignment w:val="auto"/>
        <w:rPr>
          <w:rFonts w:hint="eastAsia" w:ascii="宋体" w:hAnsi="宋体" w:eastAsia="宋体" w:cs="宋体"/>
          <w:b w:val="0"/>
          <w:bCs/>
          <w:color w:val="FF0000"/>
          <w:sz w:val="20"/>
          <w:szCs w:val="20"/>
          <w:highlight w:val="none"/>
        </w:rPr>
      </w:pPr>
      <w:r>
        <w:rPr>
          <w:rFonts w:hint="eastAsia" w:ascii="宋体" w:hAnsi="宋体" w:eastAsia="宋体" w:cs="宋体"/>
          <w:b w:val="0"/>
          <w:bCs/>
          <w:color w:val="FF0000"/>
          <w:sz w:val="20"/>
          <w:szCs w:val="20"/>
          <w:highlight w:val="none"/>
          <w:shd w:val="clear" w:color="auto" w:fill="FFFFFF"/>
        </w:rPr>
        <w:t>（6）其他必要核查方式，如调阅原始记录及仪器运行记录、询问有关人员等。</w:t>
      </w:r>
    </w:p>
    <w:p w14:paraId="4E00CAF9">
      <w:pPr>
        <w:pStyle w:val="6"/>
        <w:keepNext w:val="0"/>
        <w:keepLines w:val="0"/>
        <w:pageBreakBefore w:val="0"/>
        <w:widowControl/>
        <w:kinsoku/>
        <w:wordWrap/>
        <w:overflowPunct/>
        <w:topLinePunct w:val="0"/>
        <w:autoSpaceDE/>
        <w:autoSpaceDN/>
        <w:bidi w:val="0"/>
        <w:adjustRightInd w:val="0"/>
        <w:snapToGrid w:val="0"/>
        <w:spacing w:line="360" w:lineRule="auto"/>
        <w:ind w:firstLine="400" w:firstLineChars="200"/>
        <w:jc w:val="left"/>
        <w:textAlignment w:val="auto"/>
        <w:rPr>
          <w:rFonts w:hint="eastAsia" w:ascii="宋体" w:hAnsi="宋体" w:eastAsia="宋体" w:cs="宋体"/>
          <w:b w:val="0"/>
          <w:bCs/>
          <w:color w:val="FF0000"/>
          <w:sz w:val="20"/>
          <w:szCs w:val="20"/>
          <w:highlight w:val="none"/>
        </w:rPr>
      </w:pPr>
      <w:r>
        <w:rPr>
          <w:rFonts w:hint="eastAsia" w:ascii="宋体" w:hAnsi="宋体" w:eastAsia="宋体" w:cs="宋体"/>
          <w:b w:val="0"/>
          <w:bCs/>
          <w:color w:val="FF0000"/>
          <w:sz w:val="20"/>
          <w:szCs w:val="20"/>
          <w:highlight w:val="none"/>
          <w:shd w:val="clear" w:color="auto" w:fill="FFFFFF"/>
        </w:rPr>
        <w:t>9.6 收到对承检机构的投诉或举报的，采购人可开展针对性的现场检查。</w:t>
      </w:r>
    </w:p>
    <w:p w14:paraId="1090B788">
      <w:pPr>
        <w:pStyle w:val="6"/>
        <w:keepNext w:val="0"/>
        <w:keepLines w:val="0"/>
        <w:pageBreakBefore w:val="0"/>
        <w:widowControl/>
        <w:kinsoku/>
        <w:wordWrap/>
        <w:overflowPunct/>
        <w:topLinePunct w:val="0"/>
        <w:autoSpaceDE/>
        <w:autoSpaceDN/>
        <w:bidi w:val="0"/>
        <w:adjustRightInd w:val="0"/>
        <w:snapToGrid w:val="0"/>
        <w:spacing w:line="360" w:lineRule="auto"/>
        <w:ind w:firstLine="400" w:firstLineChars="200"/>
        <w:jc w:val="left"/>
        <w:textAlignment w:val="auto"/>
        <w:rPr>
          <w:rFonts w:hint="eastAsia" w:ascii="宋体" w:hAnsi="宋体" w:eastAsia="宋体" w:cs="宋体"/>
          <w:b w:val="0"/>
          <w:bCs/>
          <w:color w:val="FF0000"/>
          <w:sz w:val="20"/>
          <w:szCs w:val="20"/>
          <w:highlight w:val="none"/>
        </w:rPr>
      </w:pPr>
      <w:r>
        <w:rPr>
          <w:rFonts w:hint="eastAsia" w:ascii="宋体" w:hAnsi="宋体" w:eastAsia="宋体" w:cs="宋体"/>
          <w:b w:val="0"/>
          <w:bCs/>
          <w:color w:val="FF0000"/>
          <w:sz w:val="20"/>
          <w:szCs w:val="20"/>
          <w:highlight w:val="none"/>
          <w:shd w:val="clear" w:color="auto" w:fill="FFFFFF"/>
        </w:rPr>
        <w:t>9.7 处理</w:t>
      </w:r>
    </w:p>
    <w:p w14:paraId="75FABFE7">
      <w:pPr>
        <w:pStyle w:val="6"/>
        <w:keepNext w:val="0"/>
        <w:keepLines w:val="0"/>
        <w:pageBreakBefore w:val="0"/>
        <w:widowControl/>
        <w:kinsoku/>
        <w:wordWrap/>
        <w:overflowPunct/>
        <w:topLinePunct w:val="0"/>
        <w:autoSpaceDE/>
        <w:autoSpaceDN/>
        <w:bidi w:val="0"/>
        <w:adjustRightInd w:val="0"/>
        <w:snapToGrid w:val="0"/>
        <w:spacing w:line="360" w:lineRule="auto"/>
        <w:ind w:firstLine="400" w:firstLineChars="200"/>
        <w:jc w:val="left"/>
        <w:textAlignment w:val="auto"/>
        <w:rPr>
          <w:rFonts w:hint="eastAsia" w:ascii="宋体" w:hAnsi="宋体" w:eastAsia="宋体" w:cs="宋体"/>
          <w:b w:val="0"/>
          <w:bCs/>
          <w:color w:val="FF0000"/>
          <w:sz w:val="20"/>
          <w:szCs w:val="20"/>
          <w:highlight w:val="none"/>
        </w:rPr>
      </w:pPr>
      <w:r>
        <w:rPr>
          <w:rFonts w:hint="eastAsia" w:ascii="宋体" w:hAnsi="宋体" w:eastAsia="宋体" w:cs="宋体"/>
          <w:b w:val="0"/>
          <w:bCs/>
          <w:color w:val="FF0000"/>
          <w:sz w:val="20"/>
          <w:szCs w:val="20"/>
          <w:highlight w:val="none"/>
          <w:shd w:val="clear" w:color="auto" w:fill="FFFFFF"/>
        </w:rPr>
        <w:t>采购人发现承检机构或其工作人员存在违反《福建省食品安全承检机构考核管理办法(试行)》（闽市监规〔2020〕6号）相关规定的行为，采购人视其具体违法违规情况，依据“闽市监规〔2020〕6号”采取相关惩处措施。</w:t>
      </w:r>
    </w:p>
    <w:p w14:paraId="60E48DC8">
      <w:pPr>
        <w:pStyle w:val="6"/>
        <w:keepNext w:val="0"/>
        <w:keepLines w:val="0"/>
        <w:pageBreakBefore w:val="0"/>
        <w:widowControl/>
        <w:kinsoku/>
        <w:wordWrap/>
        <w:overflowPunct/>
        <w:topLinePunct w:val="0"/>
        <w:autoSpaceDE/>
        <w:autoSpaceDN/>
        <w:bidi w:val="0"/>
        <w:adjustRightInd w:val="0"/>
        <w:snapToGrid w:val="0"/>
        <w:spacing w:line="360" w:lineRule="auto"/>
        <w:ind w:firstLine="400" w:firstLineChars="200"/>
        <w:jc w:val="left"/>
        <w:textAlignment w:val="auto"/>
        <w:rPr>
          <w:rFonts w:hint="eastAsia" w:ascii="宋体" w:hAnsi="宋体" w:eastAsia="宋体" w:cs="宋体"/>
          <w:b w:val="0"/>
          <w:bCs/>
          <w:color w:val="FF0000"/>
          <w:sz w:val="20"/>
          <w:szCs w:val="20"/>
          <w:highlight w:val="none"/>
        </w:rPr>
      </w:pPr>
      <w:r>
        <w:rPr>
          <w:rFonts w:hint="eastAsia" w:ascii="宋体" w:hAnsi="宋体" w:eastAsia="宋体" w:cs="宋体"/>
          <w:b w:val="0"/>
          <w:bCs/>
          <w:color w:val="FF0000"/>
          <w:sz w:val="20"/>
          <w:szCs w:val="20"/>
          <w:highlight w:val="none"/>
          <w:shd w:val="clear" w:color="auto" w:fill="FFFFFF"/>
        </w:rPr>
        <w:t>10、投标人必须严格遵守《福建省食品安全承检机构考核管理办法(试行)》（闽市监规〔2020〕6号）相关规定，并随时接受采购人对抽检工作流程和质量情况的监督检查和工作考核。对抽样食品和被抽检人要严守秘密，不徇私情。对抽检人员玩忽职守、滥用职权、徇私舞弊的，将依法追究其法律责任。</w:t>
      </w:r>
    </w:p>
    <w:p w14:paraId="5523EF99">
      <w:pPr>
        <w:pStyle w:val="6"/>
        <w:keepNext w:val="0"/>
        <w:keepLines w:val="0"/>
        <w:pageBreakBefore w:val="0"/>
        <w:widowControl/>
        <w:kinsoku/>
        <w:wordWrap/>
        <w:overflowPunct/>
        <w:topLinePunct w:val="0"/>
        <w:autoSpaceDE/>
        <w:autoSpaceDN/>
        <w:bidi w:val="0"/>
        <w:adjustRightInd w:val="0"/>
        <w:snapToGrid w:val="0"/>
        <w:spacing w:line="360" w:lineRule="auto"/>
        <w:ind w:firstLine="400" w:firstLineChars="200"/>
        <w:jc w:val="left"/>
        <w:textAlignment w:val="auto"/>
        <w:rPr>
          <w:rFonts w:hint="eastAsia" w:ascii="宋体" w:hAnsi="宋体" w:eastAsia="宋体" w:cs="宋体"/>
          <w:b w:val="0"/>
          <w:bCs/>
          <w:color w:val="FF0000"/>
          <w:sz w:val="20"/>
          <w:szCs w:val="20"/>
          <w:highlight w:val="none"/>
          <w:lang w:val="en-US" w:eastAsia="zh-Hans"/>
        </w:rPr>
      </w:pPr>
      <w:r>
        <w:rPr>
          <w:rFonts w:hint="eastAsia" w:ascii="宋体" w:hAnsi="宋体" w:eastAsia="宋体" w:cs="宋体"/>
          <w:b w:val="0"/>
          <w:bCs/>
          <w:color w:val="FF0000"/>
          <w:sz w:val="20"/>
          <w:szCs w:val="20"/>
          <w:highlight w:val="none"/>
          <w:shd w:val="clear" w:color="auto" w:fill="FFFFFF"/>
        </w:rPr>
        <w:t>11、投标人食品检验从业人员岗位职责、分工明确。投标人应设置有独立的技术管理人员、业务管理人员、检验人员、抽样人员以及统计分析人员等食品检验从业人员，可分别承担抽样、检测、数据汇总、结果报送、分析评估等工作，能按照时限要求汇总上报检测相关信息，食品检验从业人员总体数量与承检任务要求相匹配。</w:t>
      </w:r>
    </w:p>
    <w:p w14:paraId="2D8C7DDB">
      <w:pPr>
        <w:pStyle w:val="6"/>
        <w:spacing w:line="360" w:lineRule="auto"/>
        <w:jc w:val="both"/>
        <w:outlineLvl w:val="2"/>
        <w:rPr>
          <w:rFonts w:hint="eastAsia" w:ascii="宋体" w:hAnsi="宋体" w:eastAsia="宋体" w:cs="宋体"/>
          <w:b/>
          <w:color w:val="FF0000"/>
          <w:sz w:val="20"/>
          <w:szCs w:val="20"/>
        </w:rPr>
      </w:pPr>
    </w:p>
    <w:p w14:paraId="2E500298">
      <w:pPr>
        <w:pStyle w:val="6"/>
        <w:spacing w:line="360" w:lineRule="auto"/>
        <w:jc w:val="both"/>
        <w:outlineLvl w:val="2"/>
        <w:rPr>
          <w:rFonts w:hint="eastAsia" w:ascii="宋体" w:hAnsi="宋体" w:eastAsia="宋体" w:cs="宋体"/>
          <w:color w:val="FF0000"/>
          <w:sz w:val="20"/>
          <w:szCs w:val="20"/>
        </w:rPr>
      </w:pPr>
      <w:r>
        <w:rPr>
          <w:rFonts w:hint="eastAsia" w:ascii="宋体" w:hAnsi="宋体" w:eastAsia="宋体" w:cs="宋体"/>
          <w:b/>
          <w:color w:val="FF0000"/>
          <w:sz w:val="20"/>
          <w:szCs w:val="20"/>
        </w:rPr>
        <w:t>三、商务要求（以“★”标示的内容为不允许负偏离的实质性要求）</w:t>
      </w:r>
    </w:p>
    <w:p w14:paraId="0F8E2865">
      <w:pPr>
        <w:pStyle w:val="6"/>
        <w:spacing w:line="360" w:lineRule="auto"/>
        <w:jc w:val="left"/>
        <w:rPr>
          <w:rFonts w:hint="eastAsia" w:ascii="宋体" w:hAnsi="宋体" w:eastAsia="宋体" w:cs="宋体"/>
          <w:color w:val="FF0000"/>
          <w:sz w:val="20"/>
          <w:szCs w:val="20"/>
        </w:rPr>
      </w:pPr>
      <w:r>
        <w:rPr>
          <w:rFonts w:hint="eastAsia" w:ascii="宋体" w:hAnsi="宋体" w:eastAsia="宋体" w:cs="宋体"/>
          <w:color w:val="FF0000"/>
          <w:sz w:val="20"/>
          <w:szCs w:val="20"/>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93"/>
        <w:gridCol w:w="1072"/>
        <w:gridCol w:w="2078"/>
        <w:gridCol w:w="4768"/>
      </w:tblGrid>
      <w:tr w14:paraId="6D2F92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3" w:type="dxa"/>
          </w:tcPr>
          <w:p w14:paraId="58777389">
            <w:pPr>
              <w:pStyle w:val="6"/>
              <w:spacing w:line="360" w:lineRule="auto"/>
              <w:jc w:val="left"/>
              <w:rPr>
                <w:color w:val="FF0000"/>
              </w:rPr>
            </w:pPr>
            <w:r>
              <w:rPr>
                <w:color w:val="FF0000"/>
              </w:rPr>
              <w:t>序号</w:t>
            </w:r>
          </w:p>
        </w:tc>
        <w:tc>
          <w:tcPr>
            <w:tcW w:w="1072" w:type="dxa"/>
          </w:tcPr>
          <w:p w14:paraId="338370F4">
            <w:pPr>
              <w:pStyle w:val="6"/>
              <w:spacing w:line="360" w:lineRule="auto"/>
              <w:jc w:val="left"/>
              <w:rPr>
                <w:color w:val="FF0000"/>
              </w:rPr>
            </w:pPr>
            <w:r>
              <w:rPr>
                <w:color w:val="FF0000"/>
              </w:rPr>
              <w:t>参数性质</w:t>
            </w:r>
          </w:p>
        </w:tc>
        <w:tc>
          <w:tcPr>
            <w:tcW w:w="2078" w:type="dxa"/>
          </w:tcPr>
          <w:p w14:paraId="1C761100">
            <w:pPr>
              <w:pStyle w:val="6"/>
              <w:spacing w:line="360" w:lineRule="auto"/>
              <w:jc w:val="left"/>
              <w:rPr>
                <w:color w:val="FF0000"/>
              </w:rPr>
            </w:pPr>
            <w:r>
              <w:rPr>
                <w:color w:val="FF0000"/>
              </w:rPr>
              <w:t>类型</w:t>
            </w:r>
          </w:p>
        </w:tc>
        <w:tc>
          <w:tcPr>
            <w:tcW w:w="4768" w:type="dxa"/>
          </w:tcPr>
          <w:p w14:paraId="214FD362">
            <w:pPr>
              <w:pStyle w:val="6"/>
              <w:spacing w:line="360" w:lineRule="auto"/>
              <w:jc w:val="left"/>
              <w:rPr>
                <w:color w:val="FF0000"/>
              </w:rPr>
            </w:pPr>
            <w:r>
              <w:rPr>
                <w:color w:val="FF0000"/>
              </w:rPr>
              <w:t>要求</w:t>
            </w:r>
          </w:p>
        </w:tc>
      </w:tr>
      <w:tr w14:paraId="139A69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3" w:type="dxa"/>
          </w:tcPr>
          <w:p w14:paraId="4F8B91C6">
            <w:pPr>
              <w:pStyle w:val="6"/>
              <w:spacing w:line="360" w:lineRule="auto"/>
              <w:jc w:val="left"/>
              <w:rPr>
                <w:color w:val="FF0000"/>
              </w:rPr>
            </w:pPr>
            <w:r>
              <w:rPr>
                <w:color w:val="FF0000"/>
              </w:rPr>
              <w:t>1</w:t>
            </w:r>
          </w:p>
        </w:tc>
        <w:tc>
          <w:tcPr>
            <w:tcW w:w="1072" w:type="dxa"/>
          </w:tcPr>
          <w:p w14:paraId="6DC534C1">
            <w:pPr>
              <w:pStyle w:val="6"/>
              <w:spacing w:line="360" w:lineRule="auto"/>
              <w:jc w:val="left"/>
              <w:rPr>
                <w:color w:val="FF0000"/>
              </w:rPr>
            </w:pPr>
            <w:r>
              <w:rPr>
                <w:color w:val="FF0000"/>
              </w:rPr>
              <w:t>★</w:t>
            </w:r>
          </w:p>
        </w:tc>
        <w:tc>
          <w:tcPr>
            <w:tcW w:w="2078" w:type="dxa"/>
          </w:tcPr>
          <w:p w14:paraId="05FAE29B">
            <w:pPr>
              <w:pStyle w:val="6"/>
              <w:spacing w:line="360" w:lineRule="auto"/>
              <w:jc w:val="left"/>
              <w:rPr>
                <w:color w:val="FF0000"/>
              </w:rPr>
            </w:pPr>
            <w:r>
              <w:rPr>
                <w:color w:val="FF0000"/>
              </w:rPr>
              <w:t>交货时间</w:t>
            </w:r>
          </w:p>
        </w:tc>
        <w:tc>
          <w:tcPr>
            <w:tcW w:w="4768" w:type="dxa"/>
          </w:tcPr>
          <w:p w14:paraId="79C8538A">
            <w:pPr>
              <w:pStyle w:val="6"/>
              <w:spacing w:line="360" w:lineRule="auto"/>
              <w:jc w:val="left"/>
              <w:rPr>
                <w:color w:val="FF0000"/>
              </w:rPr>
            </w:pPr>
            <w:r>
              <w:rPr>
                <w:color w:val="FF0000"/>
              </w:rPr>
              <w:t>截止2024年11月30日前，每月需均衡完成抽检任务，并按要求将全部抽检数据报送至“国家食品安全抽样检验信息系统”</w:t>
            </w:r>
          </w:p>
        </w:tc>
      </w:tr>
      <w:tr w14:paraId="525312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3" w:type="dxa"/>
          </w:tcPr>
          <w:p w14:paraId="5C4C8C8B">
            <w:pPr>
              <w:pStyle w:val="6"/>
              <w:spacing w:line="360" w:lineRule="auto"/>
              <w:jc w:val="left"/>
              <w:rPr>
                <w:color w:val="FF0000"/>
              </w:rPr>
            </w:pPr>
            <w:r>
              <w:rPr>
                <w:color w:val="FF0000"/>
              </w:rPr>
              <w:t>2</w:t>
            </w:r>
          </w:p>
        </w:tc>
        <w:tc>
          <w:tcPr>
            <w:tcW w:w="1072" w:type="dxa"/>
          </w:tcPr>
          <w:p w14:paraId="5A73ED33">
            <w:pPr>
              <w:pStyle w:val="6"/>
              <w:spacing w:line="360" w:lineRule="auto"/>
              <w:jc w:val="left"/>
              <w:rPr>
                <w:color w:val="FF0000"/>
              </w:rPr>
            </w:pPr>
            <w:r>
              <w:rPr>
                <w:color w:val="FF0000"/>
              </w:rPr>
              <w:t>★</w:t>
            </w:r>
          </w:p>
        </w:tc>
        <w:tc>
          <w:tcPr>
            <w:tcW w:w="2078" w:type="dxa"/>
          </w:tcPr>
          <w:p w14:paraId="018EB087">
            <w:pPr>
              <w:pStyle w:val="6"/>
              <w:spacing w:line="360" w:lineRule="auto"/>
              <w:jc w:val="left"/>
              <w:rPr>
                <w:color w:val="FF0000"/>
              </w:rPr>
            </w:pPr>
            <w:r>
              <w:rPr>
                <w:color w:val="FF0000"/>
              </w:rPr>
              <w:t>交货地点</w:t>
            </w:r>
          </w:p>
        </w:tc>
        <w:tc>
          <w:tcPr>
            <w:tcW w:w="4768" w:type="dxa"/>
          </w:tcPr>
          <w:p w14:paraId="5F197909">
            <w:pPr>
              <w:pStyle w:val="6"/>
              <w:spacing w:line="360" w:lineRule="auto"/>
              <w:jc w:val="left"/>
              <w:rPr>
                <w:color w:val="FF0000"/>
              </w:rPr>
            </w:pPr>
            <w:r>
              <w:rPr>
                <w:color w:val="FF0000"/>
              </w:rPr>
              <w:t>福建省福州市鼓楼区华林路147号</w:t>
            </w:r>
          </w:p>
        </w:tc>
      </w:tr>
      <w:tr w14:paraId="186F37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3" w:type="dxa"/>
          </w:tcPr>
          <w:p w14:paraId="7B2EC72E">
            <w:pPr>
              <w:pStyle w:val="6"/>
              <w:spacing w:line="360" w:lineRule="auto"/>
              <w:jc w:val="left"/>
              <w:rPr>
                <w:color w:val="FF0000"/>
              </w:rPr>
            </w:pPr>
            <w:r>
              <w:rPr>
                <w:color w:val="FF0000"/>
              </w:rPr>
              <w:t>3</w:t>
            </w:r>
          </w:p>
        </w:tc>
        <w:tc>
          <w:tcPr>
            <w:tcW w:w="1072" w:type="dxa"/>
          </w:tcPr>
          <w:p w14:paraId="5E86A3AE">
            <w:pPr>
              <w:pStyle w:val="6"/>
              <w:spacing w:line="360" w:lineRule="auto"/>
              <w:jc w:val="left"/>
              <w:rPr>
                <w:color w:val="FF0000"/>
              </w:rPr>
            </w:pPr>
            <w:r>
              <w:rPr>
                <w:color w:val="FF0000"/>
              </w:rPr>
              <w:t>★</w:t>
            </w:r>
          </w:p>
        </w:tc>
        <w:tc>
          <w:tcPr>
            <w:tcW w:w="2078" w:type="dxa"/>
          </w:tcPr>
          <w:p w14:paraId="6C521CEF">
            <w:pPr>
              <w:pStyle w:val="6"/>
              <w:spacing w:line="360" w:lineRule="auto"/>
              <w:jc w:val="left"/>
              <w:rPr>
                <w:color w:val="FF0000"/>
              </w:rPr>
            </w:pPr>
            <w:r>
              <w:rPr>
                <w:color w:val="FF0000"/>
              </w:rPr>
              <w:t>交货条件</w:t>
            </w:r>
          </w:p>
        </w:tc>
        <w:tc>
          <w:tcPr>
            <w:tcW w:w="4768" w:type="dxa"/>
          </w:tcPr>
          <w:p w14:paraId="2D5D07DF">
            <w:pPr>
              <w:pStyle w:val="6"/>
              <w:spacing w:line="360" w:lineRule="auto"/>
              <w:jc w:val="left"/>
              <w:rPr>
                <w:color w:val="FF0000"/>
              </w:rPr>
            </w:pPr>
            <w:r>
              <w:rPr>
                <w:color w:val="FF0000"/>
              </w:rPr>
              <w:t>采购人验收合格后</w:t>
            </w:r>
          </w:p>
        </w:tc>
      </w:tr>
      <w:tr w14:paraId="163634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3" w:type="dxa"/>
          </w:tcPr>
          <w:p w14:paraId="46B48835">
            <w:pPr>
              <w:pStyle w:val="6"/>
              <w:spacing w:line="360" w:lineRule="auto"/>
              <w:jc w:val="left"/>
              <w:rPr>
                <w:color w:val="FF0000"/>
              </w:rPr>
            </w:pPr>
            <w:r>
              <w:rPr>
                <w:color w:val="FF0000"/>
              </w:rPr>
              <w:t>4</w:t>
            </w:r>
          </w:p>
        </w:tc>
        <w:tc>
          <w:tcPr>
            <w:tcW w:w="1072" w:type="dxa"/>
          </w:tcPr>
          <w:p w14:paraId="0CE81FDC">
            <w:pPr>
              <w:pStyle w:val="6"/>
              <w:spacing w:line="360" w:lineRule="auto"/>
              <w:jc w:val="left"/>
              <w:rPr>
                <w:color w:val="FF0000"/>
              </w:rPr>
            </w:pPr>
            <w:r>
              <w:rPr>
                <w:color w:val="FF0000"/>
              </w:rPr>
              <w:t>★</w:t>
            </w:r>
          </w:p>
        </w:tc>
        <w:tc>
          <w:tcPr>
            <w:tcW w:w="2078" w:type="dxa"/>
          </w:tcPr>
          <w:p w14:paraId="3C37F949">
            <w:pPr>
              <w:pStyle w:val="6"/>
              <w:spacing w:line="360" w:lineRule="auto"/>
              <w:jc w:val="left"/>
              <w:rPr>
                <w:color w:val="FF0000"/>
              </w:rPr>
            </w:pPr>
            <w:r>
              <w:rPr>
                <w:color w:val="FF0000"/>
              </w:rPr>
              <w:t>是否邀请投标人验收</w:t>
            </w:r>
          </w:p>
        </w:tc>
        <w:tc>
          <w:tcPr>
            <w:tcW w:w="4768" w:type="dxa"/>
          </w:tcPr>
          <w:p w14:paraId="4BE58E82">
            <w:pPr>
              <w:pStyle w:val="6"/>
              <w:spacing w:line="360" w:lineRule="auto"/>
              <w:jc w:val="left"/>
              <w:rPr>
                <w:color w:val="FF0000"/>
              </w:rPr>
            </w:pPr>
            <w:r>
              <w:rPr>
                <w:color w:val="FF0000"/>
              </w:rPr>
              <w:t>不邀请投标人验收</w:t>
            </w:r>
          </w:p>
        </w:tc>
      </w:tr>
      <w:tr w14:paraId="76A92C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3" w:type="dxa"/>
          </w:tcPr>
          <w:p w14:paraId="4A54EA9B">
            <w:pPr>
              <w:pStyle w:val="6"/>
              <w:spacing w:line="360" w:lineRule="auto"/>
              <w:jc w:val="left"/>
              <w:rPr>
                <w:color w:val="FF0000"/>
              </w:rPr>
            </w:pPr>
            <w:r>
              <w:rPr>
                <w:color w:val="FF0000"/>
              </w:rPr>
              <w:t>5</w:t>
            </w:r>
          </w:p>
        </w:tc>
        <w:tc>
          <w:tcPr>
            <w:tcW w:w="1072" w:type="dxa"/>
          </w:tcPr>
          <w:p w14:paraId="47683023">
            <w:pPr>
              <w:pStyle w:val="6"/>
              <w:spacing w:line="360" w:lineRule="auto"/>
              <w:jc w:val="left"/>
              <w:rPr>
                <w:color w:val="FF0000"/>
              </w:rPr>
            </w:pPr>
            <w:r>
              <w:rPr>
                <w:color w:val="FF0000"/>
              </w:rPr>
              <w:t>★</w:t>
            </w:r>
          </w:p>
        </w:tc>
        <w:tc>
          <w:tcPr>
            <w:tcW w:w="2078" w:type="dxa"/>
          </w:tcPr>
          <w:p w14:paraId="0B84E870">
            <w:pPr>
              <w:pStyle w:val="6"/>
              <w:spacing w:line="360" w:lineRule="auto"/>
              <w:jc w:val="left"/>
              <w:rPr>
                <w:color w:val="FF0000"/>
              </w:rPr>
            </w:pPr>
            <w:r>
              <w:rPr>
                <w:color w:val="FF0000"/>
              </w:rPr>
              <w:t>履约验收方式</w:t>
            </w:r>
          </w:p>
        </w:tc>
        <w:tc>
          <w:tcPr>
            <w:tcW w:w="4768" w:type="dxa"/>
          </w:tcPr>
          <w:p w14:paraId="5E318F42">
            <w:pPr>
              <w:pStyle w:val="6"/>
              <w:spacing w:line="360" w:lineRule="auto"/>
              <w:jc w:val="left"/>
              <w:rPr>
                <w:color w:val="FF0000"/>
              </w:rPr>
            </w:pPr>
            <w:r>
              <w:rPr>
                <w:color w:val="FF0000"/>
              </w:rPr>
              <w:t>1、期次1，说明：按招标文件和合同要求</w:t>
            </w:r>
          </w:p>
        </w:tc>
      </w:tr>
      <w:tr w14:paraId="0F18D1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3" w:type="dxa"/>
          </w:tcPr>
          <w:p w14:paraId="626C0996">
            <w:pPr>
              <w:pStyle w:val="6"/>
              <w:spacing w:line="360" w:lineRule="auto"/>
              <w:jc w:val="left"/>
              <w:rPr>
                <w:color w:val="FF0000"/>
              </w:rPr>
            </w:pPr>
            <w:r>
              <w:rPr>
                <w:color w:val="FF0000"/>
              </w:rPr>
              <w:t>6</w:t>
            </w:r>
          </w:p>
        </w:tc>
        <w:tc>
          <w:tcPr>
            <w:tcW w:w="1072" w:type="dxa"/>
          </w:tcPr>
          <w:p w14:paraId="374BFA6F">
            <w:pPr>
              <w:pStyle w:val="6"/>
              <w:spacing w:line="360" w:lineRule="auto"/>
              <w:jc w:val="left"/>
              <w:rPr>
                <w:color w:val="FF0000"/>
              </w:rPr>
            </w:pPr>
            <w:r>
              <w:rPr>
                <w:color w:val="FF0000"/>
              </w:rPr>
              <w:t>★</w:t>
            </w:r>
          </w:p>
        </w:tc>
        <w:tc>
          <w:tcPr>
            <w:tcW w:w="2078" w:type="dxa"/>
          </w:tcPr>
          <w:p w14:paraId="3E772AB7">
            <w:pPr>
              <w:pStyle w:val="6"/>
              <w:spacing w:line="360" w:lineRule="auto"/>
              <w:jc w:val="left"/>
              <w:rPr>
                <w:color w:val="FF0000"/>
              </w:rPr>
            </w:pPr>
            <w:r>
              <w:rPr>
                <w:color w:val="FF0000"/>
              </w:rPr>
              <w:t>合同支付方式</w:t>
            </w:r>
          </w:p>
        </w:tc>
        <w:tc>
          <w:tcPr>
            <w:tcW w:w="4768" w:type="dxa"/>
          </w:tcPr>
          <w:p w14:paraId="39D12DFE">
            <w:pPr>
              <w:pStyle w:val="6"/>
              <w:spacing w:line="360" w:lineRule="auto"/>
              <w:jc w:val="left"/>
              <w:rPr>
                <w:color w:val="FF0000"/>
              </w:rPr>
            </w:pPr>
            <w:r>
              <w:rPr>
                <w:color w:val="FF0000"/>
              </w:rPr>
              <w:t>1、签订政府采购合同后，达到付款条件起30日内，支付合同总金额的60.00%</w:t>
            </w:r>
          </w:p>
          <w:p w14:paraId="7BEB8AC0">
            <w:pPr>
              <w:pStyle w:val="6"/>
              <w:spacing w:line="360" w:lineRule="auto"/>
              <w:jc w:val="left"/>
              <w:rPr>
                <w:color w:val="FF0000"/>
              </w:rPr>
            </w:pPr>
            <w:r>
              <w:rPr>
                <w:color w:val="FF0000"/>
              </w:rPr>
              <w:t>2、项目完成并通过验收后，达到付款条件起30日内，支付合同总金额的40.00%</w:t>
            </w:r>
          </w:p>
        </w:tc>
      </w:tr>
      <w:tr w14:paraId="60F2B9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3" w:type="dxa"/>
          </w:tcPr>
          <w:p w14:paraId="540102A1">
            <w:pPr>
              <w:pStyle w:val="6"/>
              <w:spacing w:line="360" w:lineRule="auto"/>
              <w:jc w:val="left"/>
              <w:rPr>
                <w:color w:val="FF0000"/>
              </w:rPr>
            </w:pPr>
            <w:r>
              <w:rPr>
                <w:color w:val="FF0000"/>
              </w:rPr>
              <w:t>7</w:t>
            </w:r>
          </w:p>
        </w:tc>
        <w:tc>
          <w:tcPr>
            <w:tcW w:w="1072" w:type="dxa"/>
          </w:tcPr>
          <w:p w14:paraId="61CF4100">
            <w:pPr>
              <w:pStyle w:val="6"/>
              <w:spacing w:line="360" w:lineRule="auto"/>
              <w:jc w:val="left"/>
              <w:rPr>
                <w:color w:val="FF0000"/>
              </w:rPr>
            </w:pPr>
            <w:r>
              <w:rPr>
                <w:color w:val="FF0000"/>
              </w:rPr>
              <w:t>★</w:t>
            </w:r>
          </w:p>
        </w:tc>
        <w:tc>
          <w:tcPr>
            <w:tcW w:w="2078" w:type="dxa"/>
          </w:tcPr>
          <w:p w14:paraId="1ADE8900">
            <w:pPr>
              <w:pStyle w:val="6"/>
              <w:spacing w:line="360" w:lineRule="auto"/>
              <w:jc w:val="left"/>
              <w:rPr>
                <w:color w:val="FF0000"/>
              </w:rPr>
            </w:pPr>
            <w:r>
              <w:rPr>
                <w:color w:val="FF0000"/>
              </w:rPr>
              <w:t>履约保证金</w:t>
            </w:r>
          </w:p>
        </w:tc>
        <w:tc>
          <w:tcPr>
            <w:tcW w:w="4768" w:type="dxa"/>
          </w:tcPr>
          <w:p w14:paraId="389362FB">
            <w:pPr>
              <w:pStyle w:val="6"/>
              <w:spacing w:line="360" w:lineRule="auto"/>
              <w:jc w:val="left"/>
              <w:rPr>
                <w:color w:val="FF0000"/>
              </w:rPr>
            </w:pPr>
            <w:r>
              <w:rPr>
                <w:color w:val="FF0000"/>
              </w:rPr>
              <w:t>不缴纳</w:t>
            </w:r>
          </w:p>
        </w:tc>
      </w:tr>
    </w:tbl>
    <w:p w14:paraId="28E5F28D">
      <w:pPr>
        <w:pStyle w:val="6"/>
        <w:spacing w:line="360" w:lineRule="auto"/>
        <w:jc w:val="left"/>
        <w:rPr>
          <w:color w:val="FF0000"/>
        </w:rPr>
      </w:pPr>
      <w:r>
        <w:rPr>
          <w:color w:val="FF0000"/>
        </w:rPr>
        <w:t>采购包2：</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93"/>
        <w:gridCol w:w="1072"/>
        <w:gridCol w:w="2078"/>
        <w:gridCol w:w="4768"/>
      </w:tblGrid>
      <w:tr w14:paraId="1E3681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3" w:type="dxa"/>
          </w:tcPr>
          <w:p w14:paraId="7C59A383">
            <w:pPr>
              <w:pStyle w:val="6"/>
              <w:spacing w:line="360" w:lineRule="auto"/>
              <w:jc w:val="left"/>
              <w:rPr>
                <w:color w:val="FF0000"/>
              </w:rPr>
            </w:pPr>
            <w:r>
              <w:rPr>
                <w:color w:val="FF0000"/>
              </w:rPr>
              <w:t>序号</w:t>
            </w:r>
          </w:p>
        </w:tc>
        <w:tc>
          <w:tcPr>
            <w:tcW w:w="1072" w:type="dxa"/>
          </w:tcPr>
          <w:p w14:paraId="5A7D6E40">
            <w:pPr>
              <w:pStyle w:val="6"/>
              <w:spacing w:line="360" w:lineRule="auto"/>
              <w:jc w:val="left"/>
              <w:rPr>
                <w:color w:val="FF0000"/>
              </w:rPr>
            </w:pPr>
            <w:r>
              <w:rPr>
                <w:color w:val="FF0000"/>
              </w:rPr>
              <w:t>参数性质</w:t>
            </w:r>
          </w:p>
        </w:tc>
        <w:tc>
          <w:tcPr>
            <w:tcW w:w="2078" w:type="dxa"/>
          </w:tcPr>
          <w:p w14:paraId="1D328D19">
            <w:pPr>
              <w:pStyle w:val="6"/>
              <w:spacing w:line="360" w:lineRule="auto"/>
              <w:jc w:val="left"/>
              <w:rPr>
                <w:color w:val="FF0000"/>
              </w:rPr>
            </w:pPr>
            <w:r>
              <w:rPr>
                <w:color w:val="FF0000"/>
              </w:rPr>
              <w:t>类型</w:t>
            </w:r>
          </w:p>
        </w:tc>
        <w:tc>
          <w:tcPr>
            <w:tcW w:w="4768" w:type="dxa"/>
          </w:tcPr>
          <w:p w14:paraId="475F65A4">
            <w:pPr>
              <w:pStyle w:val="6"/>
              <w:spacing w:line="360" w:lineRule="auto"/>
              <w:jc w:val="left"/>
              <w:rPr>
                <w:color w:val="FF0000"/>
              </w:rPr>
            </w:pPr>
            <w:r>
              <w:rPr>
                <w:color w:val="FF0000"/>
              </w:rPr>
              <w:t>要求</w:t>
            </w:r>
          </w:p>
        </w:tc>
      </w:tr>
      <w:tr w14:paraId="6F0DE7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3" w:type="dxa"/>
          </w:tcPr>
          <w:p w14:paraId="75580229">
            <w:pPr>
              <w:pStyle w:val="6"/>
              <w:spacing w:line="360" w:lineRule="auto"/>
              <w:jc w:val="left"/>
              <w:rPr>
                <w:color w:val="FF0000"/>
              </w:rPr>
            </w:pPr>
            <w:r>
              <w:rPr>
                <w:color w:val="FF0000"/>
              </w:rPr>
              <w:t>1</w:t>
            </w:r>
          </w:p>
        </w:tc>
        <w:tc>
          <w:tcPr>
            <w:tcW w:w="1072" w:type="dxa"/>
          </w:tcPr>
          <w:p w14:paraId="71F5D7E0">
            <w:pPr>
              <w:pStyle w:val="6"/>
              <w:spacing w:line="360" w:lineRule="auto"/>
              <w:jc w:val="left"/>
              <w:rPr>
                <w:color w:val="FF0000"/>
              </w:rPr>
            </w:pPr>
            <w:r>
              <w:rPr>
                <w:color w:val="FF0000"/>
              </w:rPr>
              <w:t>★</w:t>
            </w:r>
          </w:p>
        </w:tc>
        <w:tc>
          <w:tcPr>
            <w:tcW w:w="2078" w:type="dxa"/>
          </w:tcPr>
          <w:p w14:paraId="54F67DDB">
            <w:pPr>
              <w:pStyle w:val="6"/>
              <w:spacing w:line="360" w:lineRule="auto"/>
              <w:jc w:val="left"/>
              <w:rPr>
                <w:color w:val="FF0000"/>
              </w:rPr>
            </w:pPr>
            <w:r>
              <w:rPr>
                <w:color w:val="FF0000"/>
              </w:rPr>
              <w:t>交货时间</w:t>
            </w:r>
          </w:p>
        </w:tc>
        <w:tc>
          <w:tcPr>
            <w:tcW w:w="4768" w:type="dxa"/>
          </w:tcPr>
          <w:p w14:paraId="677DD304">
            <w:pPr>
              <w:pStyle w:val="6"/>
              <w:spacing w:line="360" w:lineRule="auto"/>
              <w:jc w:val="left"/>
              <w:rPr>
                <w:color w:val="FF0000"/>
              </w:rPr>
            </w:pPr>
            <w:r>
              <w:rPr>
                <w:color w:val="FF0000"/>
              </w:rPr>
              <w:t>截止2024年11月30日前，每月需均衡完成抽检任务，并按要求将全部抽检数据报送至“国家食品安全抽样检验信息系统”</w:t>
            </w:r>
          </w:p>
        </w:tc>
      </w:tr>
      <w:tr w14:paraId="5AF48A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3" w:type="dxa"/>
          </w:tcPr>
          <w:p w14:paraId="39599101">
            <w:pPr>
              <w:pStyle w:val="6"/>
              <w:spacing w:line="360" w:lineRule="auto"/>
              <w:jc w:val="left"/>
              <w:rPr>
                <w:color w:val="FF0000"/>
              </w:rPr>
            </w:pPr>
            <w:r>
              <w:rPr>
                <w:color w:val="FF0000"/>
              </w:rPr>
              <w:t>2</w:t>
            </w:r>
          </w:p>
        </w:tc>
        <w:tc>
          <w:tcPr>
            <w:tcW w:w="1072" w:type="dxa"/>
          </w:tcPr>
          <w:p w14:paraId="37B8858B">
            <w:pPr>
              <w:pStyle w:val="6"/>
              <w:spacing w:line="360" w:lineRule="auto"/>
              <w:jc w:val="left"/>
              <w:rPr>
                <w:color w:val="FF0000"/>
              </w:rPr>
            </w:pPr>
            <w:r>
              <w:rPr>
                <w:color w:val="FF0000"/>
              </w:rPr>
              <w:t>★</w:t>
            </w:r>
          </w:p>
        </w:tc>
        <w:tc>
          <w:tcPr>
            <w:tcW w:w="2078" w:type="dxa"/>
          </w:tcPr>
          <w:p w14:paraId="2E74D3BB">
            <w:pPr>
              <w:pStyle w:val="6"/>
              <w:spacing w:line="360" w:lineRule="auto"/>
              <w:jc w:val="left"/>
              <w:rPr>
                <w:color w:val="FF0000"/>
              </w:rPr>
            </w:pPr>
            <w:r>
              <w:rPr>
                <w:color w:val="FF0000"/>
              </w:rPr>
              <w:t>交货地点</w:t>
            </w:r>
          </w:p>
        </w:tc>
        <w:tc>
          <w:tcPr>
            <w:tcW w:w="4768" w:type="dxa"/>
          </w:tcPr>
          <w:p w14:paraId="5EFE1F08">
            <w:pPr>
              <w:pStyle w:val="6"/>
              <w:spacing w:line="360" w:lineRule="auto"/>
              <w:jc w:val="left"/>
              <w:rPr>
                <w:color w:val="FF0000"/>
              </w:rPr>
            </w:pPr>
            <w:r>
              <w:rPr>
                <w:color w:val="FF0000"/>
              </w:rPr>
              <w:t>福建省福州市鼓楼区华林路147号</w:t>
            </w:r>
          </w:p>
        </w:tc>
      </w:tr>
      <w:tr w14:paraId="48FD22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3" w:type="dxa"/>
          </w:tcPr>
          <w:p w14:paraId="1908EE5F">
            <w:pPr>
              <w:pStyle w:val="6"/>
              <w:spacing w:line="360" w:lineRule="auto"/>
              <w:jc w:val="left"/>
              <w:rPr>
                <w:color w:val="FF0000"/>
              </w:rPr>
            </w:pPr>
            <w:r>
              <w:rPr>
                <w:color w:val="FF0000"/>
              </w:rPr>
              <w:t>3</w:t>
            </w:r>
          </w:p>
        </w:tc>
        <w:tc>
          <w:tcPr>
            <w:tcW w:w="1072" w:type="dxa"/>
          </w:tcPr>
          <w:p w14:paraId="308AFF2A">
            <w:pPr>
              <w:pStyle w:val="6"/>
              <w:spacing w:line="360" w:lineRule="auto"/>
              <w:jc w:val="left"/>
              <w:rPr>
                <w:color w:val="FF0000"/>
              </w:rPr>
            </w:pPr>
            <w:r>
              <w:rPr>
                <w:color w:val="FF0000"/>
              </w:rPr>
              <w:t>★</w:t>
            </w:r>
          </w:p>
        </w:tc>
        <w:tc>
          <w:tcPr>
            <w:tcW w:w="2078" w:type="dxa"/>
          </w:tcPr>
          <w:p w14:paraId="12F311CB">
            <w:pPr>
              <w:pStyle w:val="6"/>
              <w:spacing w:line="360" w:lineRule="auto"/>
              <w:jc w:val="left"/>
              <w:rPr>
                <w:color w:val="FF0000"/>
              </w:rPr>
            </w:pPr>
            <w:r>
              <w:rPr>
                <w:color w:val="FF0000"/>
              </w:rPr>
              <w:t>交货条件</w:t>
            </w:r>
          </w:p>
        </w:tc>
        <w:tc>
          <w:tcPr>
            <w:tcW w:w="4768" w:type="dxa"/>
          </w:tcPr>
          <w:p w14:paraId="7A8CD266">
            <w:pPr>
              <w:pStyle w:val="6"/>
              <w:spacing w:line="360" w:lineRule="auto"/>
              <w:jc w:val="left"/>
              <w:rPr>
                <w:color w:val="FF0000"/>
              </w:rPr>
            </w:pPr>
            <w:r>
              <w:rPr>
                <w:color w:val="FF0000"/>
              </w:rPr>
              <w:t>采购人验收合格后</w:t>
            </w:r>
          </w:p>
        </w:tc>
      </w:tr>
      <w:tr w14:paraId="03EAA6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3" w:type="dxa"/>
          </w:tcPr>
          <w:p w14:paraId="3C34D9C7">
            <w:pPr>
              <w:pStyle w:val="6"/>
              <w:spacing w:line="360" w:lineRule="auto"/>
              <w:jc w:val="left"/>
              <w:rPr>
                <w:color w:val="FF0000"/>
              </w:rPr>
            </w:pPr>
            <w:r>
              <w:rPr>
                <w:color w:val="FF0000"/>
              </w:rPr>
              <w:t>4</w:t>
            </w:r>
          </w:p>
        </w:tc>
        <w:tc>
          <w:tcPr>
            <w:tcW w:w="1072" w:type="dxa"/>
          </w:tcPr>
          <w:p w14:paraId="6D057633">
            <w:pPr>
              <w:pStyle w:val="6"/>
              <w:spacing w:line="360" w:lineRule="auto"/>
              <w:jc w:val="left"/>
              <w:rPr>
                <w:color w:val="FF0000"/>
              </w:rPr>
            </w:pPr>
            <w:r>
              <w:rPr>
                <w:color w:val="FF0000"/>
              </w:rPr>
              <w:t>★</w:t>
            </w:r>
          </w:p>
        </w:tc>
        <w:tc>
          <w:tcPr>
            <w:tcW w:w="2078" w:type="dxa"/>
          </w:tcPr>
          <w:p w14:paraId="13A422B9">
            <w:pPr>
              <w:pStyle w:val="6"/>
              <w:spacing w:line="360" w:lineRule="auto"/>
              <w:jc w:val="left"/>
              <w:rPr>
                <w:color w:val="FF0000"/>
              </w:rPr>
            </w:pPr>
            <w:r>
              <w:rPr>
                <w:color w:val="FF0000"/>
              </w:rPr>
              <w:t>是否邀请投标人验收</w:t>
            </w:r>
          </w:p>
        </w:tc>
        <w:tc>
          <w:tcPr>
            <w:tcW w:w="4768" w:type="dxa"/>
          </w:tcPr>
          <w:p w14:paraId="7860C4D2">
            <w:pPr>
              <w:pStyle w:val="6"/>
              <w:spacing w:line="360" w:lineRule="auto"/>
              <w:jc w:val="left"/>
              <w:rPr>
                <w:color w:val="FF0000"/>
              </w:rPr>
            </w:pPr>
            <w:r>
              <w:rPr>
                <w:color w:val="FF0000"/>
              </w:rPr>
              <w:t>不邀请投标人验收</w:t>
            </w:r>
          </w:p>
        </w:tc>
      </w:tr>
      <w:tr w14:paraId="64CB09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3" w:type="dxa"/>
          </w:tcPr>
          <w:p w14:paraId="48D031AC">
            <w:pPr>
              <w:pStyle w:val="6"/>
              <w:spacing w:line="360" w:lineRule="auto"/>
              <w:jc w:val="left"/>
              <w:rPr>
                <w:color w:val="FF0000"/>
              </w:rPr>
            </w:pPr>
            <w:r>
              <w:rPr>
                <w:color w:val="FF0000"/>
              </w:rPr>
              <w:t>5</w:t>
            </w:r>
          </w:p>
        </w:tc>
        <w:tc>
          <w:tcPr>
            <w:tcW w:w="1072" w:type="dxa"/>
          </w:tcPr>
          <w:p w14:paraId="57814844">
            <w:pPr>
              <w:pStyle w:val="6"/>
              <w:spacing w:line="360" w:lineRule="auto"/>
              <w:jc w:val="left"/>
              <w:rPr>
                <w:color w:val="FF0000"/>
              </w:rPr>
            </w:pPr>
            <w:r>
              <w:rPr>
                <w:color w:val="FF0000"/>
              </w:rPr>
              <w:t>★</w:t>
            </w:r>
          </w:p>
        </w:tc>
        <w:tc>
          <w:tcPr>
            <w:tcW w:w="2078" w:type="dxa"/>
          </w:tcPr>
          <w:p w14:paraId="1D799006">
            <w:pPr>
              <w:pStyle w:val="6"/>
              <w:spacing w:line="360" w:lineRule="auto"/>
              <w:jc w:val="left"/>
              <w:rPr>
                <w:color w:val="FF0000"/>
              </w:rPr>
            </w:pPr>
            <w:r>
              <w:rPr>
                <w:color w:val="FF0000"/>
              </w:rPr>
              <w:t>履约验收方式</w:t>
            </w:r>
          </w:p>
        </w:tc>
        <w:tc>
          <w:tcPr>
            <w:tcW w:w="4768" w:type="dxa"/>
          </w:tcPr>
          <w:p w14:paraId="21F4EE5B">
            <w:pPr>
              <w:pStyle w:val="6"/>
              <w:spacing w:line="360" w:lineRule="auto"/>
              <w:jc w:val="left"/>
              <w:rPr>
                <w:color w:val="FF0000"/>
              </w:rPr>
            </w:pPr>
            <w:r>
              <w:rPr>
                <w:color w:val="FF0000"/>
              </w:rPr>
              <w:t>1、期次1，说明：按招标文件和合同要求</w:t>
            </w:r>
          </w:p>
        </w:tc>
      </w:tr>
      <w:tr w14:paraId="776EE2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3" w:type="dxa"/>
          </w:tcPr>
          <w:p w14:paraId="3F40A0CD">
            <w:pPr>
              <w:pStyle w:val="6"/>
              <w:spacing w:line="360" w:lineRule="auto"/>
              <w:jc w:val="left"/>
              <w:rPr>
                <w:color w:val="FF0000"/>
              </w:rPr>
            </w:pPr>
            <w:r>
              <w:rPr>
                <w:color w:val="FF0000"/>
              </w:rPr>
              <w:t>6</w:t>
            </w:r>
          </w:p>
        </w:tc>
        <w:tc>
          <w:tcPr>
            <w:tcW w:w="1072" w:type="dxa"/>
          </w:tcPr>
          <w:p w14:paraId="63A35B55">
            <w:pPr>
              <w:pStyle w:val="6"/>
              <w:spacing w:line="360" w:lineRule="auto"/>
              <w:jc w:val="left"/>
              <w:rPr>
                <w:color w:val="FF0000"/>
              </w:rPr>
            </w:pPr>
            <w:r>
              <w:rPr>
                <w:color w:val="FF0000"/>
              </w:rPr>
              <w:t>★</w:t>
            </w:r>
          </w:p>
        </w:tc>
        <w:tc>
          <w:tcPr>
            <w:tcW w:w="2078" w:type="dxa"/>
          </w:tcPr>
          <w:p w14:paraId="0C06C07A">
            <w:pPr>
              <w:pStyle w:val="6"/>
              <w:spacing w:line="360" w:lineRule="auto"/>
              <w:jc w:val="left"/>
              <w:rPr>
                <w:color w:val="FF0000"/>
              </w:rPr>
            </w:pPr>
            <w:r>
              <w:rPr>
                <w:color w:val="FF0000"/>
              </w:rPr>
              <w:t>合同支付方式</w:t>
            </w:r>
          </w:p>
        </w:tc>
        <w:tc>
          <w:tcPr>
            <w:tcW w:w="4768" w:type="dxa"/>
          </w:tcPr>
          <w:p w14:paraId="3231B06A">
            <w:pPr>
              <w:pStyle w:val="6"/>
              <w:spacing w:line="360" w:lineRule="auto"/>
              <w:jc w:val="left"/>
              <w:rPr>
                <w:color w:val="FF0000"/>
              </w:rPr>
            </w:pPr>
            <w:r>
              <w:rPr>
                <w:color w:val="FF0000"/>
              </w:rPr>
              <w:t>1、签订政府采购合同后，达到付款条件起30日内，支付合同总金额的60.00%</w:t>
            </w:r>
          </w:p>
          <w:p w14:paraId="39B67CDE">
            <w:pPr>
              <w:pStyle w:val="6"/>
              <w:spacing w:line="360" w:lineRule="auto"/>
              <w:jc w:val="left"/>
              <w:rPr>
                <w:color w:val="FF0000"/>
              </w:rPr>
            </w:pPr>
            <w:r>
              <w:rPr>
                <w:color w:val="FF0000"/>
              </w:rPr>
              <w:t>2、项目完成并通过验收后，达到付款条件起30日内，支付合同总金额的40.00%</w:t>
            </w:r>
          </w:p>
        </w:tc>
      </w:tr>
      <w:tr w14:paraId="788616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3" w:type="dxa"/>
          </w:tcPr>
          <w:p w14:paraId="675D060A">
            <w:pPr>
              <w:pStyle w:val="6"/>
              <w:spacing w:line="360" w:lineRule="auto"/>
              <w:jc w:val="left"/>
              <w:rPr>
                <w:color w:val="FF0000"/>
              </w:rPr>
            </w:pPr>
            <w:r>
              <w:rPr>
                <w:color w:val="FF0000"/>
              </w:rPr>
              <w:t>7</w:t>
            </w:r>
          </w:p>
        </w:tc>
        <w:tc>
          <w:tcPr>
            <w:tcW w:w="1072" w:type="dxa"/>
          </w:tcPr>
          <w:p w14:paraId="6E3B9996">
            <w:pPr>
              <w:pStyle w:val="6"/>
              <w:spacing w:line="360" w:lineRule="auto"/>
              <w:jc w:val="left"/>
              <w:rPr>
                <w:color w:val="FF0000"/>
              </w:rPr>
            </w:pPr>
            <w:r>
              <w:rPr>
                <w:color w:val="FF0000"/>
              </w:rPr>
              <w:t>★</w:t>
            </w:r>
          </w:p>
        </w:tc>
        <w:tc>
          <w:tcPr>
            <w:tcW w:w="2078" w:type="dxa"/>
          </w:tcPr>
          <w:p w14:paraId="34019438">
            <w:pPr>
              <w:pStyle w:val="6"/>
              <w:spacing w:line="360" w:lineRule="auto"/>
              <w:jc w:val="left"/>
              <w:rPr>
                <w:color w:val="FF0000"/>
              </w:rPr>
            </w:pPr>
            <w:r>
              <w:rPr>
                <w:color w:val="FF0000"/>
              </w:rPr>
              <w:t>履约保证金</w:t>
            </w:r>
          </w:p>
        </w:tc>
        <w:tc>
          <w:tcPr>
            <w:tcW w:w="4768" w:type="dxa"/>
          </w:tcPr>
          <w:p w14:paraId="2D81BD1F">
            <w:pPr>
              <w:pStyle w:val="6"/>
              <w:spacing w:line="360" w:lineRule="auto"/>
              <w:jc w:val="left"/>
              <w:rPr>
                <w:color w:val="FF0000"/>
              </w:rPr>
            </w:pPr>
            <w:r>
              <w:rPr>
                <w:color w:val="FF0000"/>
              </w:rPr>
              <w:t>不缴纳</w:t>
            </w:r>
          </w:p>
        </w:tc>
      </w:tr>
    </w:tbl>
    <w:p w14:paraId="28D4041F">
      <w:pPr>
        <w:pStyle w:val="6"/>
        <w:spacing w:line="360" w:lineRule="auto"/>
        <w:jc w:val="left"/>
        <w:rPr>
          <w:color w:val="FF0000"/>
        </w:rPr>
      </w:pPr>
      <w:r>
        <w:rPr>
          <w:color w:val="FF0000"/>
        </w:rPr>
        <w:t>采购包3：</w:t>
      </w:r>
    </w:p>
    <w:tbl>
      <w:tblPr>
        <w:tblStyle w:val="4"/>
        <w:tblW w:w="863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93"/>
        <w:gridCol w:w="1061"/>
        <w:gridCol w:w="2111"/>
        <w:gridCol w:w="4767"/>
      </w:tblGrid>
      <w:tr w14:paraId="66CBA5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3" w:type="dxa"/>
          </w:tcPr>
          <w:p w14:paraId="406F9339">
            <w:pPr>
              <w:pStyle w:val="6"/>
              <w:spacing w:line="360" w:lineRule="auto"/>
              <w:jc w:val="left"/>
              <w:rPr>
                <w:color w:val="FF0000"/>
              </w:rPr>
            </w:pPr>
            <w:r>
              <w:rPr>
                <w:color w:val="FF0000"/>
              </w:rPr>
              <w:t>序号</w:t>
            </w:r>
          </w:p>
        </w:tc>
        <w:tc>
          <w:tcPr>
            <w:tcW w:w="1061" w:type="dxa"/>
          </w:tcPr>
          <w:p w14:paraId="624043D2">
            <w:pPr>
              <w:pStyle w:val="6"/>
              <w:spacing w:line="360" w:lineRule="auto"/>
              <w:jc w:val="left"/>
              <w:rPr>
                <w:color w:val="FF0000"/>
              </w:rPr>
            </w:pPr>
            <w:r>
              <w:rPr>
                <w:color w:val="FF0000"/>
              </w:rPr>
              <w:t>参数性质</w:t>
            </w:r>
          </w:p>
        </w:tc>
        <w:tc>
          <w:tcPr>
            <w:tcW w:w="2111" w:type="dxa"/>
          </w:tcPr>
          <w:p w14:paraId="72349375">
            <w:pPr>
              <w:pStyle w:val="6"/>
              <w:spacing w:line="360" w:lineRule="auto"/>
              <w:jc w:val="left"/>
              <w:rPr>
                <w:color w:val="FF0000"/>
              </w:rPr>
            </w:pPr>
            <w:r>
              <w:rPr>
                <w:color w:val="FF0000"/>
              </w:rPr>
              <w:t>类型</w:t>
            </w:r>
          </w:p>
        </w:tc>
        <w:tc>
          <w:tcPr>
            <w:tcW w:w="4767" w:type="dxa"/>
          </w:tcPr>
          <w:p w14:paraId="421876DB">
            <w:pPr>
              <w:pStyle w:val="6"/>
              <w:spacing w:line="360" w:lineRule="auto"/>
              <w:jc w:val="left"/>
              <w:rPr>
                <w:color w:val="FF0000"/>
              </w:rPr>
            </w:pPr>
            <w:r>
              <w:rPr>
                <w:color w:val="FF0000"/>
              </w:rPr>
              <w:t>要求</w:t>
            </w:r>
          </w:p>
        </w:tc>
      </w:tr>
      <w:tr w14:paraId="4D500E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3" w:type="dxa"/>
          </w:tcPr>
          <w:p w14:paraId="51E80B00">
            <w:pPr>
              <w:pStyle w:val="6"/>
              <w:spacing w:line="360" w:lineRule="auto"/>
              <w:jc w:val="left"/>
              <w:rPr>
                <w:color w:val="FF0000"/>
              </w:rPr>
            </w:pPr>
            <w:r>
              <w:rPr>
                <w:color w:val="FF0000"/>
              </w:rPr>
              <w:t>1</w:t>
            </w:r>
          </w:p>
        </w:tc>
        <w:tc>
          <w:tcPr>
            <w:tcW w:w="1061" w:type="dxa"/>
          </w:tcPr>
          <w:p w14:paraId="0553C38D">
            <w:pPr>
              <w:pStyle w:val="6"/>
              <w:spacing w:line="360" w:lineRule="auto"/>
              <w:jc w:val="left"/>
              <w:rPr>
                <w:color w:val="FF0000"/>
              </w:rPr>
            </w:pPr>
            <w:r>
              <w:rPr>
                <w:color w:val="FF0000"/>
              </w:rPr>
              <w:t>★</w:t>
            </w:r>
          </w:p>
        </w:tc>
        <w:tc>
          <w:tcPr>
            <w:tcW w:w="2111" w:type="dxa"/>
          </w:tcPr>
          <w:p w14:paraId="032B5EA9">
            <w:pPr>
              <w:pStyle w:val="6"/>
              <w:spacing w:line="360" w:lineRule="auto"/>
              <w:jc w:val="left"/>
              <w:rPr>
                <w:color w:val="FF0000"/>
              </w:rPr>
            </w:pPr>
            <w:r>
              <w:rPr>
                <w:color w:val="FF0000"/>
              </w:rPr>
              <w:t>交货时间</w:t>
            </w:r>
          </w:p>
        </w:tc>
        <w:tc>
          <w:tcPr>
            <w:tcW w:w="4767" w:type="dxa"/>
          </w:tcPr>
          <w:p w14:paraId="627C818F">
            <w:pPr>
              <w:pStyle w:val="6"/>
              <w:spacing w:line="360" w:lineRule="auto"/>
              <w:jc w:val="left"/>
              <w:rPr>
                <w:color w:val="FF0000"/>
              </w:rPr>
            </w:pPr>
            <w:r>
              <w:rPr>
                <w:color w:val="FF0000"/>
              </w:rPr>
              <w:t>截止2024年11月30日前，每月需均衡完成抽检任务，并按要求将全部抽检数据报送至“国家食品安全抽样检验信息系统”</w:t>
            </w:r>
          </w:p>
        </w:tc>
      </w:tr>
      <w:tr w14:paraId="1FF2B1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3" w:type="dxa"/>
          </w:tcPr>
          <w:p w14:paraId="03CA54F4">
            <w:pPr>
              <w:pStyle w:val="6"/>
              <w:spacing w:line="360" w:lineRule="auto"/>
              <w:jc w:val="left"/>
              <w:rPr>
                <w:color w:val="FF0000"/>
              </w:rPr>
            </w:pPr>
            <w:r>
              <w:rPr>
                <w:color w:val="FF0000"/>
              </w:rPr>
              <w:t>2</w:t>
            </w:r>
          </w:p>
        </w:tc>
        <w:tc>
          <w:tcPr>
            <w:tcW w:w="1061" w:type="dxa"/>
          </w:tcPr>
          <w:p w14:paraId="288DD7CD">
            <w:pPr>
              <w:pStyle w:val="6"/>
              <w:spacing w:line="360" w:lineRule="auto"/>
              <w:jc w:val="left"/>
              <w:rPr>
                <w:color w:val="FF0000"/>
              </w:rPr>
            </w:pPr>
            <w:r>
              <w:rPr>
                <w:color w:val="FF0000"/>
              </w:rPr>
              <w:t>★</w:t>
            </w:r>
          </w:p>
        </w:tc>
        <w:tc>
          <w:tcPr>
            <w:tcW w:w="2111" w:type="dxa"/>
          </w:tcPr>
          <w:p w14:paraId="748DB3B9">
            <w:pPr>
              <w:pStyle w:val="6"/>
              <w:spacing w:line="360" w:lineRule="auto"/>
              <w:jc w:val="left"/>
              <w:rPr>
                <w:color w:val="FF0000"/>
              </w:rPr>
            </w:pPr>
            <w:r>
              <w:rPr>
                <w:color w:val="FF0000"/>
              </w:rPr>
              <w:t>交货地点</w:t>
            </w:r>
          </w:p>
        </w:tc>
        <w:tc>
          <w:tcPr>
            <w:tcW w:w="4767" w:type="dxa"/>
          </w:tcPr>
          <w:p w14:paraId="05D49B01">
            <w:pPr>
              <w:pStyle w:val="6"/>
              <w:spacing w:line="360" w:lineRule="auto"/>
              <w:jc w:val="left"/>
              <w:rPr>
                <w:color w:val="FF0000"/>
              </w:rPr>
            </w:pPr>
            <w:r>
              <w:rPr>
                <w:color w:val="FF0000"/>
              </w:rPr>
              <w:t>福建省福州市鼓楼区华林路147号</w:t>
            </w:r>
          </w:p>
        </w:tc>
      </w:tr>
      <w:tr w14:paraId="2D0CEC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3" w:type="dxa"/>
          </w:tcPr>
          <w:p w14:paraId="3135D9D4">
            <w:pPr>
              <w:pStyle w:val="6"/>
              <w:spacing w:line="360" w:lineRule="auto"/>
              <w:jc w:val="left"/>
              <w:rPr>
                <w:color w:val="FF0000"/>
              </w:rPr>
            </w:pPr>
            <w:r>
              <w:rPr>
                <w:color w:val="FF0000"/>
              </w:rPr>
              <w:t>3</w:t>
            </w:r>
          </w:p>
        </w:tc>
        <w:tc>
          <w:tcPr>
            <w:tcW w:w="1061" w:type="dxa"/>
          </w:tcPr>
          <w:p w14:paraId="24198796">
            <w:pPr>
              <w:pStyle w:val="6"/>
              <w:spacing w:line="360" w:lineRule="auto"/>
              <w:jc w:val="left"/>
              <w:rPr>
                <w:color w:val="FF0000"/>
              </w:rPr>
            </w:pPr>
            <w:r>
              <w:rPr>
                <w:color w:val="FF0000"/>
              </w:rPr>
              <w:t>★</w:t>
            </w:r>
          </w:p>
        </w:tc>
        <w:tc>
          <w:tcPr>
            <w:tcW w:w="2111" w:type="dxa"/>
          </w:tcPr>
          <w:p w14:paraId="504A0C88">
            <w:pPr>
              <w:pStyle w:val="6"/>
              <w:spacing w:line="360" w:lineRule="auto"/>
              <w:jc w:val="left"/>
              <w:rPr>
                <w:color w:val="FF0000"/>
              </w:rPr>
            </w:pPr>
            <w:r>
              <w:rPr>
                <w:color w:val="FF0000"/>
              </w:rPr>
              <w:t>交货条件</w:t>
            </w:r>
          </w:p>
        </w:tc>
        <w:tc>
          <w:tcPr>
            <w:tcW w:w="4767" w:type="dxa"/>
          </w:tcPr>
          <w:p w14:paraId="303B207B">
            <w:pPr>
              <w:pStyle w:val="6"/>
              <w:spacing w:line="360" w:lineRule="auto"/>
              <w:jc w:val="left"/>
              <w:rPr>
                <w:color w:val="FF0000"/>
              </w:rPr>
            </w:pPr>
            <w:r>
              <w:rPr>
                <w:color w:val="FF0000"/>
              </w:rPr>
              <w:t>采购人验收合格后</w:t>
            </w:r>
          </w:p>
        </w:tc>
      </w:tr>
      <w:tr w14:paraId="41B329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3" w:type="dxa"/>
          </w:tcPr>
          <w:p w14:paraId="67AC8EA7">
            <w:pPr>
              <w:pStyle w:val="6"/>
              <w:spacing w:line="360" w:lineRule="auto"/>
              <w:jc w:val="left"/>
              <w:rPr>
                <w:color w:val="FF0000"/>
              </w:rPr>
            </w:pPr>
            <w:r>
              <w:rPr>
                <w:color w:val="FF0000"/>
              </w:rPr>
              <w:t>4</w:t>
            </w:r>
          </w:p>
        </w:tc>
        <w:tc>
          <w:tcPr>
            <w:tcW w:w="1061" w:type="dxa"/>
          </w:tcPr>
          <w:p w14:paraId="0B68202B">
            <w:pPr>
              <w:pStyle w:val="6"/>
              <w:spacing w:line="360" w:lineRule="auto"/>
              <w:jc w:val="left"/>
              <w:rPr>
                <w:color w:val="FF0000"/>
              </w:rPr>
            </w:pPr>
            <w:r>
              <w:rPr>
                <w:color w:val="FF0000"/>
              </w:rPr>
              <w:t>★</w:t>
            </w:r>
          </w:p>
        </w:tc>
        <w:tc>
          <w:tcPr>
            <w:tcW w:w="2111" w:type="dxa"/>
          </w:tcPr>
          <w:p w14:paraId="0593BBE1">
            <w:pPr>
              <w:pStyle w:val="6"/>
              <w:spacing w:line="360" w:lineRule="auto"/>
              <w:jc w:val="left"/>
              <w:rPr>
                <w:color w:val="FF0000"/>
              </w:rPr>
            </w:pPr>
            <w:r>
              <w:rPr>
                <w:color w:val="FF0000"/>
              </w:rPr>
              <w:t>是否邀请投标人验收</w:t>
            </w:r>
          </w:p>
        </w:tc>
        <w:tc>
          <w:tcPr>
            <w:tcW w:w="4767" w:type="dxa"/>
          </w:tcPr>
          <w:p w14:paraId="4205E855">
            <w:pPr>
              <w:pStyle w:val="6"/>
              <w:spacing w:line="360" w:lineRule="auto"/>
              <w:jc w:val="left"/>
              <w:rPr>
                <w:color w:val="FF0000"/>
              </w:rPr>
            </w:pPr>
            <w:r>
              <w:rPr>
                <w:color w:val="FF0000"/>
              </w:rPr>
              <w:t>不邀请投标人验收</w:t>
            </w:r>
          </w:p>
        </w:tc>
      </w:tr>
      <w:tr w14:paraId="118647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3" w:type="dxa"/>
          </w:tcPr>
          <w:p w14:paraId="59DBB8C8">
            <w:pPr>
              <w:pStyle w:val="6"/>
              <w:spacing w:line="360" w:lineRule="auto"/>
              <w:jc w:val="left"/>
              <w:rPr>
                <w:color w:val="FF0000"/>
              </w:rPr>
            </w:pPr>
            <w:r>
              <w:rPr>
                <w:color w:val="FF0000"/>
              </w:rPr>
              <w:t>5</w:t>
            </w:r>
          </w:p>
        </w:tc>
        <w:tc>
          <w:tcPr>
            <w:tcW w:w="1061" w:type="dxa"/>
          </w:tcPr>
          <w:p w14:paraId="2D6AFB65">
            <w:pPr>
              <w:pStyle w:val="6"/>
              <w:spacing w:line="360" w:lineRule="auto"/>
              <w:jc w:val="left"/>
              <w:rPr>
                <w:color w:val="FF0000"/>
              </w:rPr>
            </w:pPr>
            <w:r>
              <w:rPr>
                <w:color w:val="FF0000"/>
              </w:rPr>
              <w:t>★</w:t>
            </w:r>
          </w:p>
        </w:tc>
        <w:tc>
          <w:tcPr>
            <w:tcW w:w="2111" w:type="dxa"/>
          </w:tcPr>
          <w:p w14:paraId="328D311F">
            <w:pPr>
              <w:pStyle w:val="6"/>
              <w:spacing w:line="360" w:lineRule="auto"/>
              <w:jc w:val="left"/>
              <w:rPr>
                <w:color w:val="FF0000"/>
              </w:rPr>
            </w:pPr>
            <w:r>
              <w:rPr>
                <w:color w:val="FF0000"/>
              </w:rPr>
              <w:t>履约验收方式</w:t>
            </w:r>
          </w:p>
        </w:tc>
        <w:tc>
          <w:tcPr>
            <w:tcW w:w="4767" w:type="dxa"/>
          </w:tcPr>
          <w:p w14:paraId="26880EBB">
            <w:pPr>
              <w:pStyle w:val="6"/>
              <w:spacing w:line="360" w:lineRule="auto"/>
              <w:jc w:val="left"/>
              <w:rPr>
                <w:color w:val="FF0000"/>
              </w:rPr>
            </w:pPr>
            <w:r>
              <w:rPr>
                <w:color w:val="FF0000"/>
              </w:rPr>
              <w:t>1、期次1，说明：按招标文件和合同要求</w:t>
            </w:r>
          </w:p>
        </w:tc>
      </w:tr>
      <w:tr w14:paraId="6FFB96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3" w:type="dxa"/>
          </w:tcPr>
          <w:p w14:paraId="46AEFC04">
            <w:pPr>
              <w:pStyle w:val="6"/>
              <w:spacing w:line="360" w:lineRule="auto"/>
              <w:jc w:val="left"/>
              <w:rPr>
                <w:color w:val="FF0000"/>
              </w:rPr>
            </w:pPr>
            <w:r>
              <w:rPr>
                <w:color w:val="FF0000"/>
              </w:rPr>
              <w:t>6</w:t>
            </w:r>
          </w:p>
        </w:tc>
        <w:tc>
          <w:tcPr>
            <w:tcW w:w="1061" w:type="dxa"/>
          </w:tcPr>
          <w:p w14:paraId="5C4C06F2">
            <w:pPr>
              <w:pStyle w:val="6"/>
              <w:spacing w:line="360" w:lineRule="auto"/>
              <w:jc w:val="left"/>
              <w:rPr>
                <w:color w:val="FF0000"/>
              </w:rPr>
            </w:pPr>
            <w:r>
              <w:rPr>
                <w:color w:val="FF0000"/>
              </w:rPr>
              <w:t>★</w:t>
            </w:r>
          </w:p>
        </w:tc>
        <w:tc>
          <w:tcPr>
            <w:tcW w:w="2111" w:type="dxa"/>
          </w:tcPr>
          <w:p w14:paraId="0AE08647">
            <w:pPr>
              <w:pStyle w:val="6"/>
              <w:spacing w:line="360" w:lineRule="auto"/>
              <w:jc w:val="left"/>
              <w:rPr>
                <w:color w:val="FF0000"/>
              </w:rPr>
            </w:pPr>
            <w:r>
              <w:rPr>
                <w:color w:val="FF0000"/>
              </w:rPr>
              <w:t>合同支付方式</w:t>
            </w:r>
          </w:p>
        </w:tc>
        <w:tc>
          <w:tcPr>
            <w:tcW w:w="4767" w:type="dxa"/>
          </w:tcPr>
          <w:p w14:paraId="116753B3">
            <w:pPr>
              <w:pStyle w:val="6"/>
              <w:spacing w:line="360" w:lineRule="auto"/>
              <w:jc w:val="left"/>
              <w:rPr>
                <w:color w:val="FF0000"/>
              </w:rPr>
            </w:pPr>
            <w:r>
              <w:rPr>
                <w:color w:val="FF0000"/>
              </w:rPr>
              <w:t>1、签订政府采购合同后，达到付款条件起30日内，支付合同总金额的60.00%</w:t>
            </w:r>
          </w:p>
          <w:p w14:paraId="7C5E3F68">
            <w:pPr>
              <w:pStyle w:val="6"/>
              <w:spacing w:line="360" w:lineRule="auto"/>
              <w:jc w:val="left"/>
              <w:rPr>
                <w:color w:val="FF0000"/>
              </w:rPr>
            </w:pPr>
            <w:r>
              <w:rPr>
                <w:color w:val="FF0000"/>
              </w:rPr>
              <w:t>2、项目完成并通过验收后，达到付款条件起30日内，支付合同总金额的40.00%</w:t>
            </w:r>
          </w:p>
        </w:tc>
      </w:tr>
      <w:tr w14:paraId="3EB761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3" w:type="dxa"/>
          </w:tcPr>
          <w:p w14:paraId="436FD9EE">
            <w:pPr>
              <w:pStyle w:val="6"/>
              <w:spacing w:line="360" w:lineRule="auto"/>
              <w:jc w:val="left"/>
              <w:rPr>
                <w:color w:val="FF0000"/>
              </w:rPr>
            </w:pPr>
            <w:r>
              <w:rPr>
                <w:color w:val="FF0000"/>
              </w:rPr>
              <w:t>7</w:t>
            </w:r>
          </w:p>
        </w:tc>
        <w:tc>
          <w:tcPr>
            <w:tcW w:w="1061" w:type="dxa"/>
          </w:tcPr>
          <w:p w14:paraId="4D401FA1">
            <w:pPr>
              <w:pStyle w:val="6"/>
              <w:spacing w:line="360" w:lineRule="auto"/>
              <w:jc w:val="left"/>
              <w:rPr>
                <w:color w:val="FF0000"/>
              </w:rPr>
            </w:pPr>
            <w:r>
              <w:rPr>
                <w:color w:val="FF0000"/>
              </w:rPr>
              <w:t>★</w:t>
            </w:r>
          </w:p>
        </w:tc>
        <w:tc>
          <w:tcPr>
            <w:tcW w:w="2111" w:type="dxa"/>
          </w:tcPr>
          <w:p w14:paraId="78CD70EA">
            <w:pPr>
              <w:pStyle w:val="6"/>
              <w:spacing w:line="360" w:lineRule="auto"/>
              <w:jc w:val="left"/>
              <w:rPr>
                <w:color w:val="FF0000"/>
              </w:rPr>
            </w:pPr>
            <w:r>
              <w:rPr>
                <w:color w:val="FF0000"/>
              </w:rPr>
              <w:t>履约保证金</w:t>
            </w:r>
          </w:p>
        </w:tc>
        <w:tc>
          <w:tcPr>
            <w:tcW w:w="4767" w:type="dxa"/>
          </w:tcPr>
          <w:p w14:paraId="78448150">
            <w:pPr>
              <w:pStyle w:val="6"/>
              <w:spacing w:line="360" w:lineRule="auto"/>
              <w:jc w:val="left"/>
              <w:rPr>
                <w:color w:val="FF0000"/>
              </w:rPr>
            </w:pPr>
            <w:r>
              <w:rPr>
                <w:color w:val="FF0000"/>
              </w:rPr>
              <w:t>不缴纳</w:t>
            </w:r>
          </w:p>
        </w:tc>
      </w:tr>
    </w:tbl>
    <w:p w14:paraId="6EC509E5">
      <w:pPr>
        <w:pStyle w:val="6"/>
        <w:spacing w:line="360" w:lineRule="auto"/>
        <w:jc w:val="left"/>
        <w:rPr>
          <w:color w:val="FF0000"/>
        </w:rPr>
      </w:pPr>
      <w:r>
        <w:rPr>
          <w:color w:val="FF0000"/>
        </w:rPr>
        <w:t>其他商务要求</w:t>
      </w:r>
    </w:p>
    <w:p w14:paraId="4B30F1CF">
      <w:pPr>
        <w:pStyle w:val="6"/>
        <w:spacing w:line="360" w:lineRule="auto"/>
        <w:jc w:val="left"/>
        <w:rPr>
          <w:color w:val="FF0000"/>
        </w:rPr>
      </w:pPr>
      <w:r>
        <w:rPr>
          <w:rFonts w:ascii="宋体" w:hAnsi="宋体" w:eastAsia="宋体" w:cs="宋体"/>
          <w:color w:val="FF0000"/>
          <w:sz w:val="20"/>
          <w:shd w:val="clear" w:fill="FFFFFF"/>
        </w:rPr>
        <w:t>以下条款适用于：采购包1、采购包2、采购包3</w:t>
      </w:r>
    </w:p>
    <w:p w14:paraId="3DF01614">
      <w:pPr>
        <w:pStyle w:val="6"/>
        <w:spacing w:line="360" w:lineRule="auto"/>
        <w:jc w:val="left"/>
        <w:rPr>
          <w:rFonts w:ascii="宋体" w:hAnsi="宋体" w:eastAsia="宋体" w:cs="宋体"/>
          <w:color w:val="FF0000"/>
          <w:sz w:val="20"/>
          <w:shd w:val="clear" w:fill="FFFFFF"/>
        </w:rPr>
      </w:pPr>
      <w:r>
        <w:rPr>
          <w:rFonts w:ascii="宋体" w:hAnsi="宋体" w:eastAsia="宋体" w:cs="宋体"/>
          <w:color w:val="FF0000"/>
          <w:sz w:val="20"/>
          <w:shd w:val="clear" w:fill="FFFFFF"/>
        </w:rPr>
        <w:t>1、违约责任：</w:t>
      </w:r>
    </w:p>
    <w:p w14:paraId="43C3D581">
      <w:pPr>
        <w:pStyle w:val="6"/>
        <w:spacing w:line="360" w:lineRule="auto"/>
        <w:jc w:val="left"/>
        <w:rPr>
          <w:rFonts w:ascii="宋体" w:hAnsi="宋体" w:eastAsia="宋体" w:cs="宋体"/>
          <w:color w:val="FF0000"/>
          <w:sz w:val="20"/>
          <w:shd w:val="clear" w:fill="FFFFFF"/>
        </w:rPr>
      </w:pPr>
      <w:r>
        <w:rPr>
          <w:rFonts w:ascii="宋体" w:hAnsi="宋体" w:eastAsia="宋体" w:cs="宋体"/>
          <w:color w:val="FF0000"/>
          <w:sz w:val="20"/>
          <w:shd w:val="clear" w:fill="FFFFFF"/>
        </w:rPr>
        <w:t>1.1因中标人原因造成采购合同无法按时签订，视为中标人违约，中标人违约对采购人造成的损失的，需另行支付相应的赔偿。</w:t>
      </w:r>
    </w:p>
    <w:p w14:paraId="3305F460">
      <w:pPr>
        <w:pStyle w:val="6"/>
        <w:spacing w:line="360" w:lineRule="auto"/>
        <w:jc w:val="left"/>
        <w:rPr>
          <w:rFonts w:ascii="宋体" w:hAnsi="宋体" w:eastAsia="宋体" w:cs="宋体"/>
          <w:color w:val="FF0000"/>
          <w:sz w:val="20"/>
          <w:shd w:val="clear" w:fill="FFFFFF"/>
        </w:rPr>
      </w:pPr>
      <w:r>
        <w:rPr>
          <w:rFonts w:ascii="宋体" w:hAnsi="宋体" w:eastAsia="宋体" w:cs="宋体"/>
          <w:color w:val="FF0000"/>
          <w:sz w:val="20"/>
          <w:shd w:val="clear" w:fill="FFFFFF"/>
        </w:rPr>
        <w:t>1.2在签订采购合同之后，中标人要求解除合同的，视为中标人违约，对采购人造成的损失的，中标人需支付相应的赔偿。</w:t>
      </w:r>
    </w:p>
    <w:p w14:paraId="66AA36A2">
      <w:pPr>
        <w:pStyle w:val="6"/>
        <w:spacing w:line="360" w:lineRule="auto"/>
        <w:jc w:val="left"/>
        <w:rPr>
          <w:rFonts w:ascii="宋体" w:hAnsi="宋体" w:eastAsia="宋体" w:cs="宋体"/>
          <w:color w:val="FF0000"/>
          <w:sz w:val="20"/>
          <w:shd w:val="clear" w:fill="FFFFFF"/>
        </w:rPr>
      </w:pPr>
      <w:r>
        <w:rPr>
          <w:rFonts w:ascii="宋体" w:hAnsi="宋体" w:eastAsia="宋体" w:cs="宋体"/>
          <w:color w:val="FF0000"/>
          <w:sz w:val="20"/>
          <w:shd w:val="clear" w:fill="FFFFFF"/>
        </w:rPr>
        <w:t>1.3因中标人原因发生重大质量事故，除依约承担赔偿责任外，还将按有关质量管理办法规定执行。同时，采购人有权保留更换中标人的权利，并报相关行政主管部门处罚。</w:t>
      </w:r>
    </w:p>
    <w:p w14:paraId="258166BA">
      <w:pPr>
        <w:pStyle w:val="6"/>
        <w:spacing w:line="360" w:lineRule="auto"/>
        <w:jc w:val="left"/>
        <w:rPr>
          <w:rFonts w:ascii="宋体" w:hAnsi="宋体" w:eastAsia="宋体" w:cs="宋体"/>
          <w:color w:val="FF0000"/>
          <w:sz w:val="20"/>
          <w:shd w:val="clear" w:fill="FFFFFF"/>
        </w:rPr>
      </w:pPr>
      <w:r>
        <w:rPr>
          <w:rFonts w:ascii="宋体" w:hAnsi="宋体" w:eastAsia="宋体" w:cs="宋体"/>
          <w:color w:val="FF0000"/>
          <w:sz w:val="20"/>
          <w:shd w:val="clear" w:fill="FFFFFF"/>
        </w:rPr>
        <w:t>1.4若发生死亡安全事故，除按国家有关安全管理规定及采购人有关安全管理办法执行外，并报相关行政主管部门处罚；发生重大安全事故或特大安全事故，除按国家有关安全管理规定及采购人有关安全管理办法执行外，采购人有权终止合同，给采购人造成的损失，还应承担赔偿责任。</w:t>
      </w:r>
    </w:p>
    <w:p w14:paraId="5105A044">
      <w:pPr>
        <w:pStyle w:val="6"/>
        <w:spacing w:line="360" w:lineRule="auto"/>
        <w:jc w:val="left"/>
        <w:rPr>
          <w:rFonts w:ascii="宋体" w:hAnsi="宋体" w:eastAsia="宋体" w:cs="宋体"/>
          <w:color w:val="FF0000"/>
          <w:sz w:val="20"/>
          <w:shd w:val="clear" w:fill="FFFFFF"/>
        </w:rPr>
      </w:pPr>
      <w:r>
        <w:rPr>
          <w:rFonts w:ascii="宋体" w:hAnsi="宋体" w:eastAsia="宋体" w:cs="宋体"/>
          <w:color w:val="FF0000"/>
          <w:sz w:val="20"/>
          <w:shd w:val="clear" w:fill="FFFFFF"/>
        </w:rPr>
        <w:t>1.5中标人应履行保密责任，不得擅自将该项目相关数据、资料对外发布，遵守相关保密法律法规，若发生泄密的，除依约承担赔偿责任外，还将按有关法律规定执行。</w:t>
      </w:r>
    </w:p>
    <w:p w14:paraId="087CA1BD">
      <w:pPr>
        <w:pStyle w:val="6"/>
        <w:spacing w:line="360" w:lineRule="auto"/>
        <w:jc w:val="left"/>
        <w:rPr>
          <w:rFonts w:ascii="宋体" w:hAnsi="宋体" w:eastAsia="宋体" w:cs="宋体"/>
          <w:color w:val="FF0000"/>
          <w:sz w:val="20"/>
          <w:shd w:val="clear" w:fill="FFFFFF"/>
        </w:rPr>
      </w:pPr>
      <w:r>
        <w:rPr>
          <w:rFonts w:ascii="宋体" w:hAnsi="宋体" w:eastAsia="宋体" w:cs="宋体"/>
          <w:color w:val="FF0000"/>
          <w:sz w:val="20"/>
          <w:shd w:val="clear" w:fill="FFFFFF"/>
        </w:rPr>
        <w:t>1.6在明确违约责任后，中标人应在接到书面通知书起七天内支付违约金、赔偿金等。</w:t>
      </w:r>
    </w:p>
    <w:p w14:paraId="55135921">
      <w:pPr>
        <w:pStyle w:val="6"/>
        <w:spacing w:line="360" w:lineRule="auto"/>
        <w:jc w:val="both"/>
        <w:outlineLvl w:val="2"/>
        <w:rPr>
          <w:color w:val="FF0000"/>
        </w:rPr>
      </w:pPr>
      <w:r>
        <w:rPr>
          <w:b/>
          <w:color w:val="FF0000"/>
          <w:sz w:val="28"/>
        </w:rPr>
        <w:t>四、其他事项</w:t>
      </w:r>
    </w:p>
    <w:p w14:paraId="1DE5A6C0">
      <w:pPr>
        <w:pStyle w:val="6"/>
        <w:spacing w:line="360" w:lineRule="auto"/>
        <w:ind w:firstLine="480"/>
        <w:jc w:val="both"/>
        <w:rPr>
          <w:color w:val="FF0000"/>
        </w:rPr>
      </w:pPr>
      <w:r>
        <w:rPr>
          <w:color w:val="FF0000"/>
        </w:rPr>
        <w:t>1、除招标文件另有规定外，若出现有关法律、法规和规章有强制性规定但招标文件未列明的情形，则投标人应按照有关法律、法规和规章强制性规定执行。</w:t>
      </w:r>
    </w:p>
    <w:p w14:paraId="256C5FFE">
      <w:pPr>
        <w:pStyle w:val="6"/>
        <w:spacing w:line="360" w:lineRule="auto"/>
        <w:ind w:firstLine="480"/>
        <w:jc w:val="both"/>
        <w:rPr>
          <w:color w:val="FF0000"/>
        </w:rPr>
      </w:pPr>
      <w:r>
        <w:rPr>
          <w:color w:val="FF0000"/>
        </w:rPr>
        <w:t>2、其他：</w:t>
      </w:r>
    </w:p>
    <w:p w14:paraId="3F160BD4">
      <w:pPr>
        <w:pStyle w:val="6"/>
        <w:spacing w:line="360" w:lineRule="auto"/>
        <w:ind w:firstLine="480"/>
        <w:jc w:val="both"/>
        <w:rPr>
          <w:color w:val="FF0000"/>
        </w:rPr>
      </w:pPr>
      <w:r>
        <w:rPr>
          <w:color w:val="FF0000"/>
        </w:rPr>
        <w:t>2.1投标人应以包括产品所涉及的有关项目的所有费用进行报价。 2.2请中标人按招标文件规定及时与采购人签订政府采购合同。 2.3投标人须在投标文件中提供“投标人承诺所有投标材料均真实有效。如中标 后在任务实施过程中，业主可对中标人实施监督核查，一旦发现中标人存在虚假应标材料，业主有权利终止合同，并追究相关法律责任”的承诺书（格式自拟），未提供承诺书的将视为无效投标。 2.4投标人须承诺参加采购活动前三年内，投标人不存在被相关行政管理部门认定为提供虚假材料谋取中标的行为。需提供承诺函，否则按无效投标处理。格式自拟</w:t>
      </w:r>
      <w:r>
        <w:rPr>
          <w:rFonts w:hint="eastAsia"/>
          <w:color w:val="FF0000"/>
          <w:lang w:eastAsia="zh-CN"/>
        </w:rPr>
        <w:t>。</w:t>
      </w:r>
      <w:r>
        <w:rPr>
          <w:color w:val="FF0000"/>
        </w:rPr>
        <w:t xml:space="preserve"> 2.5本招标文件未明确的其它约定事项或条款，待采购人与中标人签订合同时，由双方协商订立。</w:t>
      </w:r>
    </w:p>
    <w:p w14:paraId="6032483F">
      <w:pPr>
        <w:pStyle w:val="6"/>
      </w:pPr>
      <w:r>
        <w:t xml:space="preserve"> </w:t>
      </w:r>
      <w:r>
        <w:br w:type="textWrapping"/>
      </w:r>
      <w:r>
        <w:br w:type="page"/>
      </w:r>
    </w:p>
    <w:p w14:paraId="2EA4187E">
      <w:pPr>
        <w:pStyle w:val="6"/>
        <w:jc w:val="center"/>
        <w:outlineLvl w:val="1"/>
      </w:pPr>
      <w:r>
        <w:rPr>
          <w:b/>
          <w:sz w:val="36"/>
        </w:rPr>
        <w:t>第六章 政府采购合同</w:t>
      </w:r>
    </w:p>
    <w:p w14:paraId="40109A71">
      <w:pPr>
        <w:pStyle w:val="6"/>
        <w:jc w:val="center"/>
        <w:outlineLvl w:val="2"/>
      </w:pPr>
      <w:r>
        <w:rPr>
          <w:b/>
          <w:sz w:val="28"/>
        </w:rPr>
        <w:t>参考文本</w:t>
      </w:r>
    </w:p>
    <w:p w14:paraId="0BD09712">
      <w:pPr>
        <w:pStyle w:val="6"/>
        <w:jc w:val="left"/>
      </w:pPr>
      <w:r>
        <w:t>合同编号：</w:t>
      </w:r>
    </w:p>
    <w:p w14:paraId="31EBA8E6">
      <w:pPr>
        <w:pStyle w:val="6"/>
        <w:jc w:val="center"/>
        <w:outlineLvl w:val="1"/>
      </w:pPr>
      <w:r>
        <w:rPr>
          <w:b/>
          <w:sz w:val="36"/>
        </w:rPr>
        <w:t xml:space="preserve"> 福建省政府采购合同（服务类）</w:t>
      </w:r>
    </w:p>
    <w:p w14:paraId="16A2FC95">
      <w:pPr>
        <w:pStyle w:val="6"/>
        <w:jc w:val="center"/>
        <w:outlineLvl w:val="3"/>
      </w:pPr>
      <w:r>
        <w:rPr>
          <w:b/>
          <w:sz w:val="24"/>
        </w:rPr>
        <w:t>编制说明</w:t>
      </w:r>
      <w:r>
        <w:br w:type="textWrapping"/>
      </w:r>
    </w:p>
    <w:p w14:paraId="5405BA01">
      <w:pPr>
        <w:pStyle w:val="6"/>
        <w:jc w:val="left"/>
        <w:outlineLvl w:val="3"/>
      </w:pPr>
      <w:r>
        <w:rPr>
          <w:b/>
          <w:sz w:val="24"/>
        </w:rPr>
        <w:t xml:space="preserve"> 1.签订合同应遵守《中华人民共和国政府采购法》及其实施条例、《中华人民共和国民法典》等法律法规及其他有关规定。</w:t>
      </w:r>
    </w:p>
    <w:p w14:paraId="123043CA">
      <w:pPr>
        <w:pStyle w:val="6"/>
        <w:jc w:val="left"/>
        <w:outlineLvl w:val="3"/>
      </w:pPr>
      <w:r>
        <w:rPr>
          <w:b/>
          <w:sz w:val="24"/>
        </w:rPr>
        <w:t xml:space="preserve"> 2.签订合同时，采购人与中标(成交)人应结合采购文件规定填列相应内容。采购文件已有约定的，双方均不得对约定进行变更或调整；采购文件未作规定的，双方可通过友好协商进行约定。</w:t>
      </w:r>
    </w:p>
    <w:p w14:paraId="24689008">
      <w:pPr>
        <w:pStyle w:val="6"/>
        <w:jc w:val="left"/>
        <w:outlineLvl w:val="3"/>
      </w:pPr>
      <w:r>
        <w:rPr>
          <w:b/>
          <w:sz w:val="24"/>
        </w:rPr>
        <w:t xml:space="preserve"> 3.政府有关主管部门对若干合同有规范文本的，可使用相应合同文本。</w:t>
      </w:r>
    </w:p>
    <w:p w14:paraId="32754BEF">
      <w:pPr>
        <w:pStyle w:val="6"/>
        <w:jc w:val="left"/>
        <w:outlineLvl w:val="3"/>
      </w:pPr>
      <w:r>
        <w:rPr>
          <w:b/>
          <w:sz w:val="24"/>
        </w:rPr>
        <w:t xml:space="preserve"> 4.本合同范本仅供参考，采购人应当根据采购项目的实际需求对合同条款进行修改、补充。</w:t>
      </w:r>
    </w:p>
    <w:p w14:paraId="1FD00ABE">
      <w:pPr>
        <w:pStyle w:val="6"/>
        <w:ind w:left="0"/>
        <w:jc w:val="left"/>
      </w:pPr>
      <w:r>
        <w:t>甲方：</w:t>
      </w:r>
    </w:p>
    <w:p w14:paraId="02458D65">
      <w:pPr>
        <w:pStyle w:val="6"/>
        <w:jc w:val="left"/>
      </w:pPr>
      <w:r>
        <w:t>住所地：________________</w:t>
      </w:r>
    </w:p>
    <w:p w14:paraId="36D20AA3">
      <w:pPr>
        <w:pStyle w:val="6"/>
        <w:jc w:val="left"/>
      </w:pPr>
      <w:r>
        <w:t>联系人：________________</w:t>
      </w:r>
    </w:p>
    <w:p w14:paraId="75513CE1">
      <w:pPr>
        <w:pStyle w:val="6"/>
        <w:jc w:val="left"/>
      </w:pPr>
      <w:r>
        <w:t>联系电话：______________</w:t>
      </w:r>
    </w:p>
    <w:p w14:paraId="6855235A">
      <w:pPr>
        <w:pStyle w:val="6"/>
        <w:jc w:val="left"/>
      </w:pPr>
      <w:r>
        <w:t>传真：________________</w:t>
      </w:r>
    </w:p>
    <w:p w14:paraId="0E266C7F">
      <w:pPr>
        <w:pStyle w:val="6"/>
        <w:jc w:val="left"/>
      </w:pPr>
      <w:r>
        <w:t>电子邮箱：________________</w:t>
      </w:r>
      <w:r>
        <w:br w:type="textWrapping"/>
      </w:r>
    </w:p>
    <w:p w14:paraId="35519919">
      <w:pPr>
        <w:pStyle w:val="6"/>
        <w:ind w:left="0"/>
        <w:jc w:val="left"/>
      </w:pPr>
      <w:r>
        <w:t xml:space="preserve"> 乙方： ________________</w:t>
      </w:r>
    </w:p>
    <w:p w14:paraId="60A75140">
      <w:pPr>
        <w:pStyle w:val="6"/>
        <w:jc w:val="left"/>
      </w:pPr>
      <w:r>
        <w:t xml:space="preserve"> 住所地： ________________</w:t>
      </w:r>
    </w:p>
    <w:p w14:paraId="395F5399">
      <w:pPr>
        <w:pStyle w:val="6"/>
        <w:jc w:val="left"/>
      </w:pPr>
      <w:r>
        <w:t xml:space="preserve"> 联系人：______________</w:t>
      </w:r>
    </w:p>
    <w:p w14:paraId="24D6AA8E">
      <w:pPr>
        <w:pStyle w:val="6"/>
        <w:jc w:val="left"/>
      </w:pPr>
      <w:r>
        <w:t xml:space="preserve"> 联系电话：______________</w:t>
      </w:r>
    </w:p>
    <w:p w14:paraId="5760B25C">
      <w:pPr>
        <w:pStyle w:val="6"/>
        <w:jc w:val="left"/>
      </w:pPr>
      <w:r>
        <w:t xml:space="preserve"> 传真：________________</w:t>
      </w:r>
    </w:p>
    <w:p w14:paraId="09D7FB85">
      <w:pPr>
        <w:pStyle w:val="6"/>
        <w:jc w:val="left"/>
      </w:pPr>
      <w:r>
        <w:t xml:space="preserve"> 电子邮箱：________________</w:t>
      </w:r>
    </w:p>
    <w:p w14:paraId="6FF701E9">
      <w:pPr>
        <w:pStyle w:val="6"/>
        <w:jc w:val="left"/>
      </w:pPr>
      <w:r>
        <w:t>根据项目编号为___________ 的 __________项目（以下简称：“本项目”）的采购结果，遵循平等、自愿、公平和诚实信用的原则，双方签署本合同，具体内容如下：</w:t>
      </w:r>
    </w:p>
    <w:p w14:paraId="53ECEDC5">
      <w:pPr>
        <w:pStyle w:val="6"/>
        <w:jc w:val="left"/>
        <w:outlineLvl w:val="3"/>
      </w:pPr>
      <w:r>
        <w:rPr>
          <w:b/>
          <w:sz w:val="24"/>
        </w:rPr>
        <w:t xml:space="preserve"> 一、合同组成部分</w:t>
      </w:r>
    </w:p>
    <w:p w14:paraId="33E52793">
      <w:pPr>
        <w:pStyle w:val="6"/>
        <w:jc w:val="left"/>
      </w:pPr>
      <w:r>
        <w:t>1.1本合同条款及附件；</w:t>
      </w:r>
    </w:p>
    <w:p w14:paraId="3BBA33F7">
      <w:pPr>
        <w:pStyle w:val="6"/>
        <w:jc w:val="left"/>
      </w:pPr>
      <w:r>
        <w:t>1.2采购文件及其附件、补充文件；</w:t>
      </w:r>
    </w:p>
    <w:p w14:paraId="0533FCE3">
      <w:pPr>
        <w:pStyle w:val="6"/>
        <w:jc w:val="left"/>
      </w:pPr>
      <w:r>
        <w:t>1.3乙方的响应文件及其附件、补充文件；</w:t>
      </w:r>
    </w:p>
    <w:p w14:paraId="71B0A03B">
      <w:pPr>
        <w:pStyle w:val="6"/>
        <w:jc w:val="left"/>
      </w:pPr>
      <w:r>
        <w:t>1.4其他文件或材料：</w:t>
      </w:r>
    </w:p>
    <w:p w14:paraId="5AFEFE9D">
      <w:pPr>
        <w:pStyle w:val="6"/>
        <w:jc w:val="left"/>
        <w:outlineLvl w:val="3"/>
      </w:pPr>
      <w:r>
        <w:rPr>
          <w:b/>
          <w:sz w:val="24"/>
        </w:rPr>
        <w:t xml:space="preserve"> 二、合同标的</w:t>
      </w:r>
      <w:r>
        <w:br w:type="textWrapping"/>
      </w:r>
    </w:p>
    <w:p w14:paraId="3633507B">
      <w:pPr>
        <w:pStyle w:val="6"/>
        <w:jc w:val="left"/>
        <w:outlineLvl w:val="3"/>
      </w:pPr>
      <w:r>
        <w:rPr>
          <w:b/>
          <w:sz w:val="24"/>
        </w:rPr>
        <w:t xml:space="preserve"> 三、价格形式及合同价款</w:t>
      </w:r>
    </w:p>
    <w:p w14:paraId="3EC580B3">
      <w:pPr>
        <w:pStyle w:val="6"/>
        <w:jc w:val="left"/>
        <w:outlineLvl w:val="4"/>
      </w:pPr>
      <w:r>
        <w:rPr>
          <w:b/>
          <w:sz w:val="20"/>
        </w:rPr>
        <w:t xml:space="preserve"> 3.1价格形式</w:t>
      </w:r>
    </w:p>
    <w:p w14:paraId="28803A5E">
      <w:pPr>
        <w:pStyle w:val="6"/>
        <w:jc w:val="left"/>
      </w:pPr>
      <w:r>
        <w:t xml:space="preserve"> 固定单价合同。完成约定服务事项的含税合同单价为：人民币（大写）元（￥ _____________元）。</w:t>
      </w:r>
    </w:p>
    <w:p w14:paraId="2501D6E6">
      <w:pPr>
        <w:pStyle w:val="6"/>
        <w:spacing w:line="300" w:lineRule="auto"/>
        <w:jc w:val="left"/>
      </w:pPr>
      <w:r>
        <w:t xml:space="preserve"> 固定总价合同。完成约定服务事项的含税服务费用为：人民币（大写）元（￥_____________ 元）。</w:t>
      </w:r>
    </w:p>
    <w:p w14:paraId="0ACB1D76">
      <w:pPr>
        <w:pStyle w:val="6"/>
        <w:spacing w:line="300" w:lineRule="auto"/>
        <w:jc w:val="left"/>
      </w:pPr>
      <w:r>
        <w:t xml:space="preserve"> 其他方式。</w:t>
      </w:r>
    </w:p>
    <w:p w14:paraId="5EC4D185">
      <w:pPr>
        <w:pStyle w:val="6"/>
        <w:spacing w:line="300" w:lineRule="auto"/>
        <w:jc w:val="left"/>
        <w:outlineLvl w:val="4"/>
      </w:pPr>
      <w:r>
        <w:rPr>
          <w:b/>
          <w:sz w:val="20"/>
        </w:rPr>
        <w:t xml:space="preserve"> 3.2合同价款包含范围</w:t>
      </w:r>
    </w:p>
    <w:p w14:paraId="13037F81">
      <w:pPr>
        <w:pStyle w:val="6"/>
        <w:jc w:val="left"/>
        <w:outlineLvl w:val="4"/>
      </w:pPr>
      <w:r>
        <w:rPr>
          <w:b/>
          <w:sz w:val="20"/>
        </w:rPr>
        <w:t xml:space="preserve"> 3.3其他需说明的事项：</w:t>
      </w:r>
    </w:p>
    <w:p w14:paraId="65C291F2">
      <w:pPr>
        <w:pStyle w:val="6"/>
        <w:jc w:val="left"/>
        <w:outlineLvl w:val="3"/>
      </w:pPr>
      <w:r>
        <w:rPr>
          <w:b/>
          <w:sz w:val="24"/>
        </w:rPr>
        <w:t xml:space="preserve"> 四、合同标的及服务范围、地点和时间</w:t>
      </w:r>
    </w:p>
    <w:p w14:paraId="4E5F0D0A">
      <w:pPr>
        <w:pStyle w:val="6"/>
        <w:jc w:val="left"/>
      </w:pPr>
      <w:r>
        <w:t xml:space="preserve"> 4.1项目名称： _____________</w:t>
      </w:r>
    </w:p>
    <w:p w14:paraId="36D4549F">
      <w:pPr>
        <w:pStyle w:val="6"/>
        <w:jc w:val="left"/>
      </w:pPr>
      <w:r>
        <w:t xml:space="preserve"> 4.2服务范围：_____________</w:t>
      </w:r>
    </w:p>
    <w:p w14:paraId="60454491">
      <w:pPr>
        <w:pStyle w:val="6"/>
        <w:jc w:val="left"/>
      </w:pPr>
      <w:r>
        <w:t xml:space="preserve"> 4.3服务地点：_____________</w:t>
      </w:r>
    </w:p>
    <w:p w14:paraId="6C3803A8">
      <w:pPr>
        <w:pStyle w:val="6"/>
        <w:jc w:val="left"/>
      </w:pPr>
      <w:r>
        <w:t xml:space="preserve"> 4.4服务完成时间：_____________</w:t>
      </w:r>
    </w:p>
    <w:p w14:paraId="75A83B54">
      <w:pPr>
        <w:pStyle w:val="6"/>
        <w:jc w:val="left"/>
        <w:outlineLvl w:val="3"/>
      </w:pPr>
      <w:r>
        <w:rPr>
          <w:b/>
          <w:sz w:val="24"/>
        </w:rPr>
        <w:t xml:space="preserve"> 五、服务内容、质量标准和要求</w:t>
      </w:r>
    </w:p>
    <w:p w14:paraId="49340FE4">
      <w:pPr>
        <w:pStyle w:val="6"/>
        <w:jc w:val="left"/>
      </w:pPr>
      <w:r>
        <w:t xml:space="preserve"> 5.1服务工作量的计量方式：_____________</w:t>
      </w:r>
    </w:p>
    <w:p w14:paraId="33CC3AC7">
      <w:pPr>
        <w:pStyle w:val="6"/>
        <w:jc w:val="left"/>
      </w:pPr>
      <w:r>
        <w:t xml:space="preserve"> 5.2服务内容：_____________</w:t>
      </w:r>
    </w:p>
    <w:p w14:paraId="2197B40D">
      <w:pPr>
        <w:pStyle w:val="6"/>
        <w:jc w:val="left"/>
      </w:pPr>
      <w:r>
        <w:t xml:space="preserve"> 5.3技术保障、服务人员组成、所涉及的货物的质量标准：</w:t>
      </w:r>
    </w:p>
    <w:p w14:paraId="05623A00">
      <w:pPr>
        <w:pStyle w:val="6"/>
        <w:jc w:val="left"/>
      </w:pPr>
      <w:r>
        <w:t xml:space="preserve"> （1）服务技术保障：_____________</w:t>
      </w:r>
    </w:p>
    <w:p w14:paraId="5A259D5E">
      <w:pPr>
        <w:pStyle w:val="6"/>
        <w:jc w:val="left"/>
      </w:pPr>
      <w:r>
        <w:t xml:space="preserve"> （2）服务人员组成：_____________</w:t>
      </w:r>
    </w:p>
    <w:p w14:paraId="7117D981">
      <w:pPr>
        <w:pStyle w:val="6"/>
        <w:jc w:val="left"/>
      </w:pPr>
      <w:r>
        <w:t xml:space="preserve"> （3）服务设备及物资投入及质量标准：_____________</w:t>
      </w:r>
    </w:p>
    <w:p w14:paraId="2813A8C4">
      <w:pPr>
        <w:pStyle w:val="6"/>
        <w:jc w:val="left"/>
      </w:pPr>
      <w:r>
        <w:t xml:space="preserve"> 5.4服务质量标准及要求：</w:t>
      </w:r>
    </w:p>
    <w:p w14:paraId="7BCC066B">
      <w:pPr>
        <w:pStyle w:val="6"/>
        <w:jc w:val="left"/>
      </w:pPr>
      <w:r>
        <w:t xml:space="preserve"> 5.4.1乙方提供的服务或使用的产品、软件等应符合国家知识产权法律、法规的规定；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14:paraId="13098F2B">
      <w:pPr>
        <w:pStyle w:val="6"/>
        <w:jc w:val="left"/>
      </w:pPr>
      <w:r>
        <w:t xml:space="preserve"> 5.4.2若乙方提供的服务或使用的产品、软件等不符合国家知识产权法律、法规的规定或被有关主管机关认定为侵权或假冒伪劣品，则乙方中标或成交资格将被取消；甲方还将按照有关法律、法规和规章的规定进行处理，具体如下：</w:t>
      </w:r>
    </w:p>
    <w:p w14:paraId="483C942E">
      <w:pPr>
        <w:pStyle w:val="6"/>
        <w:jc w:val="left"/>
      </w:pPr>
      <w:r>
        <w:t xml:space="preserve"> 5.4.3其他要求：</w:t>
      </w:r>
    </w:p>
    <w:p w14:paraId="5E0928F7">
      <w:pPr>
        <w:pStyle w:val="6"/>
        <w:jc w:val="left"/>
        <w:outlineLvl w:val="3"/>
      </w:pPr>
      <w:r>
        <w:rPr>
          <w:b/>
          <w:sz w:val="24"/>
        </w:rPr>
        <w:t xml:space="preserve"> 六、服务履约验收或考核</w:t>
      </w:r>
    </w:p>
    <w:p w14:paraId="4D565EDA">
      <w:pPr>
        <w:pStyle w:val="6"/>
        <w:jc w:val="left"/>
      </w:pPr>
      <w:r>
        <w:t xml:space="preserve"> 甲方按照采购文件、乙方的投标或响应文件和本协议约定的服务内容及质量要求按次组织对乙方所提供服务进行验收，或定期进行服务考核，并根据验收或考核结果支付服务费用。具体如下：</w:t>
      </w:r>
    </w:p>
    <w:p w14:paraId="407C4C82">
      <w:pPr>
        <w:pStyle w:val="6"/>
        <w:jc w:val="left"/>
        <w:outlineLvl w:val="3"/>
      </w:pPr>
      <w:r>
        <w:rPr>
          <w:b/>
          <w:sz w:val="24"/>
        </w:rPr>
        <w:t xml:space="preserve"> 七、甲方的权利与义务</w:t>
      </w:r>
    </w:p>
    <w:p w14:paraId="568A4AA9">
      <w:pPr>
        <w:pStyle w:val="6"/>
        <w:jc w:val="left"/>
      </w:pPr>
      <w:r>
        <w:t xml:space="preserve"> 7.1甲方委派___________为联系人，联系方式 ___________，负责与乙方联系。如甲方联系人发生变更，甲方应书面告知乙方。</w:t>
      </w:r>
    </w:p>
    <w:p w14:paraId="2F4A017B">
      <w:pPr>
        <w:pStyle w:val="6"/>
        <w:jc w:val="left"/>
      </w:pPr>
      <w:r>
        <w:t xml:space="preserve"> 7.2甲方应为乙方开展服务工作提供必要的工作条件，以及对内对外沟通和配合协助。</w:t>
      </w:r>
    </w:p>
    <w:p w14:paraId="2225A154">
      <w:pPr>
        <w:pStyle w:val="6"/>
        <w:jc w:val="left"/>
      </w:pPr>
      <w:r>
        <w:t xml:space="preserve"> 7.3甲方应于___________之前提供服务所需的全部资料，并对所提供材料真实性、完整性、合法性负责。</w:t>
      </w:r>
    </w:p>
    <w:p w14:paraId="1643D3FF">
      <w:pPr>
        <w:pStyle w:val="6"/>
        <w:jc w:val="left"/>
      </w:pPr>
      <w:r>
        <w:t xml:space="preserve"> 7.4甲方应对委托服务事项提出明确、合理的要求，并对乙方开展服务过程中需采购人确认事项及时予以确认。甲方根据乙方服务成果提出的建议、方案所做出的决定而导致的损失，非乙方及其委派人员的过错造成由甲方自行承担。</w:t>
      </w:r>
    </w:p>
    <w:p w14:paraId="0B4D67A1">
      <w:pPr>
        <w:pStyle w:val="6"/>
        <w:jc w:val="left"/>
      </w:pPr>
      <w:r>
        <w:t xml:space="preserve"> 7.5甲方应按本合同约定及时足额支付服务费用及相关费用。</w:t>
      </w:r>
    </w:p>
    <w:p w14:paraId="72C95575">
      <w:pPr>
        <w:pStyle w:val="6"/>
        <w:jc w:val="left"/>
      </w:pPr>
      <w:r>
        <w:t xml:space="preserve"> 7.6其他</w:t>
      </w:r>
    </w:p>
    <w:p w14:paraId="783E894A">
      <w:pPr>
        <w:pStyle w:val="6"/>
        <w:jc w:val="left"/>
        <w:outlineLvl w:val="3"/>
      </w:pPr>
      <w:r>
        <w:rPr>
          <w:b/>
          <w:sz w:val="24"/>
        </w:rPr>
        <w:t xml:space="preserve"> 八、乙方的权利与义务</w:t>
      </w:r>
    </w:p>
    <w:p w14:paraId="1B8213DC">
      <w:pPr>
        <w:pStyle w:val="6"/>
        <w:jc w:val="left"/>
      </w:pPr>
      <w:r>
        <w:t>8.1乙方委派___________为联系人，联系方式 ___________，负责与甲方联系。如乙方联系人发生变更，乙方应书面告知甲方</w:t>
      </w:r>
    </w:p>
    <w:p w14:paraId="59F7E86A">
      <w:pPr>
        <w:pStyle w:val="6"/>
        <w:jc w:val="left"/>
      </w:pPr>
      <w:r>
        <w:t>8.2乙方应国家法律法规和{{乙方的权利与义务-响应要求-福建}}等要求开展{{乙方的权利与义务-开展服务-福建}}服务；</w:t>
      </w:r>
    </w:p>
    <w:p w14:paraId="097D5D27">
      <w:pPr>
        <w:pStyle w:val="6"/>
        <w:jc w:val="left"/>
      </w:pPr>
      <w:r>
        <w:t>8.3乙方及其所委派服务人员应按标准或协议约定方式出具服务成果，并对其真实性和合法性负法律责任；</w:t>
      </w:r>
    </w:p>
    <w:p w14:paraId="1EFC02A0">
      <w:pPr>
        <w:pStyle w:val="6"/>
        <w:jc w:val="left"/>
      </w:pPr>
      <w:r>
        <w:t>8.4乙方对执行业务过程中知悉的国家秘密或甲方的商业秘密保密。除非国家法律法规及行业规范另有规定,或经甲方同意,乙方不得将其知悉的商业秘密和甲方提供的资料对外泄露。</w:t>
      </w:r>
    </w:p>
    <w:p w14:paraId="24E74E45">
      <w:pPr>
        <w:pStyle w:val="6"/>
        <w:jc w:val="left"/>
      </w:pPr>
      <w:r>
        <w:t>8.5乙方对服务业务应当单独建档，保存完整的工作记录，并对服务过程使用和暂存甲方的文件、材料和财物应当妥善保管。</w:t>
      </w:r>
    </w:p>
    <w:p w14:paraId="6D3234DF">
      <w:pPr>
        <w:pStyle w:val="6"/>
        <w:jc w:val="left"/>
      </w:pPr>
      <w:r>
        <w:t>8.6服务工作结束后,乙方将根据情况对甲方服务相关的管理制度及其他事项等提出改进意见。</w:t>
      </w:r>
    </w:p>
    <w:p w14:paraId="22251972">
      <w:pPr>
        <w:pStyle w:val="6"/>
        <w:jc w:val="left"/>
      </w:pPr>
      <w:r>
        <w:t>8.7乙方完全遵守《中华人民共和国劳动合同法》有关规定和《中华人民共和国妇女权益保障法》中关于“劳动和社会保障权益”的有关要求。</w:t>
      </w:r>
    </w:p>
    <w:p w14:paraId="08035584">
      <w:pPr>
        <w:pStyle w:val="6"/>
        <w:jc w:val="left"/>
      </w:pPr>
      <w:r>
        <w:t>8.8其他</w:t>
      </w:r>
    </w:p>
    <w:p w14:paraId="35C8ED9F">
      <w:pPr>
        <w:pStyle w:val="6"/>
        <w:jc w:val="left"/>
        <w:outlineLvl w:val="3"/>
      </w:pPr>
      <w:r>
        <w:rPr>
          <w:b/>
          <w:sz w:val="24"/>
        </w:rPr>
        <w:t xml:space="preserve"> 九、资金支付方式、时间和条件</w:t>
      </w:r>
      <w:r>
        <w:br w:type="textWrapping"/>
      </w:r>
    </w:p>
    <w:p w14:paraId="55FF8C41">
      <w:pPr>
        <w:pStyle w:val="6"/>
        <w:jc w:val="left"/>
        <w:outlineLvl w:val="3"/>
      </w:pPr>
      <w:r>
        <w:rPr>
          <w:b/>
          <w:sz w:val="24"/>
        </w:rPr>
        <w:t xml:space="preserve"> 十、履约保证金</w:t>
      </w:r>
    </w:p>
    <w:p w14:paraId="1498ABFE">
      <w:pPr>
        <w:pStyle w:val="6"/>
        <w:jc w:val="left"/>
      </w:pPr>
      <w:r>
        <w:t xml:space="preserve"> □有，□无。具体如下：（按照采购文件规定填写）。</w:t>
      </w:r>
    </w:p>
    <w:p w14:paraId="65B08C44">
      <w:pPr>
        <w:pStyle w:val="6"/>
        <w:jc w:val="left"/>
      </w:pPr>
      <w:r>
        <w:t>10.1乙方向甲方缴纳人民币 / 元作为本合同的履约保证金。</w:t>
      </w:r>
    </w:p>
    <w:p w14:paraId="00E4B79C">
      <w:pPr>
        <w:pStyle w:val="6"/>
        <w:jc w:val="left"/>
      </w:pPr>
      <w:r>
        <w:t>10.2履约保证金缴纳形式：支票/汇票/电汇/保函等非现金形式。</w:t>
      </w:r>
    </w:p>
    <w:p w14:paraId="1A2118F8">
      <w:pPr>
        <w:pStyle w:val="6"/>
        <w:jc w:val="left"/>
      </w:pPr>
      <w:r>
        <w:t>10.3履约保证金合同履行完毕前有效，合同履行完毕后一次性结清退还。</w:t>
      </w:r>
    </w:p>
    <w:p w14:paraId="28C1CFB1">
      <w:pPr>
        <w:pStyle w:val="6"/>
        <w:jc w:val="left"/>
        <w:outlineLvl w:val="3"/>
      </w:pPr>
      <w:r>
        <w:rPr>
          <w:b/>
          <w:sz w:val="24"/>
        </w:rPr>
        <w:t xml:space="preserve"> 十一、合同期限</w:t>
      </w:r>
      <w:r>
        <w:br w:type="textWrapping"/>
      </w:r>
    </w:p>
    <w:p w14:paraId="1F8A7C46">
      <w:pPr>
        <w:pStyle w:val="6"/>
        <w:jc w:val="left"/>
        <w:outlineLvl w:val="3"/>
      </w:pPr>
      <w:r>
        <w:rPr>
          <w:b/>
          <w:sz w:val="24"/>
        </w:rPr>
        <w:t xml:space="preserve"> 十二、保密条款</w:t>
      </w:r>
    </w:p>
    <w:p w14:paraId="0F32B33A">
      <w:pPr>
        <w:pStyle w:val="6"/>
        <w:jc w:val="left"/>
      </w:pPr>
      <w:r>
        <w:t>12.1对于在采购和合同履行过程中所获悉的属于保密的内容，甲、乙双方均负有保密义务。</w:t>
      </w:r>
    </w:p>
    <w:p w14:paraId="2BF2F018">
      <w:pPr>
        <w:pStyle w:val="6"/>
        <w:jc w:val="left"/>
      </w:pPr>
      <w:r>
        <w:t>12.2其他</w:t>
      </w:r>
    </w:p>
    <w:p w14:paraId="5DAFFFB7">
      <w:pPr>
        <w:pStyle w:val="6"/>
        <w:jc w:val="left"/>
        <w:outlineLvl w:val="3"/>
      </w:pPr>
      <w:r>
        <w:rPr>
          <w:b/>
          <w:sz w:val="24"/>
        </w:rPr>
        <w:t xml:space="preserve"> 十三、违约责任</w:t>
      </w:r>
    </w:p>
    <w:p w14:paraId="24116348">
      <w:pPr>
        <w:pStyle w:val="6"/>
        <w:jc w:val="left"/>
      </w:pPr>
      <w:r>
        <w:t>13.1甲方违约责任</w:t>
      </w:r>
    </w:p>
    <w:p w14:paraId="3879C9C1">
      <w:pPr>
        <w:pStyle w:val="6"/>
        <w:jc w:val="left"/>
      </w:pPr>
      <w:r>
        <w:t>（1）甲方无正当理由拒绝乙方提供合格服务的，甲方应向乙方偿付所拒收合同总价________的违约金</w:t>
      </w:r>
    </w:p>
    <w:p w14:paraId="669AA0AB">
      <w:pPr>
        <w:pStyle w:val="6"/>
        <w:jc w:val="left"/>
      </w:pPr>
      <w:r>
        <w:t>（2）甲方无故逾期验收和办理合同款项支付手续的,甲方应按逾期付款总额每日________向乙方支付违约金。</w:t>
      </w:r>
    </w:p>
    <w:p w14:paraId="2A8BDB18">
      <w:pPr>
        <w:pStyle w:val="6"/>
        <w:jc w:val="left"/>
      </w:pPr>
      <w:r>
        <w:t>（3）其他违约情形</w:t>
      </w:r>
    </w:p>
    <w:p w14:paraId="379AC7CB">
      <w:pPr>
        <w:pStyle w:val="6"/>
        <w:jc w:val="left"/>
      </w:pPr>
      <w:r>
        <w:t>13.2乙方违约责任</w:t>
      </w:r>
    </w:p>
    <w:p w14:paraId="12688C44">
      <w:pPr>
        <w:pStyle w:val="6"/>
        <w:jc w:val="left"/>
      </w:pPr>
      <w:r>
        <w:t>（1）乙方逾期履行服务的，乙方应按逾期交付总额每日________向甲方支付违约金，由甲方从待付货款中扣除。乙方无正当理由逾期超过约定日期________仍不能交付的，视为“乙方不按合同约定履约”；</w:t>
      </w:r>
    </w:p>
    <w:p w14:paraId="0B79A0D3">
      <w:pPr>
        <w:pStyle w:val="6"/>
        <w:jc w:val="left"/>
      </w:pPr>
      <w:r>
        <w:t>（2）乙方所履行的服务不符合合同规定及《采购文件》规定标准的，甲方有权拒绝，乙方愿意整改但逾期履行的，按乙方逾期履行处理。乙方拒绝整改的，视为“乙方不按合同约定履约”</w:t>
      </w:r>
    </w:p>
    <w:p w14:paraId="28924CC8">
      <w:pPr>
        <w:pStyle w:val="6"/>
        <w:jc w:val="left"/>
      </w:pPr>
      <w:r>
        <w:t>（3）乙方不按合同约定履约的，甲方可以解除采购合同，并对乙方已缴纳的履约保证金作“不予退还”处理。同时，乙方须按以下约定向甲方支付违约金：</w:t>
      </w:r>
    </w:p>
    <w:p w14:paraId="6B46072A">
      <w:pPr>
        <w:pStyle w:val="6"/>
        <w:jc w:val="left"/>
      </w:pPr>
      <w:r>
        <w:t>（4）其他违约情形</w:t>
      </w:r>
    </w:p>
    <w:p w14:paraId="528D4717">
      <w:pPr>
        <w:pStyle w:val="6"/>
        <w:jc w:val="left"/>
        <w:outlineLvl w:val="3"/>
      </w:pPr>
      <w:r>
        <w:rPr>
          <w:b/>
          <w:sz w:val="24"/>
        </w:rPr>
        <w:t xml:space="preserve"> 十四、不可抗力事件处理</w:t>
      </w:r>
    </w:p>
    <w:p w14:paraId="0E8052DC">
      <w:pPr>
        <w:pStyle w:val="6"/>
        <w:jc w:val="left"/>
      </w:pPr>
      <w: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14:paraId="7F7F9F89">
      <w:pPr>
        <w:pStyle w:val="6"/>
        <w:jc w:val="left"/>
        <w:outlineLvl w:val="3"/>
      </w:pPr>
      <w:r>
        <w:rPr>
          <w:b/>
          <w:sz w:val="24"/>
        </w:rPr>
        <w:t xml:space="preserve"> 十五、解决争议的方法</w:t>
      </w:r>
    </w:p>
    <w:p w14:paraId="6FB5A11A">
      <w:pPr>
        <w:pStyle w:val="6"/>
        <w:jc w:val="left"/>
      </w:pPr>
      <w:r>
        <w:t>15.1甲、乙双方协商解决。</w:t>
      </w:r>
    </w:p>
    <w:p w14:paraId="2A982114">
      <w:pPr>
        <w:pStyle w:val="6"/>
        <w:jc w:val="left"/>
      </w:pPr>
      <w:r>
        <w:t>15.2若协商解决不成，双方明确按以下第_种方式解决：</w:t>
      </w:r>
    </w:p>
    <w:p w14:paraId="6677A1EC">
      <w:pPr>
        <w:pStyle w:val="6"/>
        <w:jc w:val="left"/>
      </w:pPr>
      <w:r>
        <w:t xml:space="preserve"> 1、提交仲裁委员会仲裁，具体如下：</w:t>
      </w:r>
    </w:p>
    <w:p w14:paraId="227777F3">
      <w:pPr>
        <w:pStyle w:val="6"/>
        <w:spacing w:line="300" w:lineRule="auto"/>
        <w:jc w:val="left"/>
      </w:pPr>
      <w:r>
        <w:t xml:space="preserve"> 2、向人民法院提起诉讼。</w:t>
      </w:r>
    </w:p>
    <w:p w14:paraId="6F51278B">
      <w:pPr>
        <w:pStyle w:val="6"/>
        <w:jc w:val="left"/>
        <w:outlineLvl w:val="3"/>
      </w:pPr>
      <w:r>
        <w:rPr>
          <w:b/>
          <w:sz w:val="24"/>
        </w:rPr>
        <w:t xml:space="preserve"> 十六、合同其他条款</w:t>
      </w:r>
      <w:r>
        <w:br w:type="textWrapping"/>
      </w:r>
    </w:p>
    <w:p w14:paraId="2F6EF0D5">
      <w:pPr>
        <w:pStyle w:val="6"/>
        <w:jc w:val="left"/>
        <w:outlineLvl w:val="3"/>
      </w:pPr>
      <w:r>
        <w:rPr>
          <w:b/>
          <w:sz w:val="24"/>
        </w:rPr>
        <w:t xml:space="preserve"> 十七、其他约定</w:t>
      </w:r>
    </w:p>
    <w:p w14:paraId="31CD77BA">
      <w:pPr>
        <w:pStyle w:val="6"/>
        <w:jc w:val="left"/>
      </w:pPr>
      <w:r>
        <w:t>17.1合同文件与本合同具有同等法律效力。</w:t>
      </w:r>
    </w:p>
    <w:p w14:paraId="0CBEF672">
      <w:pPr>
        <w:pStyle w:val="6"/>
        <w:jc w:val="left"/>
      </w:pPr>
      <w:r>
        <w:t>17.2合同生效：合同经双方法定代表人或委托代理人签字并加盖单位公章后生效；通过福建省政府采购网上公开信息系统采用电子形式签订合同的，签订之日以系统记载的双方使用各自CA证书在合同上加盖单位公章或合同章的日期中的最晚时间为准。</w:t>
      </w:r>
    </w:p>
    <w:p w14:paraId="7FD33D62">
      <w:pPr>
        <w:pStyle w:val="6"/>
        <w:jc w:val="left"/>
      </w:pPr>
      <w:r>
        <w:t>17.3本合同未尽事宜，遵照《中华人民共和国民法典》有关条文执行。</w:t>
      </w:r>
    </w:p>
    <w:p w14:paraId="2529E83F">
      <w:pPr>
        <w:pStyle w:val="6"/>
        <w:jc w:val="left"/>
      </w:pPr>
      <w:r>
        <w:t>17.4本合同正本一式_______份，具有同等法律效力，甲方、乙方各执_______份；副本_______份，_______</w:t>
      </w:r>
    </w:p>
    <w:p w14:paraId="7EC4B5BC">
      <w:pPr>
        <w:pStyle w:val="6"/>
        <w:jc w:val="left"/>
      </w:pPr>
      <w:r>
        <w:t>17.5本合同已用于政府采购合同融资，为本项目提供合同融资的金融机构为：_______，甲方应及时将资金支付到本合同乙方账号。</w:t>
      </w:r>
    </w:p>
    <w:p w14:paraId="0B0443CC">
      <w:pPr>
        <w:pStyle w:val="6"/>
        <w:jc w:val="left"/>
      </w:pPr>
      <w:r>
        <w:t>中标（成交）供应商应于采购合同签订之日起_______内，向发放政采贷的金融机构提交政府采购中标（成交）通知书和政府采购合同，贷款金额以政府采购合同金额为限。</w:t>
      </w:r>
    </w:p>
    <w:p w14:paraId="5DD54F7E">
      <w:pPr>
        <w:pStyle w:val="6"/>
        <w:jc w:val="left"/>
      </w:pPr>
      <w:r>
        <w:t>17.6其他</w:t>
      </w:r>
    </w:p>
    <w:p w14:paraId="796AB998">
      <w:pPr>
        <w:pStyle w:val="6"/>
        <w:jc w:val="left"/>
        <w:outlineLvl w:val="3"/>
      </w:pPr>
      <w:r>
        <w:rPr>
          <w:b/>
          <w:sz w:val="24"/>
        </w:rPr>
        <w:t xml:space="preserve"> 十八、合同附件</w:t>
      </w:r>
      <w:r>
        <w:br w:type="textWrapping"/>
      </w:r>
      <w:r>
        <w:br w:type="textWrapping"/>
      </w:r>
    </w:p>
    <w:p w14:paraId="430B3D19">
      <w:pPr>
        <w:pStyle w:val="6"/>
        <w:jc w:val="left"/>
      </w:pPr>
      <w:r>
        <w:t xml:space="preserve"> 甲方（采购人）：</w:t>
      </w:r>
    </w:p>
    <w:p w14:paraId="48B5A6DD">
      <w:pPr>
        <w:pStyle w:val="6"/>
        <w:jc w:val="left"/>
      </w:pPr>
      <w:r>
        <w:t xml:space="preserve"> 法定（授权）代表人：</w:t>
      </w:r>
    </w:p>
    <w:p w14:paraId="171A9E63">
      <w:pPr>
        <w:pStyle w:val="6"/>
        <w:jc w:val="left"/>
      </w:pPr>
      <w:r>
        <w:t xml:space="preserve"> 纳税人识别号：</w:t>
      </w:r>
    </w:p>
    <w:p w14:paraId="546E7204">
      <w:pPr>
        <w:pStyle w:val="6"/>
        <w:jc w:val="left"/>
      </w:pPr>
      <w:r>
        <w:t xml:space="preserve"> 开户银行：</w:t>
      </w:r>
    </w:p>
    <w:p w14:paraId="77C80CA8">
      <w:pPr>
        <w:pStyle w:val="6"/>
        <w:jc w:val="left"/>
      </w:pPr>
      <w:r>
        <w:t xml:space="preserve"> 账号：</w:t>
      </w:r>
    </w:p>
    <w:p w14:paraId="3F112A79">
      <w:pPr>
        <w:pStyle w:val="6"/>
        <w:jc w:val="left"/>
      </w:pPr>
      <w:r>
        <w:t xml:space="preserve"> 乙方（中标或成交人）：</w:t>
      </w:r>
    </w:p>
    <w:p w14:paraId="595EB90A">
      <w:pPr>
        <w:pStyle w:val="6"/>
        <w:jc w:val="left"/>
      </w:pPr>
      <w:r>
        <w:t xml:space="preserve"> 法定（授权）代表人：</w:t>
      </w:r>
    </w:p>
    <w:p w14:paraId="56088416">
      <w:pPr>
        <w:pStyle w:val="6"/>
        <w:jc w:val="left"/>
      </w:pPr>
      <w:r>
        <w:t xml:space="preserve"> 纳税人识别号：</w:t>
      </w:r>
    </w:p>
    <w:p w14:paraId="461E81AD">
      <w:pPr>
        <w:pStyle w:val="6"/>
        <w:jc w:val="left"/>
      </w:pPr>
      <w:r>
        <w:t xml:space="preserve"> 开户银行：</w:t>
      </w:r>
    </w:p>
    <w:p w14:paraId="5A79C0BB">
      <w:pPr>
        <w:pStyle w:val="6"/>
        <w:jc w:val="left"/>
      </w:pPr>
      <w:r>
        <w:t xml:space="preserve"> 账号：</w:t>
      </w:r>
    </w:p>
    <w:p w14:paraId="3D552F9E">
      <w:pPr>
        <w:pStyle w:val="6"/>
        <w:jc w:val="left"/>
      </w:pPr>
      <w:r>
        <w:t>签订地点：_____________</w:t>
      </w:r>
    </w:p>
    <w:p w14:paraId="57F77CE0">
      <w:pPr>
        <w:pStyle w:val="6"/>
        <w:jc w:val="left"/>
      </w:pPr>
      <w:r>
        <w:t>签订日期：____年___月___日</w:t>
      </w:r>
    </w:p>
    <w:p w14:paraId="4199003B">
      <w:pPr>
        <w:pStyle w:val="6"/>
      </w:pPr>
      <w:r>
        <w:t xml:space="preserve"> </w:t>
      </w:r>
      <w:r>
        <w:br w:type="textWrapping"/>
      </w:r>
      <w:r>
        <w:br w:type="page"/>
      </w:r>
    </w:p>
    <w:p w14:paraId="616E2C55">
      <w:pPr>
        <w:pStyle w:val="6"/>
        <w:jc w:val="center"/>
        <w:outlineLvl w:val="1"/>
      </w:pPr>
      <w:r>
        <w:rPr>
          <w:b/>
          <w:sz w:val="36"/>
        </w:rPr>
        <w:t>第七章 电子投标文件格式</w:t>
      </w:r>
    </w:p>
    <w:p w14:paraId="4A104F29">
      <w:pPr>
        <w:pStyle w:val="6"/>
        <w:jc w:val="center"/>
        <w:outlineLvl w:val="2"/>
      </w:pPr>
      <w:r>
        <w:rPr>
          <w:b/>
          <w:sz w:val="28"/>
        </w:rPr>
        <w:t>编制说明</w:t>
      </w:r>
    </w:p>
    <w:p w14:paraId="793822A3">
      <w:pPr>
        <w:pStyle w:val="6"/>
        <w:ind w:firstLine="480"/>
        <w:jc w:val="left"/>
      </w:pPr>
      <w:r>
        <w:t>1、除招标文件另有规定外，本章中：</w:t>
      </w:r>
    </w:p>
    <w:p w14:paraId="12D93941">
      <w:pPr>
        <w:pStyle w:val="6"/>
        <w:ind w:firstLine="480"/>
        <w:jc w:val="left"/>
      </w:pPr>
      <w:r>
        <w:t>1.1涉及投标人的“全称”：</w:t>
      </w:r>
    </w:p>
    <w:p w14:paraId="3259787E">
      <w:pPr>
        <w:pStyle w:val="6"/>
        <w:ind w:firstLine="480"/>
        <w:jc w:val="left"/>
      </w:pPr>
      <w:r>
        <w:t>（1）不接受联合体投标的，指投标人的全称。</w:t>
      </w:r>
    </w:p>
    <w:p w14:paraId="1A91776B">
      <w:pPr>
        <w:pStyle w:val="6"/>
        <w:ind w:firstLine="480"/>
        <w:jc w:val="left"/>
      </w:pPr>
      <w:r>
        <w:t>（2）接受联合体投标且投标人为联合体的，指牵头方的全称并加注（联合体牵头方），即应表述为：“牵头方的全称（联合体牵头方）”。</w:t>
      </w:r>
    </w:p>
    <w:p w14:paraId="49819101">
      <w:pPr>
        <w:pStyle w:val="6"/>
        <w:ind w:firstLine="480"/>
        <w:jc w:val="left"/>
      </w:pPr>
      <w:r>
        <w:t>1.2涉及投标人“加盖单位公章”：</w:t>
      </w:r>
    </w:p>
    <w:p w14:paraId="5E8DBC8D">
      <w:pPr>
        <w:pStyle w:val="6"/>
        <w:ind w:firstLine="480"/>
        <w:jc w:val="left"/>
      </w:pPr>
      <w:r>
        <w:t>（1）不接受联合体投标的，指加盖投标人的单位公章。</w:t>
      </w:r>
    </w:p>
    <w:p w14:paraId="18CB30EC">
      <w:pPr>
        <w:pStyle w:val="6"/>
        <w:ind w:firstLine="480"/>
        <w:jc w:val="left"/>
      </w:pPr>
      <w:r>
        <w:t>（2）接受联合体投标且投标人为联合体的，指加盖联合体牵头方的单位公章。</w:t>
      </w:r>
    </w:p>
    <w:p w14:paraId="2A529911">
      <w:pPr>
        <w:pStyle w:val="6"/>
        <w:ind w:firstLine="480"/>
        <w:jc w:val="left"/>
      </w:pPr>
      <w:r>
        <w:t>1.3涉及“投标人代表签字”：</w:t>
      </w:r>
    </w:p>
    <w:p w14:paraId="0A273391">
      <w:pPr>
        <w:pStyle w:val="6"/>
        <w:ind w:firstLine="480"/>
        <w:jc w:val="left"/>
      </w:pPr>
      <w:r>
        <w:t>（1）不接受联合体投标的，指由投标人的单位负责人或其授权的委托代理人签字，由委托代理人签字的，应提供“单位授权书”。</w:t>
      </w:r>
    </w:p>
    <w:p w14:paraId="15BC6E33">
      <w:pPr>
        <w:pStyle w:val="6"/>
        <w:ind w:firstLine="480"/>
        <w:jc w:val="left"/>
      </w:pPr>
      <w:r>
        <w:t>（2）接受联合体投标且投标人为联合体的，指由联合体牵头方的单位负责人或其授权的委托代理人签字，由委托代理人签字的，应提供“单位授权书”。</w:t>
      </w:r>
    </w:p>
    <w:p w14:paraId="7F89E006">
      <w:pPr>
        <w:pStyle w:val="6"/>
        <w:ind w:firstLine="480"/>
        <w:jc w:val="left"/>
      </w:pPr>
      <w:r>
        <w:t>1.4“其他组织”指合伙企业、非企业专业服务机构、个体工商户、农村承包经营户等。</w:t>
      </w:r>
    </w:p>
    <w:p w14:paraId="2739B454">
      <w:pPr>
        <w:pStyle w:val="6"/>
        <w:ind w:firstLine="480"/>
        <w:jc w:val="left"/>
      </w:pPr>
      <w:r>
        <w:t>1.5“自然人”指具有完全民事行为能力、能够承担民事责任和义务的中国公民。</w:t>
      </w:r>
    </w:p>
    <w:p w14:paraId="134252BE">
      <w:pPr>
        <w:pStyle w:val="6"/>
        <w:ind w:firstLine="480"/>
        <w:jc w:val="left"/>
      </w:pPr>
      <w:r>
        <w:t>2、除招标文件另有规定外，本章中“投标人的资格及资信证明文件”：</w:t>
      </w:r>
    </w:p>
    <w:p w14:paraId="42D058E0">
      <w:pPr>
        <w:pStyle w:val="6"/>
        <w:ind w:firstLine="480"/>
        <w:jc w:val="left"/>
      </w:pPr>
      <w:r>
        <w:t>2.1投标人应按照招标文件第四章第1.3条第（2）款规定及本章规定进行编制，如有必要，可增加附页，附页作为资格及资信文件的组成部分。</w:t>
      </w:r>
    </w:p>
    <w:p w14:paraId="636FF58D">
      <w:pPr>
        <w:pStyle w:val="6"/>
        <w:ind w:firstLine="480"/>
        <w:jc w:val="left"/>
      </w:pPr>
      <w:r>
        <w:t>2.2接受联合体投标且投标人为联合体的，联合体中的各方均应按照本章第2.1条规定提交相应的全部资料。</w:t>
      </w:r>
    </w:p>
    <w:p w14:paraId="5941BAE4">
      <w:pPr>
        <w:pStyle w:val="6"/>
        <w:ind w:firstLine="480"/>
        <w:jc w:val="left"/>
      </w:pPr>
      <w:r>
        <w:t>3、投标人对电子投标文件的索引应编制页码。</w:t>
      </w:r>
    </w:p>
    <w:p w14:paraId="44FF7BFA">
      <w:pPr>
        <w:pStyle w:val="6"/>
        <w:ind w:firstLine="480"/>
        <w:jc w:val="left"/>
      </w:pPr>
      <w:r>
        <w:t>4、本章提供格式仅供参考，投标人应根据自身实际情况制作电子投标文件。</w:t>
      </w:r>
    </w:p>
    <w:p w14:paraId="419DEA87">
      <w:pPr>
        <w:pStyle w:val="6"/>
      </w:pPr>
      <w:r>
        <w:t xml:space="preserve"> </w:t>
      </w:r>
      <w:r>
        <w:br w:type="textWrapping"/>
      </w:r>
      <w:r>
        <w:br w:type="page"/>
      </w:r>
    </w:p>
    <w:p w14:paraId="108EE68F">
      <w:pPr>
        <w:pStyle w:val="6"/>
        <w:jc w:val="center"/>
        <w:outlineLvl w:val="2"/>
      </w:pPr>
      <w:r>
        <w:rPr>
          <w:b/>
          <w:sz w:val="28"/>
        </w:rPr>
        <w:t>封面格式(资格及资信证明部分)</w:t>
      </w:r>
    </w:p>
    <w:p w14:paraId="26F7C7AB">
      <w:pPr>
        <w:pStyle w:val="6"/>
        <w:jc w:val="center"/>
        <w:outlineLvl w:val="0"/>
      </w:pPr>
      <w:r>
        <w:rPr>
          <w:b/>
          <w:sz w:val="48"/>
        </w:rPr>
        <w:t>福建省政府采购投标文件</w:t>
      </w:r>
    </w:p>
    <w:p w14:paraId="2B481E15">
      <w:pPr>
        <w:pStyle w:val="6"/>
        <w:jc w:val="center"/>
        <w:outlineLvl w:val="0"/>
      </w:pPr>
      <w:r>
        <w:rPr>
          <w:b/>
          <w:sz w:val="48"/>
        </w:rPr>
        <w:t>（资格及资信证明部分）</w:t>
      </w:r>
      <w:r>
        <w:br w:type="textWrapping"/>
      </w:r>
      <w:r>
        <w:br w:type="textWrapping"/>
      </w:r>
      <w:r>
        <w:br w:type="textWrapping"/>
      </w:r>
    </w:p>
    <w:p w14:paraId="17E143C2">
      <w:pPr>
        <w:pStyle w:val="6"/>
        <w:jc w:val="center"/>
        <w:outlineLvl w:val="1"/>
      </w:pPr>
      <w:r>
        <w:rPr>
          <w:b/>
          <w:sz w:val="36"/>
        </w:rPr>
        <w:t>（填写正本或副本）</w:t>
      </w:r>
      <w:r>
        <w:br w:type="textWrapping"/>
      </w:r>
      <w:r>
        <w:br w:type="textWrapping"/>
      </w:r>
      <w:r>
        <w:br w:type="textWrapping"/>
      </w:r>
      <w:r>
        <w:br w:type="textWrapping"/>
      </w:r>
      <w:r>
        <w:br w:type="textWrapping"/>
      </w:r>
    </w:p>
    <w:p w14:paraId="01079F8A">
      <w:pPr>
        <w:pStyle w:val="6"/>
        <w:jc w:val="center"/>
        <w:outlineLvl w:val="2"/>
      </w:pPr>
      <w:r>
        <w:rPr>
          <w:b/>
          <w:sz w:val="28"/>
        </w:rPr>
        <w:t>（项目名称：（由投标人填写）</w:t>
      </w:r>
    </w:p>
    <w:p w14:paraId="5C2B8DC3">
      <w:pPr>
        <w:pStyle w:val="6"/>
        <w:jc w:val="center"/>
        <w:outlineLvl w:val="2"/>
      </w:pPr>
      <w:r>
        <w:rPr>
          <w:b/>
          <w:sz w:val="28"/>
        </w:rPr>
        <w:t>（备案编号：（由投标人填写）</w:t>
      </w:r>
    </w:p>
    <w:p w14:paraId="35F998C4">
      <w:pPr>
        <w:pStyle w:val="6"/>
        <w:jc w:val="center"/>
        <w:outlineLvl w:val="2"/>
      </w:pPr>
      <w:r>
        <w:rPr>
          <w:b/>
          <w:sz w:val="28"/>
        </w:rPr>
        <w:t>（项目编号：（由投标人填写）</w:t>
      </w:r>
    </w:p>
    <w:p w14:paraId="2D217F60">
      <w:pPr>
        <w:pStyle w:val="6"/>
        <w:jc w:val="center"/>
        <w:outlineLvl w:val="2"/>
      </w:pPr>
      <w:r>
        <w:rPr>
          <w:b/>
          <w:sz w:val="28"/>
        </w:rPr>
        <w:t>（所投采购包：（由投标人填写）</w:t>
      </w:r>
      <w:r>
        <w:br w:type="textWrapping"/>
      </w:r>
      <w:r>
        <w:br w:type="textWrapping"/>
      </w:r>
    </w:p>
    <w:p w14:paraId="70839D8D">
      <w:pPr>
        <w:pStyle w:val="6"/>
        <w:jc w:val="center"/>
        <w:outlineLvl w:val="2"/>
      </w:pPr>
      <w:r>
        <w:rPr>
          <w:b/>
          <w:sz w:val="28"/>
        </w:rPr>
        <w:t>投标人：（填写“全称”）</w:t>
      </w:r>
    </w:p>
    <w:p w14:paraId="0DB89404">
      <w:pPr>
        <w:pStyle w:val="6"/>
        <w:jc w:val="center"/>
        <w:outlineLvl w:val="2"/>
      </w:pPr>
      <w:r>
        <w:rPr>
          <w:b/>
          <w:sz w:val="28"/>
        </w:rPr>
        <w:t>（由投标人填写）年（由投标人填写）月</w:t>
      </w:r>
    </w:p>
    <w:p w14:paraId="47BFE784">
      <w:pPr>
        <w:pStyle w:val="6"/>
      </w:pPr>
      <w:r>
        <w:t xml:space="preserve"> </w:t>
      </w:r>
      <w:r>
        <w:br w:type="textWrapping"/>
      </w:r>
      <w:r>
        <w:br w:type="page"/>
      </w:r>
    </w:p>
    <w:p w14:paraId="72FF913B">
      <w:pPr>
        <w:pStyle w:val="6"/>
        <w:jc w:val="center"/>
        <w:outlineLvl w:val="2"/>
      </w:pPr>
      <w:r>
        <w:rPr>
          <w:b/>
          <w:sz w:val="28"/>
        </w:rPr>
        <w:t>索引</w:t>
      </w:r>
    </w:p>
    <w:p w14:paraId="6F9409D9">
      <w:pPr>
        <w:pStyle w:val="6"/>
        <w:ind w:firstLine="480"/>
        <w:jc w:val="left"/>
      </w:pPr>
      <w:r>
        <w:t>一、投标函</w:t>
      </w:r>
    </w:p>
    <w:p w14:paraId="4CEE7A3C">
      <w:pPr>
        <w:pStyle w:val="6"/>
        <w:ind w:firstLine="480"/>
        <w:jc w:val="left"/>
      </w:pPr>
      <w:r>
        <w:t>二、投标人的资格及资信证明文件</w:t>
      </w:r>
    </w:p>
    <w:p w14:paraId="5F7172DD">
      <w:pPr>
        <w:pStyle w:val="6"/>
        <w:ind w:firstLine="480"/>
        <w:jc w:val="left"/>
      </w:pPr>
      <w:r>
        <w:t>三、投标保证金</w:t>
      </w:r>
    </w:p>
    <w:p w14:paraId="192BF0AA">
      <w:pPr>
        <w:pStyle w:val="6"/>
        <w:ind w:firstLine="480"/>
        <w:jc w:val="left"/>
      </w:pPr>
      <w:r>
        <w:t>※注意</w:t>
      </w:r>
    </w:p>
    <w:p w14:paraId="6D16A995">
      <w:pPr>
        <w:pStyle w:val="6"/>
        <w:ind w:firstLine="480"/>
        <w:jc w:val="left"/>
      </w:pPr>
      <w:r>
        <w:t>资格及资信证明部分中不得出现报价部分的全部或部分的投标报价信息（或组成资料），否则资格审查不合格。（联合体协议及分包意向协议中的比例规定，不适用本条款）</w:t>
      </w:r>
    </w:p>
    <w:p w14:paraId="596AD79A">
      <w:pPr>
        <w:pStyle w:val="6"/>
      </w:pPr>
      <w:r>
        <w:t xml:space="preserve"> </w:t>
      </w:r>
      <w:r>
        <w:br w:type="textWrapping"/>
      </w:r>
      <w:r>
        <w:br w:type="page"/>
      </w:r>
    </w:p>
    <w:p w14:paraId="6E671AF5">
      <w:pPr>
        <w:pStyle w:val="6"/>
        <w:jc w:val="center"/>
        <w:outlineLvl w:val="2"/>
      </w:pPr>
      <w:r>
        <w:rPr>
          <w:b/>
          <w:sz w:val="28"/>
        </w:rPr>
        <w:t>一、投标函</w:t>
      </w:r>
    </w:p>
    <w:p w14:paraId="4E2BBCC2">
      <w:pPr>
        <w:pStyle w:val="6"/>
        <w:ind w:firstLine="480"/>
        <w:jc w:val="left"/>
      </w:pPr>
      <w:r>
        <w:t>致：</w:t>
      </w:r>
      <w:r>
        <w:rPr>
          <w:u w:val="single"/>
        </w:rPr>
        <w:t>（采购人或采购代理机构）</w:t>
      </w:r>
    </w:p>
    <w:p w14:paraId="4A705E23">
      <w:pPr>
        <w:pStyle w:val="6"/>
        <w:ind w:firstLine="480"/>
        <w:jc w:val="left"/>
      </w:pPr>
      <w:r>
        <w:t>兹收到贵单位关于</w:t>
      </w:r>
      <w:r>
        <w:rPr>
          <w:u w:val="single"/>
        </w:rPr>
        <w:t xml:space="preserve">（填写“项目名称”） </w:t>
      </w:r>
      <w:r>
        <w:t>项目</w:t>
      </w:r>
      <w:r>
        <w:rPr>
          <w:u w:val="single"/>
        </w:rPr>
        <w:t xml:space="preserve">（项目编号：　　　　　） </w:t>
      </w:r>
      <w:r>
        <w:t>的投标邀请，本投标人代表</w:t>
      </w:r>
      <w:r>
        <w:rPr>
          <w:u w:val="single"/>
        </w:rPr>
        <w:t xml:space="preserve">（填写“全名”） </w:t>
      </w:r>
      <w:r>
        <w:t>已获得我方正式授权并代表投标人（填写“全称”）参加投标，并提交电子投标文件。我方提交的全部电子投标文件由下述部分组成：</w:t>
      </w:r>
    </w:p>
    <w:p w14:paraId="495D21AB">
      <w:pPr>
        <w:pStyle w:val="6"/>
        <w:ind w:firstLine="480"/>
        <w:jc w:val="left"/>
      </w:pPr>
      <w:r>
        <w:t>（1）资格及资信证明部分</w:t>
      </w:r>
    </w:p>
    <w:p w14:paraId="1E0E64A2">
      <w:pPr>
        <w:pStyle w:val="6"/>
        <w:ind w:firstLine="480"/>
        <w:jc w:val="left"/>
      </w:pPr>
      <w:r>
        <w:t>①投标函</w:t>
      </w:r>
    </w:p>
    <w:p w14:paraId="750B816A">
      <w:pPr>
        <w:pStyle w:val="6"/>
        <w:ind w:firstLine="480"/>
        <w:jc w:val="left"/>
      </w:pPr>
      <w:r>
        <w:t>②投标人的资格及资信证明文件</w:t>
      </w:r>
    </w:p>
    <w:p w14:paraId="6FC2D5FD">
      <w:pPr>
        <w:pStyle w:val="6"/>
        <w:ind w:firstLine="480"/>
        <w:jc w:val="left"/>
      </w:pPr>
      <w:r>
        <w:t>③投标保证金</w:t>
      </w:r>
    </w:p>
    <w:p w14:paraId="45314CDB">
      <w:pPr>
        <w:pStyle w:val="6"/>
        <w:ind w:firstLine="480"/>
        <w:jc w:val="left"/>
      </w:pPr>
      <w:r>
        <w:t>（2）报价部分</w:t>
      </w:r>
    </w:p>
    <w:p w14:paraId="62200366">
      <w:pPr>
        <w:pStyle w:val="6"/>
        <w:ind w:firstLine="480"/>
        <w:jc w:val="left"/>
      </w:pPr>
      <w:r>
        <w:t>①开标（报价）一览表</w:t>
      </w:r>
    </w:p>
    <w:p w14:paraId="3602222D">
      <w:pPr>
        <w:pStyle w:val="6"/>
        <w:ind w:firstLine="480"/>
        <w:jc w:val="left"/>
      </w:pPr>
      <w:r>
        <w:t>②投标（响应）报价明细表</w:t>
      </w:r>
    </w:p>
    <w:p w14:paraId="56F9CA12">
      <w:pPr>
        <w:pStyle w:val="6"/>
        <w:ind w:firstLine="480"/>
        <w:jc w:val="left"/>
      </w:pPr>
      <w:r>
        <w:t>③招标文件规定的价格扣除证明材料（若有）</w:t>
      </w:r>
    </w:p>
    <w:p w14:paraId="1F5A01C1">
      <w:pPr>
        <w:pStyle w:val="6"/>
        <w:ind w:firstLine="480"/>
        <w:jc w:val="left"/>
      </w:pPr>
      <w:r>
        <w:t>④招标文件规定的加分证明材料（若有）</w:t>
      </w:r>
    </w:p>
    <w:p w14:paraId="2486776F">
      <w:pPr>
        <w:pStyle w:val="6"/>
        <w:ind w:firstLine="480"/>
        <w:jc w:val="left"/>
      </w:pPr>
      <w:r>
        <w:t>（3）技术商务部分</w:t>
      </w:r>
    </w:p>
    <w:p w14:paraId="67F66645">
      <w:pPr>
        <w:pStyle w:val="6"/>
        <w:ind w:firstLine="480"/>
        <w:jc w:val="left"/>
      </w:pPr>
      <w:r>
        <w:t>①标的说明一览表</w:t>
      </w:r>
    </w:p>
    <w:p w14:paraId="16819A96">
      <w:pPr>
        <w:pStyle w:val="6"/>
        <w:ind w:firstLine="480"/>
        <w:jc w:val="left"/>
      </w:pPr>
      <w:r>
        <w:t>②技术和服务要求响应表</w:t>
      </w:r>
    </w:p>
    <w:p w14:paraId="71D4D875">
      <w:pPr>
        <w:pStyle w:val="6"/>
        <w:ind w:firstLine="480"/>
        <w:jc w:val="left"/>
      </w:pPr>
      <w:r>
        <w:t>③商务条件响应表</w:t>
      </w:r>
    </w:p>
    <w:p w14:paraId="38E8E3B2">
      <w:pPr>
        <w:pStyle w:val="6"/>
        <w:ind w:firstLine="480"/>
        <w:jc w:val="left"/>
      </w:pPr>
      <w:r>
        <w:t>④投标人提交的其他资料（若有）</w:t>
      </w:r>
    </w:p>
    <w:p w14:paraId="6721FF8A">
      <w:pPr>
        <w:pStyle w:val="6"/>
        <w:ind w:firstLine="480"/>
        <w:jc w:val="left"/>
      </w:pPr>
      <w:r>
        <w:t>根据本函，本投标人代表宣布我方保证遵守招标文件的全部规定，同时：</w:t>
      </w:r>
    </w:p>
    <w:p w14:paraId="45CC6B3B">
      <w:pPr>
        <w:pStyle w:val="6"/>
        <w:ind w:firstLine="480"/>
        <w:jc w:val="left"/>
      </w:pPr>
      <w:r>
        <w:t>1、确认：</w:t>
      </w:r>
    </w:p>
    <w:p w14:paraId="6F048079">
      <w:pPr>
        <w:pStyle w:val="6"/>
        <w:ind w:firstLine="480"/>
        <w:jc w:val="left"/>
      </w:pPr>
      <w:r>
        <w:t>1.1所投采购包的投标报价详见“开标（报价）一览表”及“投标（响应）报价明细表”。</w:t>
      </w:r>
    </w:p>
    <w:p w14:paraId="373DCD12">
      <w:pPr>
        <w:pStyle w:val="6"/>
        <w:ind w:firstLine="480"/>
        <w:jc w:val="left"/>
      </w:pPr>
      <w:r>
        <w:t>1.2我方已详细审查全部招标文件[包括但不限于：有关附件（若有）、澄清或修改（若有）等]，并自行承担因对全部招标文件理解不正确或误解而产生的相应后果和责任。</w:t>
      </w:r>
    </w:p>
    <w:p w14:paraId="673E6869">
      <w:pPr>
        <w:pStyle w:val="6"/>
        <w:ind w:firstLine="480"/>
        <w:jc w:val="left"/>
      </w:pPr>
      <w:r>
        <w:t>2、承诺及声明：</w:t>
      </w:r>
    </w:p>
    <w:p w14:paraId="18E90A70">
      <w:pPr>
        <w:pStyle w:val="6"/>
        <w:ind w:firstLine="480"/>
        <w:jc w:val="left"/>
      </w:pPr>
      <w:r>
        <w:t>2.1我方具备招标文件第一章载明的“投标人的资格要求”且符合招标文件第三章载明的“二、投标人”之规定，否则投标无效。</w:t>
      </w:r>
    </w:p>
    <w:p w14:paraId="782D0E9D">
      <w:pPr>
        <w:pStyle w:val="6"/>
        <w:ind w:firstLine="480"/>
        <w:jc w:val="left"/>
      </w:pPr>
      <w:r>
        <w:t>2.2我方提交的电子投标文件各组成部分的全部内容及资料是不可割离且真实、有效、准确、完整和不具有任何误导性的，否则产生不利后果由我方承担责任。</w:t>
      </w:r>
    </w:p>
    <w:p w14:paraId="485F561C">
      <w:pPr>
        <w:pStyle w:val="6"/>
        <w:ind w:firstLine="480"/>
        <w:jc w:val="left"/>
      </w:pPr>
      <w:r>
        <w:t>2.3我方提供的标的价格不高于同期市场价格，否则产生不利后果由我方承担责任。</w:t>
      </w:r>
    </w:p>
    <w:p w14:paraId="3B037664">
      <w:pPr>
        <w:pStyle w:val="6"/>
        <w:ind w:firstLine="480"/>
        <w:jc w:val="left"/>
      </w:pPr>
      <w:r>
        <w:t>2.4投标保证金：若出现招标文件第三章规定的不予退还情形，同意贵单位不予退还。</w:t>
      </w:r>
    </w:p>
    <w:p w14:paraId="1586AEE1">
      <w:pPr>
        <w:pStyle w:val="6"/>
        <w:ind w:firstLine="480"/>
        <w:jc w:val="left"/>
      </w:pPr>
      <w:r>
        <w:t>2.5投标有效期：按照招标文件第三章规定执行，并在招标文件第二章载明的期限内保持有效。</w:t>
      </w:r>
    </w:p>
    <w:p w14:paraId="7130C0C9">
      <w:pPr>
        <w:pStyle w:val="6"/>
        <w:ind w:firstLine="480"/>
        <w:jc w:val="left"/>
      </w:pPr>
      <w:r>
        <w:t>2.6若中标，将按照招标文件、我方电子投标文件及政府采购合同履行责任和义务。</w:t>
      </w:r>
    </w:p>
    <w:p w14:paraId="217C7B58">
      <w:pPr>
        <w:pStyle w:val="6"/>
        <w:ind w:firstLine="480"/>
        <w:jc w:val="left"/>
      </w:pPr>
      <w:r>
        <w:t>2.7若贵单位要求，我方同意提供与本项目投标有关的一切资料、数据或文件，并完全理解贵单位不一定要接受最低的投标报价或收到的任何投标。</w:t>
      </w:r>
    </w:p>
    <w:p w14:paraId="73154D07">
      <w:pPr>
        <w:pStyle w:val="6"/>
        <w:ind w:firstLine="480"/>
        <w:jc w:val="left"/>
      </w:pPr>
      <w:r>
        <w:t>2.8我方承诺遵守《中华人民共和国劳动合同法》有关规定和《中华人民共和国妇女权益保障法 》中关于“劳动和社会保障权益”的有关要求。</w:t>
      </w:r>
    </w:p>
    <w:p w14:paraId="1B31B1DE">
      <w:pPr>
        <w:pStyle w:val="6"/>
        <w:ind w:firstLine="480"/>
        <w:jc w:val="left"/>
      </w:pPr>
      <w:r>
        <w:t>2.9我方承诺电子投标文件所提供的全部资料真实可靠，并接受评标委员会、采购人、采购代理机构、监管部门进一步审查其中任何资料真实性的要求。</w:t>
      </w:r>
    </w:p>
    <w:p w14:paraId="5E001EB6">
      <w:pPr>
        <w:pStyle w:val="6"/>
        <w:ind w:firstLine="480"/>
        <w:jc w:val="left"/>
      </w:pPr>
      <w:r>
        <w:t>2.10除招标文件另有规定外，对于贵单位按照下述联络方式发出的任何信息或通知，均视为我方已收悉前述信息或通知的全部内容：</w:t>
      </w:r>
    </w:p>
    <w:p w14:paraId="6A3E4CC0">
      <w:pPr>
        <w:pStyle w:val="6"/>
        <w:ind w:firstLine="480"/>
        <w:jc w:val="left"/>
      </w:pPr>
      <w:r>
        <w:t>通信地址：</w:t>
      </w:r>
    </w:p>
    <w:p w14:paraId="4FA49AF0">
      <w:pPr>
        <w:pStyle w:val="6"/>
        <w:ind w:firstLine="480"/>
        <w:jc w:val="left"/>
      </w:pPr>
      <w:r>
        <w:t>邮编：</w:t>
      </w:r>
    </w:p>
    <w:p w14:paraId="67E2A3BC">
      <w:pPr>
        <w:pStyle w:val="6"/>
        <w:ind w:firstLine="480"/>
        <w:jc w:val="left"/>
      </w:pPr>
      <w:r>
        <w:t>联系方法：（包括但不限于：联系人、联系电话、手机、传真、电子邮箱等）</w:t>
      </w:r>
    </w:p>
    <w:p w14:paraId="02885AAD">
      <w:pPr>
        <w:pStyle w:val="6"/>
        <w:ind w:firstLine="480"/>
        <w:jc w:val="left"/>
      </w:pPr>
      <w:r>
        <w:t>投标人：（全称并加盖单位公章）</w:t>
      </w:r>
    </w:p>
    <w:p w14:paraId="6F7645BF">
      <w:pPr>
        <w:pStyle w:val="6"/>
        <w:ind w:firstLine="480"/>
        <w:jc w:val="left"/>
      </w:pPr>
      <w:r>
        <w:t>日期： 年 月 日</w:t>
      </w:r>
    </w:p>
    <w:p w14:paraId="5CCEA4CB">
      <w:pPr>
        <w:pStyle w:val="6"/>
      </w:pPr>
      <w:r>
        <w:t xml:space="preserve"> </w:t>
      </w:r>
      <w:r>
        <w:br w:type="textWrapping"/>
      </w:r>
      <w:r>
        <w:br w:type="page"/>
      </w:r>
    </w:p>
    <w:p w14:paraId="7A96AB4C">
      <w:pPr>
        <w:pStyle w:val="6"/>
        <w:jc w:val="center"/>
        <w:outlineLvl w:val="2"/>
      </w:pPr>
      <w:r>
        <w:rPr>
          <w:b/>
          <w:sz w:val="28"/>
        </w:rPr>
        <w:t>二、投标人的资格及资信证明文件</w:t>
      </w:r>
    </w:p>
    <w:p w14:paraId="157AEEA9">
      <w:pPr>
        <w:pStyle w:val="6"/>
        <w:ind w:firstLine="960"/>
        <w:jc w:val="center"/>
        <w:outlineLvl w:val="3"/>
      </w:pPr>
      <w:r>
        <w:rPr>
          <w:b/>
          <w:sz w:val="24"/>
        </w:rPr>
        <w:t>二-1单位授权书（若有）</w:t>
      </w:r>
    </w:p>
    <w:p w14:paraId="3C2F176C">
      <w:pPr>
        <w:pStyle w:val="6"/>
        <w:ind w:firstLine="480"/>
        <w:jc w:val="left"/>
      </w:pPr>
      <w:r>
        <w:t>致：</w:t>
      </w:r>
      <w:r>
        <w:rPr>
          <w:u w:val="single"/>
        </w:rPr>
        <w:t>（采购人或采购代理机构）</w:t>
      </w:r>
    </w:p>
    <w:p w14:paraId="4490BEB0">
      <w:pPr>
        <w:pStyle w:val="6"/>
        <w:ind w:firstLine="480"/>
        <w:jc w:val="left"/>
      </w:pPr>
      <w:r>
        <w:t>我方的单位负责人</w:t>
      </w:r>
      <w:r>
        <w:rPr>
          <w:u w:val="single"/>
        </w:rPr>
        <w:t>（填写“单位负责人全名”）</w:t>
      </w:r>
      <w:r>
        <w:t>授权</w:t>
      </w:r>
      <w:r>
        <w:rPr>
          <w:u w:val="single"/>
        </w:rPr>
        <w:t>（填写“投标人代表全名”）</w:t>
      </w:r>
      <w:r>
        <w:t>为投标人代表，代表我方参加</w:t>
      </w:r>
      <w:r>
        <w:rPr>
          <w:u w:val="single"/>
        </w:rPr>
        <w:t>（填写“项目名称”）</w:t>
      </w:r>
      <w:r>
        <w:t>项目（项目编号：</w:t>
      </w:r>
      <w:r>
        <w:rPr>
          <w:u w:val="single"/>
        </w:rPr>
        <w:t>　　　　　</w:t>
      </w:r>
      <w:r>
        <w:t>）的投标，全权代表我方处理投标过程的一切事宜，包括但不限于：投标、参加开标、谈判、澄清、签约等。投标人代表在投标过程中所签署的一切文件和处理与之有关的一切事务，我方均予以认可并对此承担责任。</w:t>
      </w:r>
    </w:p>
    <w:p w14:paraId="2E8D08C4">
      <w:pPr>
        <w:pStyle w:val="6"/>
        <w:ind w:firstLine="480"/>
        <w:jc w:val="left"/>
      </w:pPr>
      <w:r>
        <w:t>投标人代表无转委权。特此授权。</w:t>
      </w:r>
    </w:p>
    <w:p w14:paraId="37F7FE7B">
      <w:pPr>
        <w:pStyle w:val="6"/>
        <w:ind w:firstLine="480"/>
        <w:jc w:val="left"/>
      </w:pPr>
      <w:r>
        <w:t>（以下无正文）</w:t>
      </w:r>
    </w:p>
    <w:p w14:paraId="61DC7230">
      <w:pPr>
        <w:pStyle w:val="6"/>
        <w:ind w:firstLine="480"/>
        <w:jc w:val="left"/>
      </w:pPr>
      <w:r>
        <w:t>单位负责人：</w:t>
      </w:r>
      <w:r>
        <w:rPr>
          <w:u w:val="single"/>
        </w:rPr>
        <w:t>　　　　　</w:t>
      </w:r>
      <w:r>
        <w:t>身份证号：</w:t>
      </w:r>
      <w:r>
        <w:rPr>
          <w:u w:val="single"/>
        </w:rPr>
        <w:t>　　　　　</w:t>
      </w:r>
      <w:r>
        <w:t>手机：</w:t>
      </w:r>
      <w:r>
        <w:rPr>
          <w:u w:val="single"/>
        </w:rPr>
        <w:t>　　　　　</w:t>
      </w:r>
    </w:p>
    <w:p w14:paraId="43070B78">
      <w:pPr>
        <w:pStyle w:val="6"/>
        <w:ind w:firstLine="480"/>
        <w:jc w:val="left"/>
      </w:pPr>
      <w:r>
        <w:t>投标人代表：</w:t>
      </w:r>
      <w:r>
        <w:rPr>
          <w:u w:val="single"/>
        </w:rPr>
        <w:t>　　　　　</w:t>
      </w:r>
      <w:r>
        <w:t>身份证号：</w:t>
      </w:r>
      <w:r>
        <w:rPr>
          <w:u w:val="single"/>
        </w:rPr>
        <w:t>　　　　　</w:t>
      </w:r>
      <w:r>
        <w:t>手机：</w:t>
      </w:r>
      <w:r>
        <w:rPr>
          <w:u w:val="single"/>
        </w:rPr>
        <w:t>　　　　　</w:t>
      </w:r>
    </w:p>
    <w:p w14:paraId="102F4CE5">
      <w:pPr>
        <w:pStyle w:val="6"/>
        <w:ind w:firstLine="480"/>
        <w:jc w:val="left"/>
      </w:pPr>
      <w:r>
        <w:t>授权方</w:t>
      </w:r>
    </w:p>
    <w:p w14:paraId="5C8E7D19">
      <w:pPr>
        <w:pStyle w:val="6"/>
        <w:ind w:firstLine="480"/>
        <w:jc w:val="left"/>
      </w:pPr>
      <w:r>
        <w:t>投标人：</w:t>
      </w:r>
      <w:r>
        <w:rPr>
          <w:u w:val="single"/>
        </w:rPr>
        <w:t>（全称并加盖单位公章）</w:t>
      </w:r>
    </w:p>
    <w:p w14:paraId="74B79075">
      <w:pPr>
        <w:pStyle w:val="6"/>
        <w:ind w:firstLine="480"/>
        <w:jc w:val="right"/>
      </w:pPr>
      <w:r>
        <w:t>签署日期： 年 月 日</w:t>
      </w:r>
    </w:p>
    <w:p w14:paraId="177071E5">
      <w:pPr>
        <w:pStyle w:val="6"/>
        <w:ind w:firstLine="480"/>
        <w:jc w:val="left"/>
      </w:pPr>
      <w:r>
        <w:t>附：单位负责人、投标人代表的身份证正反面复印件</w:t>
      </w:r>
    </w:p>
    <w:p w14:paraId="6785D740">
      <w:pPr>
        <w:pStyle w:val="6"/>
        <w:ind w:firstLine="960"/>
        <w:jc w:val="left"/>
      </w:pPr>
      <w:r>
        <w:t>要求：真实有效且内容完整、清晰、整洁。</w:t>
      </w:r>
    </w:p>
    <w:p w14:paraId="775CE131">
      <w:pPr>
        <w:pStyle w:val="6"/>
        <w:ind w:firstLine="480"/>
        <w:jc w:val="left"/>
      </w:pPr>
      <w:r>
        <w:t>※注意：</w:t>
      </w:r>
    </w:p>
    <w:p w14:paraId="551728F5">
      <w:pPr>
        <w:pStyle w:val="6"/>
        <w:ind w:firstLine="480"/>
        <w:jc w:val="left"/>
      </w:pPr>
      <w:r>
        <w:t>1、企业（银行、保险、石油石化、电力、电信等行业除外）、事业单位和社会团体法人的“单位负责人”指法定代表人，即与实际提交的“营业执照等证明文件”载明的一致。</w:t>
      </w:r>
    </w:p>
    <w:p w14:paraId="1584CACE">
      <w:pPr>
        <w:pStyle w:val="6"/>
        <w:ind w:firstLine="480"/>
        <w:jc w:val="left"/>
      </w:pPr>
      <w: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14:paraId="2143FE52">
      <w:pPr>
        <w:pStyle w:val="6"/>
        <w:ind w:firstLine="480"/>
        <w:jc w:val="left"/>
      </w:pPr>
      <w:r>
        <w:t>3、投标人（自然人除外）：若投标人代表为单位授权的委托代理人，应提供本授权书；若投标人代表为单位负责人，应在此项下提交其身份证正反面复印件，可不提供本授权书。</w:t>
      </w:r>
    </w:p>
    <w:p w14:paraId="7908FCFA">
      <w:pPr>
        <w:pStyle w:val="6"/>
        <w:ind w:firstLine="480"/>
        <w:jc w:val="left"/>
      </w:pPr>
      <w:r>
        <w:t>4、投标人为自然人的，可不填写本授权书。</w:t>
      </w:r>
    </w:p>
    <w:p w14:paraId="771AB8A9">
      <w:pPr>
        <w:pStyle w:val="6"/>
        <w:ind w:firstLine="960"/>
        <w:jc w:val="left"/>
      </w:pPr>
      <w:r>
        <w:t xml:space="preserve"> </w:t>
      </w:r>
      <w:r>
        <w:br w:type="textWrapping"/>
      </w:r>
      <w:r>
        <w:br w:type="page"/>
      </w:r>
    </w:p>
    <w:p w14:paraId="0332B257">
      <w:pPr>
        <w:pStyle w:val="6"/>
        <w:ind w:firstLine="960"/>
        <w:jc w:val="center"/>
        <w:outlineLvl w:val="3"/>
      </w:pPr>
      <w:r>
        <w:rPr>
          <w:b/>
          <w:sz w:val="24"/>
        </w:rPr>
        <w:t>二-2营业执照等证明文件</w:t>
      </w:r>
    </w:p>
    <w:p w14:paraId="7D7DEDCF">
      <w:pPr>
        <w:pStyle w:val="6"/>
        <w:ind w:firstLine="480"/>
        <w:jc w:val="left"/>
      </w:pPr>
      <w:r>
        <w:t>致：</w:t>
      </w:r>
      <w:r>
        <w:rPr>
          <w:u w:val="single"/>
        </w:rPr>
        <w:t>（采购人或采购代理机构）</w:t>
      </w:r>
    </w:p>
    <w:p w14:paraId="77E5D013">
      <w:pPr>
        <w:pStyle w:val="6"/>
        <w:ind w:firstLine="480"/>
        <w:jc w:val="left"/>
      </w:pPr>
      <w:r>
        <w:t>（ ）投标人为法人（包括企业、事业单位和社会团体）的</w:t>
      </w:r>
    </w:p>
    <w:p w14:paraId="24FBF10A">
      <w:pPr>
        <w:pStyle w:val="6"/>
        <w:ind w:firstLine="480"/>
        <w:jc w:val="left"/>
      </w:pPr>
      <w:r>
        <w:t>现附上由</w:t>
      </w:r>
      <w:r>
        <w:rPr>
          <w:u w:val="single"/>
        </w:rPr>
        <w:t>（（填写“签发机关全称”）</w:t>
      </w:r>
      <w:r>
        <w:t>签发的我方统一社会信用代码（请填写法人的具体证照名称）复印件，该证明材料真实有效，否则我方负全部责任。</w:t>
      </w:r>
    </w:p>
    <w:p w14:paraId="1E8ED8C1">
      <w:pPr>
        <w:pStyle w:val="6"/>
        <w:ind w:firstLine="480"/>
        <w:jc w:val="left"/>
      </w:pPr>
      <w:r>
        <w:t>（ ）投标人为非法人（包括其他组织、自然人）的</w:t>
      </w:r>
    </w:p>
    <w:p w14:paraId="4FC5C6F5">
      <w:pPr>
        <w:pStyle w:val="6"/>
        <w:ind w:firstLine="480"/>
        <w:jc w:val="left"/>
      </w:pPr>
      <w:r>
        <w:t>□现附上由</w:t>
      </w:r>
      <w:r>
        <w:rPr>
          <w:u w:val="single"/>
        </w:rPr>
        <w:t>（（填写“签发机关全称”）</w:t>
      </w:r>
      <w:r>
        <w:t>签发的我方（请填写非自然人的非法人的具体证照名称）复印件，该证明材料真实有效，否则我方负全部责任。</w:t>
      </w:r>
    </w:p>
    <w:p w14:paraId="074896C1">
      <w:pPr>
        <w:pStyle w:val="6"/>
        <w:ind w:firstLine="480"/>
        <w:jc w:val="left"/>
      </w:pPr>
      <w:r>
        <w:t>□现附上由</w:t>
      </w:r>
      <w:r>
        <w:rPr>
          <w:u w:val="single"/>
        </w:rPr>
        <w:t>（（填写“签发机关全称”）</w:t>
      </w:r>
      <w:r>
        <w:t>签发的我方（请填写自然人的身份证件名称）复印件，该证明材料真实有效，否则我方负全部责任。</w:t>
      </w:r>
    </w:p>
    <w:p w14:paraId="76287856">
      <w:pPr>
        <w:pStyle w:val="6"/>
        <w:ind w:firstLine="480"/>
        <w:jc w:val="left"/>
      </w:pPr>
      <w:r>
        <w:t>※注意：</w:t>
      </w:r>
    </w:p>
    <w:p w14:paraId="3C74B272">
      <w:pPr>
        <w:pStyle w:val="6"/>
        <w:ind w:firstLine="480"/>
        <w:jc w:val="left"/>
      </w:pPr>
      <w:r>
        <w:t>1、请投标人按照实际情况编制填写，在相应的（）中打“√”并选择相应的“□”（若有）后，再按照本格式的要求提供相应证明材料的复印件。</w:t>
      </w:r>
    </w:p>
    <w:p w14:paraId="17392F27">
      <w:pPr>
        <w:pStyle w:val="6"/>
        <w:ind w:firstLine="480"/>
        <w:jc w:val="left"/>
      </w:pPr>
      <w: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14:paraId="63AF4942">
      <w:pPr>
        <w:pStyle w:val="6"/>
        <w:ind w:firstLine="480"/>
        <w:jc w:val="right"/>
      </w:pPr>
      <w:r>
        <w:t>投标人：</w:t>
      </w:r>
      <w:r>
        <w:rPr>
          <w:u w:val="single"/>
        </w:rPr>
        <w:t>（全称并加盖单位公章）</w:t>
      </w:r>
    </w:p>
    <w:p w14:paraId="2E79DB27">
      <w:pPr>
        <w:pStyle w:val="6"/>
        <w:ind w:firstLine="480"/>
        <w:jc w:val="right"/>
      </w:pPr>
      <w:r>
        <w:t>日期：</w:t>
      </w:r>
      <w:r>
        <w:rPr>
          <w:u w:val="single"/>
        </w:rPr>
        <w:t>　　年　　月　　日</w:t>
      </w:r>
    </w:p>
    <w:p w14:paraId="43EF4BC2">
      <w:pPr>
        <w:pStyle w:val="6"/>
        <w:ind w:firstLine="960"/>
        <w:jc w:val="left"/>
      </w:pPr>
      <w:r>
        <w:t xml:space="preserve"> </w:t>
      </w:r>
      <w:r>
        <w:br w:type="textWrapping"/>
      </w:r>
      <w:r>
        <w:br w:type="page"/>
      </w:r>
    </w:p>
    <w:p w14:paraId="081D4D41">
      <w:pPr>
        <w:pStyle w:val="6"/>
        <w:ind w:firstLine="960"/>
        <w:jc w:val="center"/>
        <w:outlineLvl w:val="3"/>
      </w:pPr>
      <w:r>
        <w:rPr>
          <w:b/>
          <w:sz w:val="24"/>
        </w:rPr>
        <w:t>二-3财务状况报告（财务报告、或资信证明）</w:t>
      </w:r>
    </w:p>
    <w:p w14:paraId="7A08942E">
      <w:pPr>
        <w:pStyle w:val="6"/>
        <w:ind w:firstLine="480"/>
        <w:jc w:val="left"/>
      </w:pPr>
      <w:r>
        <w:t>致：</w:t>
      </w:r>
      <w:r>
        <w:rPr>
          <w:u w:val="single"/>
        </w:rPr>
        <w:t>（采购人或采购代理机构）</w:t>
      </w:r>
    </w:p>
    <w:p w14:paraId="4BAFEBB7">
      <w:pPr>
        <w:pStyle w:val="6"/>
        <w:ind w:firstLine="480"/>
        <w:jc w:val="left"/>
      </w:pPr>
      <w:r>
        <w:t>（ ）投标人提供财务报告的</w:t>
      </w:r>
    </w:p>
    <w:p w14:paraId="65B413CD">
      <w:pPr>
        <w:pStyle w:val="6"/>
        <w:ind w:firstLine="480"/>
        <w:jc w:val="left"/>
      </w:pPr>
      <w:r>
        <w:t>□企业适用：现附上我方</w:t>
      </w:r>
      <w:r>
        <w:rPr>
          <w:u w:val="single"/>
        </w:rPr>
        <w:t>（填写“具体的年度、或半年度、季度”）</w:t>
      </w:r>
      <w:r>
        <w:t>财务报告复印件，包括资产负债表、利润表、现金流量表、所有者权益变动表（若有）及其附注（若有）、会计师事务所营业执照和注册会计师资格证书，上述证明材料真实有效，否则我方负全部责任。</w:t>
      </w:r>
    </w:p>
    <w:p w14:paraId="3917E22F">
      <w:pPr>
        <w:pStyle w:val="6"/>
        <w:ind w:firstLine="480"/>
        <w:jc w:val="left"/>
      </w:pPr>
      <w:r>
        <w:t>□事业单位适用：现附上我方</w:t>
      </w:r>
      <w:r>
        <w:rPr>
          <w:u w:val="single"/>
        </w:rPr>
        <w:t>（填写“具体的年度、或半年度、或季度”）</w:t>
      </w:r>
      <w:r>
        <w:t>财务报告复印件，包括资产负债表、收入支出表（或收入费用表）、财政补助收入支出表（若有）、会计师事务所营业执照和注册会计师资格证书，上述证明材料真实有效，否则我方负全部责任。</w:t>
      </w:r>
    </w:p>
    <w:p w14:paraId="7D9C9427">
      <w:pPr>
        <w:pStyle w:val="6"/>
        <w:ind w:firstLine="480"/>
        <w:jc w:val="left"/>
      </w:pPr>
      <w:r>
        <w:t>□社会团体、民办非企适用：现附上我方</w:t>
      </w:r>
      <w:r>
        <w:rPr>
          <w:u w:val="single"/>
        </w:rPr>
        <w:t>（填写“具体的年度、或半年度、或季度”）</w:t>
      </w:r>
      <w:r>
        <w:t>财务报告复印件，包括资产负债表、业务活动表、现金流量表、会计师事务所营业执照和注册会计师资格证书，上述证明材料真实有效，否则我方负全部责任。</w:t>
      </w:r>
    </w:p>
    <w:p w14:paraId="503656AC">
      <w:pPr>
        <w:pStyle w:val="6"/>
        <w:ind w:firstLine="480"/>
        <w:jc w:val="left"/>
      </w:pPr>
      <w:r>
        <w:t>（ ）投标人提供资信证明的</w:t>
      </w:r>
    </w:p>
    <w:p w14:paraId="5793500E">
      <w:pPr>
        <w:pStyle w:val="6"/>
        <w:ind w:firstLine="480"/>
        <w:jc w:val="left"/>
      </w:pPr>
      <w:r>
        <w:t>□非自然人适用（包括企业、事业单位、社会团体和其他组织）：现附上我方银行：</w:t>
      </w:r>
      <w:r>
        <w:rPr>
          <w:u w:val="single"/>
        </w:rPr>
        <w:t>（填写“开户银行全称”）</w:t>
      </w:r>
      <w:r>
        <w:t>出具的资信证明复印件，上述证明材料真实有效，否则我方负全部责任。</w:t>
      </w:r>
    </w:p>
    <w:p w14:paraId="45E854E6">
      <w:pPr>
        <w:pStyle w:val="6"/>
        <w:ind w:firstLine="480"/>
        <w:jc w:val="left"/>
      </w:pPr>
      <w:r>
        <w:t>□自然人适用：现附上我方银行</w:t>
      </w:r>
      <w:r>
        <w:rPr>
          <w:u w:val="single"/>
        </w:rPr>
        <w:t>：（填写自然人的“个人账户的开户银行全称”）</w:t>
      </w:r>
      <w:r>
        <w:t>出具的资信证明复印件，上述证明材料真实有效，否则我方负全部责任。</w:t>
      </w:r>
    </w:p>
    <w:p w14:paraId="53ADE127">
      <w:pPr>
        <w:pStyle w:val="6"/>
        <w:ind w:firstLine="480"/>
        <w:jc w:val="left"/>
      </w:pPr>
      <w:r>
        <w:t>※注意：</w:t>
      </w:r>
    </w:p>
    <w:p w14:paraId="0C783BE1">
      <w:pPr>
        <w:pStyle w:val="6"/>
        <w:ind w:firstLine="480"/>
        <w:jc w:val="left"/>
      </w:pPr>
      <w:r>
        <w:t>1、请投标人按照实际情况编制填写，在相应的（）中打“√”并选择相应的“□”（若有）后，再按照本格式的要求提供相应证明材料的复印件。</w:t>
      </w:r>
    </w:p>
    <w:p w14:paraId="7055EB54">
      <w:pPr>
        <w:pStyle w:val="6"/>
        <w:ind w:firstLine="480"/>
        <w:jc w:val="left"/>
      </w:pPr>
      <w:r>
        <w:t>2、投标人提供的财务报告复印件（成立年限按照投标截止时间推算）应符合下列规定：</w:t>
      </w:r>
    </w:p>
    <w:p w14:paraId="3FD6C283">
      <w:pPr>
        <w:pStyle w:val="6"/>
        <w:ind w:firstLine="480"/>
        <w:jc w:val="left"/>
      </w:pPr>
      <w:r>
        <w:t>2.1成立年限满1年及以上的投标人，提供经审计的招标文件规定的年度财务报告。</w:t>
      </w:r>
    </w:p>
    <w:p w14:paraId="61CE0D67">
      <w:pPr>
        <w:pStyle w:val="6"/>
        <w:ind w:firstLine="480"/>
        <w:jc w:val="left"/>
      </w:pPr>
      <w:r>
        <w:t>2.2成立年限满半年但不足1年的投标人，提供该半年度中任一季度的季度财务报告或该半年度的半年度财务报告。</w:t>
      </w:r>
    </w:p>
    <w:p w14:paraId="0EEC2A49">
      <w:pPr>
        <w:pStyle w:val="6"/>
        <w:ind w:firstLine="480"/>
        <w:jc w:val="left"/>
      </w:pPr>
      <w: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14:paraId="46DBB609">
      <w:pPr>
        <w:pStyle w:val="6"/>
        <w:ind w:firstLine="480"/>
        <w:jc w:val="right"/>
      </w:pPr>
      <w:r>
        <w:t>投标人：</w:t>
      </w:r>
      <w:r>
        <w:rPr>
          <w:u w:val="single"/>
        </w:rPr>
        <w:t>（全称并加盖单位公章）</w:t>
      </w:r>
    </w:p>
    <w:p w14:paraId="40F990DE">
      <w:pPr>
        <w:pStyle w:val="6"/>
        <w:ind w:firstLine="480"/>
        <w:jc w:val="right"/>
      </w:pPr>
      <w:r>
        <w:t>日期：</w:t>
      </w:r>
      <w:r>
        <w:rPr>
          <w:u w:val="single"/>
        </w:rPr>
        <w:t>　　年　　月　　日</w:t>
      </w:r>
    </w:p>
    <w:p w14:paraId="031BED75">
      <w:pPr>
        <w:pStyle w:val="6"/>
        <w:ind w:firstLine="960"/>
        <w:jc w:val="left"/>
      </w:pPr>
      <w:r>
        <w:t xml:space="preserve"> </w:t>
      </w:r>
      <w:r>
        <w:br w:type="textWrapping"/>
      </w:r>
      <w:r>
        <w:br w:type="page"/>
      </w:r>
    </w:p>
    <w:p w14:paraId="49E9062F">
      <w:pPr>
        <w:pStyle w:val="6"/>
        <w:ind w:firstLine="960"/>
        <w:jc w:val="center"/>
        <w:outlineLvl w:val="3"/>
      </w:pPr>
      <w:r>
        <w:rPr>
          <w:b/>
          <w:sz w:val="24"/>
        </w:rPr>
        <w:t>二-4依法缴纳税收证明材料</w:t>
      </w:r>
    </w:p>
    <w:p w14:paraId="296F86CC">
      <w:pPr>
        <w:pStyle w:val="6"/>
        <w:ind w:firstLine="480"/>
        <w:jc w:val="left"/>
      </w:pPr>
      <w:r>
        <w:t>致：</w:t>
      </w:r>
      <w:r>
        <w:rPr>
          <w:u w:val="single"/>
        </w:rPr>
        <w:t>（采购人或采购代理机构）</w:t>
      </w:r>
    </w:p>
    <w:p w14:paraId="7FA26D5E">
      <w:pPr>
        <w:pStyle w:val="6"/>
        <w:ind w:firstLine="480"/>
        <w:jc w:val="left"/>
      </w:pPr>
      <w:r>
        <w:t>1、依法缴纳税收的投标人</w:t>
      </w:r>
    </w:p>
    <w:p w14:paraId="1DDFEF5D">
      <w:pPr>
        <w:pStyle w:val="6"/>
        <w:ind w:firstLine="480"/>
        <w:jc w:val="left"/>
      </w:pPr>
      <w:r>
        <w:t>（ ）法人（包括企业、事业单位和社会团体）的</w:t>
      </w:r>
    </w:p>
    <w:p w14:paraId="03725049">
      <w:pPr>
        <w:pStyle w:val="6"/>
        <w:ind w:firstLine="480"/>
        <w:jc w:val="left"/>
      </w:pPr>
      <w:r>
        <w:t>现附上自</w:t>
      </w:r>
      <w:r>
        <w:rPr>
          <w:u w:val="single"/>
        </w:rPr>
        <w:t>　　年　　月　　日</w:t>
      </w:r>
      <w:r>
        <w:t>至</w:t>
      </w:r>
      <w:r>
        <w:rPr>
          <w:u w:val="single"/>
        </w:rPr>
        <w:t>　　年　　月　　日</w:t>
      </w:r>
      <w:r>
        <w:t>期间我方缴纳（包括但不限于税务机关出具的专用收据、税收缴纳证明或税收代缴银行的缴款收讫凭证）等税收凭据复印件，上述证明材料真实有效，否则我方负全部责任。</w:t>
      </w:r>
    </w:p>
    <w:p w14:paraId="506C5E10">
      <w:pPr>
        <w:pStyle w:val="6"/>
        <w:ind w:firstLine="480"/>
        <w:jc w:val="left"/>
      </w:pPr>
      <w:r>
        <w:t>（ ）非法人（包括其他组织、自然人）的</w:t>
      </w:r>
    </w:p>
    <w:p w14:paraId="70E030B9">
      <w:pPr>
        <w:pStyle w:val="6"/>
        <w:ind w:firstLine="480"/>
        <w:jc w:val="left"/>
      </w:pPr>
      <w:r>
        <w:t>现附上自</w:t>
      </w:r>
      <w:r>
        <w:rPr>
          <w:u w:val="single"/>
        </w:rPr>
        <w:t>　　年　　月　　日</w:t>
      </w:r>
      <w:r>
        <w:t>至</w:t>
      </w:r>
      <w:r>
        <w:rPr>
          <w:u w:val="single"/>
        </w:rPr>
        <w:t>　　年　　月　　日</w:t>
      </w:r>
      <w:r>
        <w:t>期间我方缴纳（包括但不限于税务机关出具的专用收据、税收缴纳证明或税收代缴银行的缴款收讫凭证）等税收凭据复印件，上述证明材料真实有效，否则我方负全部责任。</w:t>
      </w:r>
    </w:p>
    <w:p w14:paraId="0C4964E3">
      <w:pPr>
        <w:pStyle w:val="6"/>
        <w:ind w:firstLine="480"/>
        <w:jc w:val="left"/>
      </w:pPr>
      <w:r>
        <w:t>2、依法免税的投标人</w:t>
      </w:r>
    </w:p>
    <w:p w14:paraId="3019D311">
      <w:pPr>
        <w:pStyle w:val="6"/>
        <w:ind w:firstLine="480"/>
        <w:jc w:val="left"/>
      </w:pPr>
      <w:r>
        <w:t>（ ）现附上我方依法免税的证明材料复印件，上述证明材料真实有效，否则我方负全部责任。</w:t>
      </w:r>
    </w:p>
    <w:p w14:paraId="43F7A691">
      <w:pPr>
        <w:pStyle w:val="6"/>
        <w:ind w:firstLine="480"/>
        <w:jc w:val="left"/>
      </w:pPr>
      <w:r>
        <w:t>※注意：</w:t>
      </w:r>
    </w:p>
    <w:p w14:paraId="4AB79180">
      <w:pPr>
        <w:pStyle w:val="6"/>
        <w:ind w:firstLine="480"/>
        <w:jc w:val="left"/>
      </w:pPr>
      <w:r>
        <w:t>1、请投标人按照实际情况编制填写，在相应的（）中打“√”，并按照本格式的要求提供相应证明材料的复印件。</w:t>
      </w:r>
    </w:p>
    <w:p w14:paraId="06662E42">
      <w:pPr>
        <w:pStyle w:val="6"/>
        <w:ind w:firstLine="480"/>
        <w:jc w:val="left"/>
      </w:pPr>
      <w:r>
        <w:t>2、投标人提供的税收缴纳凭据复印件应符合下列规定：</w:t>
      </w:r>
    </w:p>
    <w:p w14:paraId="245732E4">
      <w:pPr>
        <w:pStyle w:val="6"/>
        <w:ind w:firstLine="480"/>
        <w:jc w:val="left"/>
      </w:pPr>
      <w:r>
        <w:t>2.1投标截止时间前（不含投标截止时间的当月）已依法缴纳税收的投标人，提供投标截止时间前六个月（不含投标截止时间的当月）中任一月份的税收缴纳凭据复印件。</w:t>
      </w:r>
    </w:p>
    <w:p w14:paraId="645D8819">
      <w:pPr>
        <w:pStyle w:val="6"/>
        <w:ind w:firstLine="480"/>
        <w:jc w:val="left"/>
      </w:pPr>
      <w:r>
        <w:t>2.2投标截止时间的当月成立的投标人，视同满足本项资格条件要求。</w:t>
      </w:r>
    </w:p>
    <w:p w14:paraId="5F47D8F4">
      <w:pPr>
        <w:pStyle w:val="6"/>
        <w:ind w:firstLine="480"/>
        <w:jc w:val="left"/>
      </w:pPr>
      <w:r>
        <w:t>3、若为依法免税范围的投标人，提供依法免税证明材料的，视同满足本项资格条件要求。</w:t>
      </w:r>
    </w:p>
    <w:p w14:paraId="2D865D97">
      <w:pPr>
        <w:pStyle w:val="6"/>
        <w:ind w:firstLine="480"/>
        <w:jc w:val="right"/>
      </w:pPr>
      <w:r>
        <w:t>投标人：</w:t>
      </w:r>
      <w:r>
        <w:rPr>
          <w:u w:val="single"/>
        </w:rPr>
        <w:t>（全称并加盖单位公章）</w:t>
      </w:r>
    </w:p>
    <w:p w14:paraId="3C73B3E3">
      <w:pPr>
        <w:pStyle w:val="6"/>
        <w:ind w:firstLine="480"/>
        <w:jc w:val="right"/>
      </w:pPr>
      <w:r>
        <w:t>日期：</w:t>
      </w:r>
      <w:r>
        <w:rPr>
          <w:u w:val="single"/>
        </w:rPr>
        <w:t>　　年　　月　　日</w:t>
      </w:r>
    </w:p>
    <w:p w14:paraId="35DC5028">
      <w:pPr>
        <w:pStyle w:val="6"/>
        <w:ind w:firstLine="960"/>
        <w:jc w:val="left"/>
      </w:pPr>
      <w:r>
        <w:t xml:space="preserve"> </w:t>
      </w:r>
      <w:r>
        <w:br w:type="textWrapping"/>
      </w:r>
      <w:r>
        <w:br w:type="page"/>
      </w:r>
    </w:p>
    <w:p w14:paraId="0C522A2A">
      <w:pPr>
        <w:pStyle w:val="6"/>
        <w:ind w:firstLine="960"/>
        <w:jc w:val="center"/>
        <w:outlineLvl w:val="3"/>
      </w:pPr>
      <w:r>
        <w:rPr>
          <w:b/>
          <w:sz w:val="24"/>
        </w:rPr>
        <w:t>二-5依法缴纳社会保障资金证明材料</w:t>
      </w:r>
    </w:p>
    <w:p w14:paraId="63B17904">
      <w:pPr>
        <w:pStyle w:val="6"/>
        <w:ind w:firstLine="480"/>
        <w:jc w:val="left"/>
      </w:pPr>
      <w:r>
        <w:t>致：</w:t>
      </w:r>
      <w:r>
        <w:rPr>
          <w:u w:val="single"/>
        </w:rPr>
        <w:t>（采购人或采购代理机构）</w:t>
      </w:r>
    </w:p>
    <w:p w14:paraId="0D1F9CD5">
      <w:pPr>
        <w:pStyle w:val="6"/>
        <w:ind w:firstLine="480"/>
        <w:jc w:val="left"/>
      </w:pPr>
      <w:r>
        <w:t>1、依法缴纳社会保障资金的投标人</w:t>
      </w:r>
    </w:p>
    <w:p w14:paraId="68EDF14F">
      <w:pPr>
        <w:pStyle w:val="6"/>
        <w:ind w:firstLine="480"/>
        <w:jc w:val="left"/>
      </w:pPr>
      <w:r>
        <w:t>（ ）法人（包括企业、事业单位和社会团体）的</w:t>
      </w:r>
    </w:p>
    <w:p w14:paraId="3FD95AA7">
      <w:pPr>
        <w:pStyle w:val="6"/>
        <w:ind w:firstLine="480"/>
        <w:jc w:val="left"/>
      </w:pPr>
      <w:r>
        <w:t>现附上自</w:t>
      </w:r>
      <w:r>
        <w:rPr>
          <w:u w:val="single"/>
        </w:rPr>
        <w:t>　　年　　月　　日</w:t>
      </w:r>
      <w:r>
        <w:t>至</w:t>
      </w:r>
      <w:r>
        <w:rPr>
          <w:u w:val="single"/>
        </w:rPr>
        <w:t>　　年　　月　　日</w:t>
      </w:r>
      <w:r>
        <w:t>我方缴纳的社会保险凭据（限：税务机关/社会保障资金管理机关的专用收据或社会保险缴纳清单，或社会保险的银行缴款收讫凭证）复印件，上述证明材料真实有效，否则我方负全部责任。</w:t>
      </w:r>
    </w:p>
    <w:p w14:paraId="07D6D142">
      <w:pPr>
        <w:pStyle w:val="6"/>
        <w:ind w:firstLine="480"/>
        <w:jc w:val="left"/>
      </w:pPr>
      <w:r>
        <w:t>（ ）非法人（包括其他组织、自然人）的</w:t>
      </w:r>
    </w:p>
    <w:p w14:paraId="68A4491B">
      <w:pPr>
        <w:pStyle w:val="6"/>
        <w:ind w:firstLine="480"/>
        <w:jc w:val="left"/>
      </w:pPr>
      <w:r>
        <w:t>自</w:t>
      </w:r>
      <w:r>
        <w:rPr>
          <w:u w:val="single"/>
        </w:rPr>
        <w:t>　　年　　月　　日</w:t>
      </w:r>
      <w:r>
        <w:t>至</w:t>
      </w:r>
      <w:r>
        <w:rPr>
          <w:u w:val="single"/>
        </w:rPr>
        <w:t>　　年　　月　　日</w:t>
      </w:r>
      <w:r>
        <w:t>我方缴纳的社会保险凭据（限：税务机关/社会保障资金管理机关的专用收据或社会保险缴纳清单，或社会保险的银行缴款收讫凭证）复印件，上述证明材料真实有效，否则我方负全部责任。</w:t>
      </w:r>
    </w:p>
    <w:p w14:paraId="1A8629A8">
      <w:pPr>
        <w:pStyle w:val="6"/>
        <w:ind w:firstLine="480"/>
        <w:jc w:val="left"/>
      </w:pPr>
      <w:r>
        <w:t>2、依法不需要缴纳或暂缓缴纳社会保障资金的投标人</w:t>
      </w:r>
    </w:p>
    <w:p w14:paraId="67F00330">
      <w:pPr>
        <w:pStyle w:val="6"/>
        <w:ind w:firstLine="480"/>
        <w:jc w:val="left"/>
      </w:pPr>
      <w:r>
        <w:t>（ ）现附上我方依法不需要缴纳或暂缓缴纳社会保障资金证明材料复印件，上述证明材料真实有效，否则我方负全部责任。</w:t>
      </w:r>
    </w:p>
    <w:p w14:paraId="79D3426B">
      <w:pPr>
        <w:pStyle w:val="6"/>
        <w:ind w:firstLine="480"/>
        <w:jc w:val="left"/>
      </w:pPr>
      <w:r>
        <w:t>※注意：</w:t>
      </w:r>
    </w:p>
    <w:p w14:paraId="13520562">
      <w:pPr>
        <w:pStyle w:val="6"/>
        <w:ind w:firstLine="480"/>
        <w:jc w:val="left"/>
      </w:pPr>
      <w:r>
        <w:t>1、请投标人按照实际情况编制填写，在相应的（）中打“√”，并按照本格式的要求提供相应证明材料的复印件。</w:t>
      </w:r>
    </w:p>
    <w:p w14:paraId="26905D89">
      <w:pPr>
        <w:pStyle w:val="6"/>
        <w:ind w:firstLine="480"/>
        <w:jc w:val="left"/>
      </w:pPr>
      <w:r>
        <w:t>2、投标人提供的社会保障资金缴纳凭据复印件应符合下列规定：</w:t>
      </w:r>
    </w:p>
    <w:p w14:paraId="72DCF079">
      <w:pPr>
        <w:pStyle w:val="6"/>
        <w:ind w:firstLine="480"/>
        <w:jc w:val="left"/>
      </w:pPr>
      <w:r>
        <w:t>2.1投标截止时间前（不含投标截止时间的当月）已依法缴纳社会保障资金的投标人，提供投标截止时间前六个月（不含投标截止时间的当月）中任一月份的社会保障资金缴纳凭据复印件。</w:t>
      </w:r>
    </w:p>
    <w:p w14:paraId="2B33B9AA">
      <w:pPr>
        <w:pStyle w:val="6"/>
        <w:ind w:firstLine="480"/>
        <w:jc w:val="left"/>
      </w:pPr>
      <w:r>
        <w:t>2.2投标截止时间的当月成立的投标人，视同满足本项资格条件要求。</w:t>
      </w:r>
    </w:p>
    <w:p w14:paraId="3471CC03">
      <w:pPr>
        <w:pStyle w:val="6"/>
        <w:ind w:firstLine="480"/>
        <w:jc w:val="left"/>
      </w:pPr>
      <w:r>
        <w:t>3、若为依法不需要缴纳或暂缓缴纳社会保障资金的投标人，提供依法不需要缴纳或暂缓缴纳社会保障资金证明材料的，视同满足本项资格条件要求。</w:t>
      </w:r>
    </w:p>
    <w:p w14:paraId="7F368A75">
      <w:pPr>
        <w:pStyle w:val="6"/>
        <w:ind w:firstLine="480"/>
        <w:jc w:val="right"/>
      </w:pPr>
      <w:r>
        <w:t>投标人：</w:t>
      </w:r>
      <w:r>
        <w:rPr>
          <w:u w:val="single"/>
        </w:rPr>
        <w:t>（全称并加盖单位公章）</w:t>
      </w:r>
    </w:p>
    <w:p w14:paraId="55000B75">
      <w:pPr>
        <w:pStyle w:val="6"/>
        <w:ind w:firstLine="480"/>
        <w:jc w:val="right"/>
      </w:pPr>
      <w:r>
        <w:t>日期：</w:t>
      </w:r>
      <w:r>
        <w:rPr>
          <w:u w:val="single"/>
        </w:rPr>
        <w:t>　　年　　月　　日</w:t>
      </w:r>
    </w:p>
    <w:p w14:paraId="6EDDE1B7">
      <w:pPr>
        <w:pStyle w:val="6"/>
        <w:ind w:firstLine="960"/>
        <w:jc w:val="left"/>
      </w:pPr>
      <w:r>
        <w:t xml:space="preserve"> </w:t>
      </w:r>
      <w:r>
        <w:br w:type="textWrapping"/>
      </w:r>
      <w:r>
        <w:br w:type="page"/>
      </w:r>
    </w:p>
    <w:p w14:paraId="149B304A">
      <w:pPr>
        <w:pStyle w:val="6"/>
        <w:ind w:firstLine="960"/>
        <w:jc w:val="center"/>
        <w:outlineLvl w:val="3"/>
      </w:pPr>
      <w:r>
        <w:rPr>
          <w:b/>
          <w:sz w:val="24"/>
        </w:rPr>
        <w:t>二-6具备履行合同所必需设备和专业技术能力的声明函（若有）</w:t>
      </w:r>
    </w:p>
    <w:p w14:paraId="13B8D0C9">
      <w:pPr>
        <w:pStyle w:val="6"/>
        <w:ind w:firstLine="480"/>
        <w:jc w:val="left"/>
      </w:pPr>
      <w:r>
        <w:t>致：</w:t>
      </w:r>
      <w:r>
        <w:rPr>
          <w:u w:val="single"/>
        </w:rPr>
        <w:t>（采购人或采购代理机构）</w:t>
      </w:r>
    </w:p>
    <w:p w14:paraId="068FA92C">
      <w:pPr>
        <w:pStyle w:val="6"/>
        <w:ind w:firstLine="480"/>
        <w:jc w:val="left"/>
      </w:pPr>
      <w:r>
        <w:t>我方具备履行合同所必需的设备和专业技术能力，否则产生不利后果由我方承担责任。</w:t>
      </w:r>
    </w:p>
    <w:p w14:paraId="2859292F">
      <w:pPr>
        <w:pStyle w:val="6"/>
        <w:ind w:firstLine="960"/>
        <w:jc w:val="left"/>
      </w:pPr>
      <w:r>
        <w:t>特此声明。</w:t>
      </w:r>
    </w:p>
    <w:p w14:paraId="17ED667D">
      <w:pPr>
        <w:pStyle w:val="6"/>
        <w:ind w:firstLine="480"/>
        <w:jc w:val="left"/>
      </w:pPr>
      <w:r>
        <w:t>※注意：</w:t>
      </w:r>
    </w:p>
    <w:p w14:paraId="39A7D8A8">
      <w:pPr>
        <w:pStyle w:val="6"/>
        <w:ind w:firstLine="480"/>
        <w:jc w:val="left"/>
      </w:pPr>
      <w:r>
        <w:t>1、招标文件未要求投标人提供“具备履行合同所必需的设备和专业技术能力专项证明材料”的，投标人应提供本声明函。</w:t>
      </w:r>
    </w:p>
    <w:p w14:paraId="41102C81">
      <w:pPr>
        <w:pStyle w:val="6"/>
        <w:ind w:firstLine="480"/>
        <w:jc w:val="left"/>
      </w:pPr>
      <w:r>
        <w:t>2、招标文件要求投标人提供“具备履行合同所必需的设备和专业技术能力专项证明材料”的，投标人可不提供本声明函。</w:t>
      </w:r>
    </w:p>
    <w:p w14:paraId="6E76366B">
      <w:pPr>
        <w:pStyle w:val="6"/>
        <w:ind w:firstLine="480"/>
        <w:jc w:val="left"/>
      </w:pPr>
      <w:r>
        <w:t>3、请投标人根据实际情况如实声明，否则视为提供虚假材料。</w:t>
      </w:r>
    </w:p>
    <w:p w14:paraId="57AC313A">
      <w:pPr>
        <w:pStyle w:val="6"/>
        <w:ind w:firstLine="480"/>
        <w:jc w:val="right"/>
      </w:pPr>
      <w:r>
        <w:t>投标人：</w:t>
      </w:r>
      <w:r>
        <w:rPr>
          <w:u w:val="single"/>
        </w:rPr>
        <w:t>（全称并加盖单位公章）</w:t>
      </w:r>
    </w:p>
    <w:p w14:paraId="56968703">
      <w:pPr>
        <w:pStyle w:val="6"/>
        <w:ind w:firstLine="480"/>
        <w:jc w:val="right"/>
      </w:pPr>
      <w:r>
        <w:t>日期：</w:t>
      </w:r>
      <w:r>
        <w:rPr>
          <w:u w:val="single"/>
        </w:rPr>
        <w:t>　　年　　月　　日</w:t>
      </w:r>
    </w:p>
    <w:p w14:paraId="44B52F8E">
      <w:pPr>
        <w:pStyle w:val="6"/>
        <w:ind w:firstLine="960"/>
        <w:jc w:val="left"/>
      </w:pPr>
      <w:r>
        <w:t xml:space="preserve"> </w:t>
      </w:r>
      <w:r>
        <w:br w:type="textWrapping"/>
      </w:r>
      <w:r>
        <w:br w:type="page"/>
      </w:r>
    </w:p>
    <w:p w14:paraId="3EE62AF0">
      <w:pPr>
        <w:pStyle w:val="6"/>
        <w:ind w:firstLine="960"/>
        <w:jc w:val="center"/>
        <w:outlineLvl w:val="3"/>
      </w:pPr>
      <w:r>
        <w:rPr>
          <w:b/>
          <w:sz w:val="24"/>
        </w:rPr>
        <w:t>二-7参加采购活动前三年内在经营活动中没有重大违法记录书面声明</w:t>
      </w:r>
    </w:p>
    <w:p w14:paraId="69F3225E">
      <w:pPr>
        <w:pStyle w:val="6"/>
        <w:ind w:firstLine="480"/>
        <w:jc w:val="left"/>
      </w:pPr>
      <w:r>
        <w:t>致：</w:t>
      </w:r>
      <w:r>
        <w:rPr>
          <w:u w:val="single"/>
        </w:rPr>
        <w:t>（采购人或采购代理机构）</w:t>
      </w:r>
    </w:p>
    <w:p w14:paraId="7D53C00F">
      <w:pPr>
        <w:pStyle w:val="6"/>
        <w:ind w:firstLine="480"/>
        <w:jc w:val="left"/>
      </w:pPr>
      <w:r>
        <w:t>参加采购活动前三年内，我方在经营活动中没有重大违法记录，即没有因违法经营受到刑事处罚或责令停产停业、吊销许可证或执照、较大数额罚款等行政处罚。否则产生不利后果由我方承担责任。</w:t>
      </w:r>
    </w:p>
    <w:p w14:paraId="6AB37714">
      <w:pPr>
        <w:pStyle w:val="6"/>
        <w:ind w:firstLine="960"/>
        <w:jc w:val="left"/>
      </w:pPr>
      <w:r>
        <w:t>特此声明。</w:t>
      </w:r>
    </w:p>
    <w:p w14:paraId="11F4F20B">
      <w:pPr>
        <w:pStyle w:val="6"/>
        <w:ind w:firstLine="480"/>
        <w:jc w:val="left"/>
      </w:pPr>
      <w:r>
        <w:t>※注意：</w:t>
      </w:r>
    </w:p>
    <w:p w14:paraId="54652F25">
      <w:pPr>
        <w:pStyle w:val="6"/>
        <w:ind w:firstLine="480"/>
        <w:jc w:val="left"/>
      </w:pPr>
      <w: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2181BECD">
      <w:pPr>
        <w:pStyle w:val="6"/>
        <w:ind w:firstLine="480"/>
        <w:jc w:val="left"/>
      </w:pPr>
      <w:r>
        <w:t>请投标人根据实际情况如实声明，否则视为提供虚假材料。</w:t>
      </w:r>
    </w:p>
    <w:p w14:paraId="4CE51EAE">
      <w:pPr>
        <w:pStyle w:val="6"/>
        <w:ind w:firstLine="480"/>
        <w:jc w:val="right"/>
      </w:pPr>
      <w:r>
        <w:t>投标人：</w:t>
      </w:r>
      <w:r>
        <w:rPr>
          <w:u w:val="single"/>
        </w:rPr>
        <w:t>（全称并加盖单位公章）</w:t>
      </w:r>
    </w:p>
    <w:p w14:paraId="6B5AAA14">
      <w:pPr>
        <w:pStyle w:val="6"/>
        <w:ind w:firstLine="480"/>
        <w:jc w:val="right"/>
      </w:pPr>
      <w:r>
        <w:t>日期：</w:t>
      </w:r>
      <w:r>
        <w:rPr>
          <w:u w:val="single"/>
        </w:rPr>
        <w:t>　　年　　月　　日</w:t>
      </w:r>
    </w:p>
    <w:p w14:paraId="37DDE38C">
      <w:pPr>
        <w:pStyle w:val="6"/>
        <w:ind w:firstLine="960"/>
        <w:jc w:val="left"/>
      </w:pPr>
      <w:r>
        <w:t xml:space="preserve"> </w:t>
      </w:r>
      <w:r>
        <w:br w:type="textWrapping"/>
      </w:r>
      <w:r>
        <w:br w:type="page"/>
      </w:r>
    </w:p>
    <w:p w14:paraId="52A26F15">
      <w:pPr>
        <w:pStyle w:val="6"/>
        <w:ind w:firstLine="960"/>
        <w:jc w:val="center"/>
        <w:outlineLvl w:val="3"/>
      </w:pPr>
      <w:r>
        <w:rPr>
          <w:b/>
          <w:sz w:val="24"/>
        </w:rPr>
        <w:t>二-8信用记录查询提示</w:t>
      </w:r>
    </w:p>
    <w:p w14:paraId="67E9D22E">
      <w:pPr>
        <w:pStyle w:val="6"/>
        <w:ind w:firstLine="480"/>
        <w:jc w:val="left"/>
      </w:pPr>
      <w:r>
        <w:t>1、由资格审查小组通过网站查询并打印投标人的信用记录。</w:t>
      </w:r>
    </w:p>
    <w:p w14:paraId="62602086">
      <w:pPr>
        <w:pStyle w:val="6"/>
        <w:ind w:firstLine="480"/>
        <w:jc w:val="left"/>
      </w:pPr>
      <w: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14:paraId="6F110278">
      <w:pPr>
        <w:pStyle w:val="6"/>
        <w:ind w:firstLine="480"/>
        <w:jc w:val="left"/>
      </w:pPr>
      <w: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14:paraId="5219EAD4">
      <w:pPr>
        <w:pStyle w:val="6"/>
        <w:ind w:firstLine="960"/>
        <w:jc w:val="left"/>
      </w:pPr>
      <w:r>
        <w:t xml:space="preserve"> </w:t>
      </w:r>
      <w:r>
        <w:br w:type="textWrapping"/>
      </w:r>
      <w:r>
        <w:br w:type="page"/>
      </w:r>
    </w:p>
    <w:p w14:paraId="51EBB00F">
      <w:pPr>
        <w:pStyle w:val="6"/>
        <w:ind w:firstLine="960"/>
        <w:jc w:val="center"/>
        <w:outlineLvl w:val="3"/>
      </w:pPr>
      <w:r>
        <w:rPr>
          <w:b/>
          <w:sz w:val="24"/>
        </w:rPr>
        <w:t>二-9中小企业声明函</w:t>
      </w:r>
    </w:p>
    <w:p w14:paraId="39DDEC4D">
      <w:pPr>
        <w:pStyle w:val="6"/>
        <w:ind w:firstLine="960"/>
        <w:jc w:val="center"/>
        <w:outlineLvl w:val="3"/>
      </w:pPr>
      <w:r>
        <w:rPr>
          <w:b/>
          <w:sz w:val="24"/>
        </w:rPr>
        <w:t>（以资格条件落实中小企业扶持政策时适用，若有）</w:t>
      </w:r>
    </w:p>
    <w:p w14:paraId="52D44C31">
      <w:pPr>
        <w:pStyle w:val="6"/>
        <w:ind w:firstLine="960"/>
        <w:jc w:val="center"/>
        <w:outlineLvl w:val="3"/>
      </w:pPr>
      <w:r>
        <w:rPr>
          <w:b/>
          <w:sz w:val="24"/>
        </w:rPr>
        <w:t>中小企业声明函（货物）</w:t>
      </w:r>
    </w:p>
    <w:p w14:paraId="413723E0">
      <w:pPr>
        <w:pStyle w:val="6"/>
        <w:ind w:firstLine="480"/>
        <w:jc w:val="left"/>
      </w:pPr>
      <w:r>
        <w:t>本公司（联合体）郑重声明，根据《政府采购促进中小企业发展管理办法》（财库﹝2020﹞46 号）的规定，本公司（联合体）参加</w:t>
      </w:r>
      <w:r>
        <w:rPr>
          <w:u w:val="single"/>
        </w:rPr>
        <w:t>（单位名称）</w:t>
      </w:r>
      <w:r>
        <w:t>的</w:t>
      </w:r>
      <w:r>
        <w:rPr>
          <w:u w:val="single"/>
        </w:rPr>
        <w:t>（项目名称）</w:t>
      </w:r>
      <w:r>
        <w:t>采购活动，提供的货物全部由符合政策要求的中小企业制造。相关企业（含联合体中的中小企业、签订分包意向协议的中小企业）的具体情况如下：</w:t>
      </w:r>
    </w:p>
    <w:p w14:paraId="1DE354AA">
      <w:pPr>
        <w:pStyle w:val="6"/>
        <w:ind w:firstLine="480"/>
        <w:jc w:val="left"/>
      </w:pPr>
      <w:r>
        <w:t>1.</w:t>
      </w:r>
      <w:r>
        <w:rPr>
          <w:u w:val="single"/>
        </w:rPr>
        <w:t xml:space="preserve"> （标的名称） </w:t>
      </w:r>
      <w:r>
        <w:t>，属于</w:t>
      </w:r>
      <w:r>
        <w:rPr>
          <w:u w:val="single"/>
        </w:rPr>
        <w:t>（采购文件中明确的所属行业）</w:t>
      </w:r>
      <w:r>
        <w:t>行业；制造商为</w:t>
      </w:r>
      <w:r>
        <w:rPr>
          <w:u w:val="single"/>
        </w:rPr>
        <w:t>（企业名称）</w:t>
      </w:r>
      <w:r>
        <w:t>，从业人员</w:t>
      </w:r>
      <w:r>
        <w:rPr>
          <w:u w:val="single"/>
        </w:rPr>
        <w:t>　　　</w:t>
      </w:r>
      <w:r>
        <w:t>人，营业收入为</w:t>
      </w:r>
      <w:r>
        <w:rPr>
          <w:u w:val="single"/>
        </w:rPr>
        <w:t>　　　　　</w:t>
      </w:r>
      <w:r>
        <w:t>万元，资产总额为</w:t>
      </w:r>
      <w:r>
        <w:rPr>
          <w:u w:val="single"/>
        </w:rPr>
        <w:t>　　　</w:t>
      </w:r>
      <w:r>
        <w:t>万元¹，属于</w:t>
      </w:r>
      <w:r>
        <w:rPr>
          <w:u w:val="single"/>
        </w:rPr>
        <w:t>（中型企业、小型企业、微型企业）</w:t>
      </w:r>
      <w:r>
        <w:t>；</w:t>
      </w:r>
    </w:p>
    <w:p w14:paraId="3D398DE0">
      <w:pPr>
        <w:pStyle w:val="6"/>
        <w:ind w:firstLine="480"/>
        <w:jc w:val="left"/>
      </w:pPr>
      <w:r>
        <w:t>2.</w:t>
      </w:r>
      <w:r>
        <w:rPr>
          <w:u w:val="single"/>
        </w:rPr>
        <w:t xml:space="preserve"> （标的名称） </w:t>
      </w:r>
      <w:r>
        <w:t>，属于</w:t>
      </w:r>
      <w:r>
        <w:rPr>
          <w:u w:val="single"/>
        </w:rPr>
        <w:t>（采购文件中明确的所属行业）</w:t>
      </w:r>
      <w:r>
        <w:t>行业；制造商为</w:t>
      </w:r>
      <w:r>
        <w:rPr>
          <w:u w:val="single"/>
        </w:rPr>
        <w:t>（企业名称）</w:t>
      </w:r>
      <w:r>
        <w:t>，从业人员</w:t>
      </w:r>
      <w:r>
        <w:rPr>
          <w:u w:val="single"/>
        </w:rPr>
        <w:t>　　　</w:t>
      </w:r>
      <w:r>
        <w:t>人，营业收入为</w:t>
      </w:r>
      <w:r>
        <w:rPr>
          <w:u w:val="single"/>
        </w:rPr>
        <w:t>　　　　　</w:t>
      </w:r>
      <w:r>
        <w:t>万元，资产总额为</w:t>
      </w:r>
      <w:r>
        <w:rPr>
          <w:u w:val="single"/>
        </w:rPr>
        <w:t>　　　</w:t>
      </w:r>
      <w:r>
        <w:t>万元，属于</w:t>
      </w:r>
      <w:r>
        <w:rPr>
          <w:u w:val="single"/>
        </w:rPr>
        <w:t>（中型企业、小型企业、微型企业）</w:t>
      </w:r>
      <w:r>
        <w:t>；</w:t>
      </w:r>
    </w:p>
    <w:p w14:paraId="664287A0">
      <w:pPr>
        <w:pStyle w:val="6"/>
        <w:ind w:firstLine="480"/>
        <w:jc w:val="left"/>
      </w:pPr>
      <w:r>
        <w:t>……</w:t>
      </w:r>
    </w:p>
    <w:p w14:paraId="599A71C8">
      <w:pPr>
        <w:pStyle w:val="6"/>
        <w:ind w:firstLine="480"/>
        <w:jc w:val="left"/>
      </w:pPr>
      <w:r>
        <w:t>以上企业，不属于大企业的分支机构，不存在控股股东为大企业的情形，也不存在与大企业的负责人为同一人的情形。</w:t>
      </w:r>
    </w:p>
    <w:p w14:paraId="2688B1AC">
      <w:pPr>
        <w:pStyle w:val="6"/>
        <w:ind w:firstLine="480"/>
        <w:jc w:val="left"/>
      </w:pPr>
      <w:r>
        <w:t>本企业对上述声明内容的真实性负责。如有虚假，将依法承担相应责任。</w:t>
      </w:r>
    </w:p>
    <w:p w14:paraId="696743A1">
      <w:pPr>
        <w:pStyle w:val="6"/>
        <w:ind w:firstLine="480"/>
        <w:jc w:val="right"/>
      </w:pPr>
      <w:r>
        <w:t>投标人：</w:t>
      </w:r>
      <w:r>
        <w:rPr>
          <w:u w:val="single"/>
        </w:rPr>
        <w:t>（全称并加盖单位公章）</w:t>
      </w:r>
    </w:p>
    <w:p w14:paraId="060EE635">
      <w:pPr>
        <w:pStyle w:val="6"/>
        <w:ind w:firstLine="480"/>
        <w:jc w:val="right"/>
      </w:pPr>
      <w:r>
        <w:t>日期：</w:t>
      </w:r>
      <w:r>
        <w:rPr>
          <w:u w:val="single"/>
        </w:rPr>
        <w:t>　　年　　月　　日</w:t>
      </w:r>
    </w:p>
    <w:p w14:paraId="5948374C">
      <w:pPr>
        <w:pStyle w:val="6"/>
        <w:ind w:firstLine="480"/>
        <w:jc w:val="left"/>
      </w:pPr>
      <w:r>
        <w:t>※注意：</w:t>
      </w:r>
    </w:p>
    <w:p w14:paraId="49CCBF82">
      <w:pPr>
        <w:pStyle w:val="6"/>
        <w:ind w:firstLine="480"/>
        <w:jc w:val="left"/>
      </w:pPr>
      <w:r>
        <w:t>1、从业人员、营业收入、资产总额填报上一年度数据，无上一年度数据的新成立企业可不填报。</w:t>
      </w:r>
    </w:p>
    <w:p w14:paraId="5F8D1FEC">
      <w:pPr>
        <w:pStyle w:val="6"/>
        <w:ind w:firstLine="480"/>
        <w:jc w:val="left"/>
      </w:pPr>
      <w: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7F2894EF">
      <w:pPr>
        <w:pStyle w:val="6"/>
        <w:ind w:firstLine="480"/>
        <w:jc w:val="left"/>
      </w:pPr>
      <w: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281E790F">
      <w:pPr>
        <w:pStyle w:val="6"/>
        <w:ind w:firstLine="960"/>
        <w:jc w:val="left"/>
      </w:pPr>
      <w:r>
        <w:t xml:space="preserve"> </w:t>
      </w:r>
      <w:r>
        <w:br w:type="textWrapping"/>
      </w:r>
      <w:r>
        <w:br w:type="page"/>
      </w:r>
    </w:p>
    <w:p w14:paraId="1F0D8503">
      <w:pPr>
        <w:pStyle w:val="6"/>
        <w:ind w:firstLine="960"/>
        <w:jc w:val="center"/>
        <w:outlineLvl w:val="3"/>
      </w:pPr>
      <w:r>
        <w:rPr>
          <w:b/>
          <w:sz w:val="24"/>
        </w:rPr>
        <w:t>中小企业声明函（工程、服务）</w:t>
      </w:r>
    </w:p>
    <w:p w14:paraId="4991A291">
      <w:pPr>
        <w:pStyle w:val="6"/>
        <w:ind w:firstLine="480"/>
        <w:jc w:val="left"/>
      </w:pPr>
      <w:r>
        <w:t>本公司（联合体）郑重声明，根据《政府采购促进中小企业发展管理办法》（财库﹝2020﹞46 号）的规定，本公司（联合体）参加</w:t>
      </w:r>
      <w:r>
        <w:rPr>
          <w:u w:val="single"/>
        </w:rPr>
        <w:t>（单位名称）</w:t>
      </w:r>
      <w:r>
        <w:t>的</w:t>
      </w:r>
      <w:r>
        <w:rPr>
          <w:u w:val="single"/>
        </w:rPr>
        <w:t>（项目名称）</w:t>
      </w:r>
      <w:r>
        <w:t>采购活动，工程的施工单位全部为符合政策要求的中小企业（或者：服务全部由符合政策要求的中小企业承接）。相关企业（含联合体中的中小企业、签订分包意向协议的中小企业）的具体情况如下：</w:t>
      </w:r>
    </w:p>
    <w:p w14:paraId="3C596E15">
      <w:pPr>
        <w:pStyle w:val="6"/>
        <w:ind w:firstLine="480"/>
        <w:jc w:val="left"/>
      </w:pPr>
      <w:r>
        <w:t>1.</w:t>
      </w:r>
      <w:r>
        <w:rPr>
          <w:u w:val="single"/>
        </w:rPr>
        <w:t>（标的名称）</w:t>
      </w:r>
      <w:r>
        <w:t>，属于</w:t>
      </w:r>
      <w:r>
        <w:rPr>
          <w:u w:val="single"/>
        </w:rPr>
        <w:t>（采购文件中明确的所属行业）</w:t>
      </w:r>
      <w:r>
        <w:t>；承建（承接）企业为</w:t>
      </w:r>
      <w:r>
        <w:rPr>
          <w:u w:val="single"/>
        </w:rPr>
        <w:t>（企业名称）</w:t>
      </w:r>
      <w:r>
        <w:t>，从业人员</w:t>
      </w:r>
      <w:r>
        <w:rPr>
          <w:u w:val="single"/>
        </w:rPr>
        <w:t>　　</w:t>
      </w:r>
      <w:r>
        <w:t>人，营业收入为</w:t>
      </w:r>
      <w:r>
        <w:rPr>
          <w:u w:val="single"/>
        </w:rPr>
        <w:t>　　　　</w:t>
      </w:r>
      <w:r>
        <w:t>万元，资产总额为</w:t>
      </w:r>
      <w:r>
        <w:rPr>
          <w:u w:val="single"/>
        </w:rPr>
        <w:t>　　　</w:t>
      </w:r>
      <w:r>
        <w:t>万元¹，属于</w:t>
      </w:r>
      <w:r>
        <w:rPr>
          <w:u w:val="single"/>
        </w:rPr>
        <w:t>（中型企业、小型企业、微型企业）</w:t>
      </w:r>
      <w:r>
        <w:t>；</w:t>
      </w:r>
    </w:p>
    <w:p w14:paraId="377D7B2E">
      <w:pPr>
        <w:pStyle w:val="6"/>
        <w:ind w:firstLine="480"/>
        <w:jc w:val="left"/>
      </w:pPr>
      <w:r>
        <w:t>2.</w:t>
      </w:r>
      <w:r>
        <w:rPr>
          <w:u w:val="single"/>
        </w:rPr>
        <w:t>（标的名称）</w:t>
      </w:r>
      <w:r>
        <w:t>，属于</w:t>
      </w:r>
      <w:r>
        <w:rPr>
          <w:u w:val="single"/>
        </w:rPr>
        <w:t>（采购文件中明确的所属行业）</w:t>
      </w:r>
      <w:r>
        <w:t>；承建（承接）企业为</w:t>
      </w:r>
      <w:r>
        <w:rPr>
          <w:u w:val="single"/>
        </w:rPr>
        <w:t>（企业名称）</w:t>
      </w:r>
      <w:r>
        <w:t>，从业人员</w:t>
      </w:r>
      <w:r>
        <w:rPr>
          <w:u w:val="single"/>
        </w:rPr>
        <w:t>　　</w:t>
      </w:r>
      <w:r>
        <w:t>人，营业收入为</w:t>
      </w:r>
      <w:r>
        <w:rPr>
          <w:u w:val="single"/>
        </w:rPr>
        <w:t>　　　　</w:t>
      </w:r>
      <w:r>
        <w:t>万元，资产总额为</w:t>
      </w:r>
      <w:r>
        <w:rPr>
          <w:u w:val="single"/>
        </w:rPr>
        <w:t>　　　</w:t>
      </w:r>
      <w:r>
        <w:t>万元，属于</w:t>
      </w:r>
      <w:r>
        <w:rPr>
          <w:u w:val="single"/>
        </w:rPr>
        <w:t>（中型企业、小型企业、微型企业）</w:t>
      </w:r>
      <w:r>
        <w:t>；</w:t>
      </w:r>
    </w:p>
    <w:p w14:paraId="1C066694">
      <w:pPr>
        <w:pStyle w:val="6"/>
        <w:ind w:firstLine="480"/>
        <w:jc w:val="left"/>
      </w:pPr>
      <w:r>
        <w:t>……</w:t>
      </w:r>
    </w:p>
    <w:p w14:paraId="0092834F">
      <w:pPr>
        <w:pStyle w:val="6"/>
        <w:ind w:firstLine="480"/>
        <w:jc w:val="left"/>
      </w:pPr>
      <w:r>
        <w:t>以上企业，不属于大企业的分支机构，不存在控股股东为大企业的情形，也不存在与大企业的负责人为同一人的情形。</w:t>
      </w:r>
    </w:p>
    <w:p w14:paraId="3456AADF">
      <w:pPr>
        <w:pStyle w:val="6"/>
        <w:ind w:firstLine="480"/>
        <w:jc w:val="left"/>
      </w:pPr>
      <w:r>
        <w:t>本企业对上述声明内容的真实性负责。如有虚假，将依法承担相应责任。</w:t>
      </w:r>
    </w:p>
    <w:p w14:paraId="6697FB80">
      <w:pPr>
        <w:pStyle w:val="6"/>
        <w:ind w:firstLine="480"/>
        <w:jc w:val="right"/>
      </w:pPr>
      <w:r>
        <w:t>投标人：</w:t>
      </w:r>
      <w:r>
        <w:rPr>
          <w:u w:val="single"/>
        </w:rPr>
        <w:t>（全称并加盖单位公章）</w:t>
      </w:r>
    </w:p>
    <w:p w14:paraId="33AD2D32">
      <w:pPr>
        <w:pStyle w:val="6"/>
        <w:ind w:firstLine="480"/>
        <w:jc w:val="right"/>
      </w:pPr>
      <w:r>
        <w:t>日期：</w:t>
      </w:r>
      <w:r>
        <w:rPr>
          <w:u w:val="single"/>
        </w:rPr>
        <w:t>　　年　　月　　日</w:t>
      </w:r>
    </w:p>
    <w:p w14:paraId="4F8F3DD5">
      <w:pPr>
        <w:pStyle w:val="6"/>
        <w:ind w:firstLine="480"/>
        <w:jc w:val="left"/>
      </w:pPr>
      <w:r>
        <w:t>※注意：</w:t>
      </w:r>
    </w:p>
    <w:p w14:paraId="26F1DC82">
      <w:pPr>
        <w:pStyle w:val="6"/>
        <w:ind w:firstLine="480"/>
        <w:jc w:val="left"/>
      </w:pPr>
      <w:r>
        <w:t>1、从业人员、营业收入、资产总额填报上一年度数据，无上一年度数据的新成立企业可不填报。</w:t>
      </w:r>
    </w:p>
    <w:p w14:paraId="719F75F3">
      <w:pPr>
        <w:pStyle w:val="6"/>
        <w:ind w:firstLine="480"/>
        <w:jc w:val="left"/>
      </w:pPr>
      <w: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6BD2D987">
      <w:pPr>
        <w:pStyle w:val="6"/>
        <w:ind w:firstLine="480"/>
        <w:jc w:val="left"/>
      </w:pPr>
      <w: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1FC46230">
      <w:pPr>
        <w:pStyle w:val="6"/>
        <w:ind w:firstLine="960"/>
        <w:jc w:val="left"/>
      </w:pPr>
      <w:r>
        <w:t xml:space="preserve"> </w:t>
      </w:r>
      <w:r>
        <w:br w:type="textWrapping"/>
      </w:r>
      <w:r>
        <w:br w:type="page"/>
      </w:r>
    </w:p>
    <w:p w14:paraId="32E3CC0D">
      <w:pPr>
        <w:pStyle w:val="6"/>
        <w:ind w:firstLine="960"/>
        <w:jc w:val="center"/>
        <w:outlineLvl w:val="3"/>
      </w:pPr>
      <w:r>
        <w:rPr>
          <w:b/>
          <w:sz w:val="24"/>
        </w:rPr>
        <w:t>残疾人福利性单位声明函</w:t>
      </w:r>
    </w:p>
    <w:p w14:paraId="5D9863B7">
      <w:pPr>
        <w:pStyle w:val="6"/>
        <w:ind w:firstLine="960"/>
        <w:jc w:val="center"/>
        <w:outlineLvl w:val="3"/>
      </w:pPr>
      <w:r>
        <w:rPr>
          <w:b/>
          <w:sz w:val="24"/>
        </w:rPr>
        <w:t>（以资格条件落实中小企业扶持政策时适用，若有）</w:t>
      </w:r>
    </w:p>
    <w:p w14:paraId="6C1901C4">
      <w:pPr>
        <w:pStyle w:val="6"/>
        <w:ind w:firstLine="480"/>
        <w:jc w:val="left"/>
      </w:pPr>
      <w: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2F31A966">
      <w:pPr>
        <w:pStyle w:val="6"/>
        <w:ind w:firstLine="480"/>
        <w:jc w:val="left"/>
      </w:pPr>
      <w: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1DBD7480">
      <w:pPr>
        <w:pStyle w:val="6"/>
        <w:ind w:firstLine="480"/>
        <w:jc w:val="left"/>
      </w:pPr>
      <w:r>
        <w:t>（ ）由本投标人承建的（填写“所投采购包、品目号”）工程</w:t>
      </w:r>
    </w:p>
    <w:p w14:paraId="6297DE2C">
      <w:pPr>
        <w:pStyle w:val="6"/>
        <w:ind w:firstLine="480"/>
        <w:jc w:val="left"/>
      </w:pPr>
      <w:r>
        <w:t>（ ）由本投标人承接的（填写“所投采购包、品目号”）服务；</w:t>
      </w:r>
    </w:p>
    <w:p w14:paraId="6C8154D3">
      <w:pPr>
        <w:pStyle w:val="6"/>
        <w:ind w:firstLine="480"/>
        <w:jc w:val="left"/>
      </w:pPr>
      <w:r>
        <w:t>本投标人对上述声明的真实性负责。如有虚假，将依法承担相应责任。</w:t>
      </w:r>
    </w:p>
    <w:p w14:paraId="5EFA020D">
      <w:pPr>
        <w:pStyle w:val="6"/>
        <w:ind w:firstLine="480"/>
        <w:jc w:val="left"/>
      </w:pPr>
      <w:r>
        <w:t>备注：</w:t>
      </w:r>
    </w:p>
    <w:p w14:paraId="703B0CBC">
      <w:pPr>
        <w:pStyle w:val="6"/>
        <w:ind w:firstLine="480"/>
        <w:jc w:val="left"/>
      </w:pPr>
      <w:r>
        <w:t>1、请投标人按照实际情况编制填写本声明函，并在相应的（）中打“√”。</w:t>
      </w:r>
    </w:p>
    <w:p w14:paraId="02C882AC">
      <w:pPr>
        <w:pStyle w:val="6"/>
        <w:ind w:firstLine="480"/>
        <w:jc w:val="left"/>
      </w:pPr>
      <w:r>
        <w:t>2、若《残疾人福利性单位声明函》内容不真实，视为提供虚假材料。</w:t>
      </w:r>
    </w:p>
    <w:p w14:paraId="089D6B8E">
      <w:pPr>
        <w:pStyle w:val="6"/>
        <w:ind w:firstLine="480"/>
        <w:jc w:val="right"/>
      </w:pPr>
      <w:r>
        <w:t>投标人：</w:t>
      </w:r>
      <w:r>
        <w:rPr>
          <w:u w:val="single"/>
        </w:rPr>
        <w:t>（全称并加盖单位公章）</w:t>
      </w:r>
    </w:p>
    <w:p w14:paraId="261285F3">
      <w:pPr>
        <w:pStyle w:val="6"/>
        <w:ind w:firstLine="480"/>
        <w:jc w:val="right"/>
      </w:pPr>
      <w:r>
        <w:t>日期：</w:t>
      </w:r>
      <w:r>
        <w:rPr>
          <w:u w:val="single"/>
        </w:rPr>
        <w:t>　　年　　月　　日</w:t>
      </w:r>
    </w:p>
    <w:p w14:paraId="416CB5AA">
      <w:pPr>
        <w:pStyle w:val="6"/>
        <w:ind w:firstLine="480"/>
        <w:jc w:val="left"/>
      </w:pPr>
      <w:r>
        <w:t>附：</w:t>
      </w:r>
    </w:p>
    <w:p w14:paraId="0214ABE4">
      <w:pPr>
        <w:pStyle w:val="6"/>
        <w:ind w:firstLine="960"/>
        <w:jc w:val="center"/>
        <w:outlineLvl w:val="3"/>
      </w:pPr>
      <w:r>
        <w:rPr>
          <w:b/>
          <w:sz w:val="24"/>
        </w:rPr>
        <w:t>监狱企业证明材料</w:t>
      </w:r>
    </w:p>
    <w:p w14:paraId="351A4FDC">
      <w:pPr>
        <w:pStyle w:val="6"/>
        <w:ind w:firstLine="480"/>
        <w:jc w:val="left"/>
      </w:pPr>
      <w:r>
        <w:t>投标人为监狱企业，提供本单位制造的货物（承接的服务），并在电子投标文件中提供省级以上监狱管理局、戒毒管理局（含新疆生产建设兵团）出具的属于监狱企业的证明文件。</w:t>
      </w:r>
    </w:p>
    <w:p w14:paraId="2C42A0E1">
      <w:pPr>
        <w:pStyle w:val="6"/>
        <w:ind w:firstLine="960"/>
        <w:jc w:val="left"/>
      </w:pPr>
      <w:r>
        <w:t xml:space="preserve"> </w:t>
      </w:r>
      <w:r>
        <w:br w:type="textWrapping"/>
      </w:r>
      <w:r>
        <w:br w:type="page"/>
      </w:r>
    </w:p>
    <w:p w14:paraId="1E799D46">
      <w:pPr>
        <w:pStyle w:val="6"/>
        <w:ind w:firstLine="960"/>
        <w:jc w:val="center"/>
        <w:outlineLvl w:val="3"/>
      </w:pPr>
      <w:r>
        <w:rPr>
          <w:b/>
          <w:sz w:val="24"/>
        </w:rPr>
        <w:t>二-10联合体协议（若有）</w:t>
      </w:r>
    </w:p>
    <w:p w14:paraId="68B03344">
      <w:pPr>
        <w:pStyle w:val="6"/>
        <w:ind w:firstLine="480"/>
        <w:jc w:val="left"/>
      </w:pPr>
      <w:r>
        <w:t>致：</w:t>
      </w:r>
      <w:r>
        <w:rPr>
          <w:u w:val="single"/>
        </w:rPr>
        <w:t>（采购人或采购代理机构）</w:t>
      </w:r>
    </w:p>
    <w:p w14:paraId="2EC08EA5">
      <w:pPr>
        <w:pStyle w:val="6"/>
        <w:ind w:firstLine="480"/>
        <w:jc w:val="left"/>
      </w:pPr>
      <w:r>
        <w:t>兹有</w:t>
      </w:r>
      <w:r>
        <w:rPr>
          <w:u w:val="single"/>
        </w:rPr>
        <w:t>（填写“联合体中各方的全称”，各方的全称之间请用“、”分割）</w:t>
      </w:r>
      <w:r>
        <w:t>自愿组成联合体，共同参加</w:t>
      </w:r>
      <w:r>
        <w:rPr>
          <w:u w:val="single"/>
        </w:rPr>
        <w:t>（填写“项目名称”）</w:t>
      </w:r>
      <w:r>
        <w:t xml:space="preserve"> 项目（项目编号：</w:t>
      </w:r>
      <w:r>
        <w:rPr>
          <w:u w:val="single"/>
        </w:rPr>
        <w:t>　　　　　　</w:t>
      </w:r>
      <w:r>
        <w:t>）的投标。现就联合体参加本项目投标的有关事宜达成下列协议：</w:t>
      </w:r>
    </w:p>
    <w:p w14:paraId="1B5029D5">
      <w:pPr>
        <w:pStyle w:val="6"/>
        <w:ind w:firstLine="480"/>
        <w:jc w:val="left"/>
      </w:pPr>
      <w:r>
        <w:t>一、联合体各方应承担的工作和义务具体如下：</w:t>
      </w:r>
    </w:p>
    <w:p w14:paraId="009A0FA0">
      <w:pPr>
        <w:pStyle w:val="6"/>
        <w:ind w:firstLine="480"/>
        <w:jc w:val="left"/>
      </w:pPr>
      <w:r>
        <w:t>1、牵头方（全称）：</w:t>
      </w:r>
      <w:r>
        <w:rPr>
          <w:u w:val="single"/>
        </w:rPr>
        <w:t xml:space="preserve">（填写“工作及义务的具体内容”） </w:t>
      </w:r>
      <w:r>
        <w:t>；</w:t>
      </w:r>
    </w:p>
    <w:p w14:paraId="1054FC2C">
      <w:pPr>
        <w:pStyle w:val="6"/>
        <w:ind w:firstLine="480"/>
        <w:jc w:val="left"/>
      </w:pPr>
      <w:r>
        <w:t>2、成员方：</w:t>
      </w:r>
    </w:p>
    <w:p w14:paraId="6AEF0C21">
      <w:pPr>
        <w:pStyle w:val="6"/>
        <w:ind w:firstLine="480"/>
        <w:jc w:val="left"/>
      </w:pPr>
      <w:r>
        <w:t>2.1（成员一的全称）：</w:t>
      </w:r>
      <w:r>
        <w:rPr>
          <w:u w:val="single"/>
        </w:rPr>
        <w:t>（填写“工作及义务的具体内容”）</w:t>
      </w:r>
      <w:r>
        <w:t xml:space="preserve"> ；</w:t>
      </w:r>
    </w:p>
    <w:p w14:paraId="40C3C25A">
      <w:pPr>
        <w:pStyle w:val="6"/>
        <w:ind w:firstLine="480"/>
        <w:jc w:val="left"/>
      </w:pPr>
      <w:r>
        <w:t>……</w:t>
      </w:r>
    </w:p>
    <w:p w14:paraId="07648E7D">
      <w:pPr>
        <w:pStyle w:val="6"/>
        <w:ind w:firstLine="480"/>
        <w:jc w:val="left"/>
      </w:pPr>
      <w:r>
        <w:t>二、联合体各方的合同金额占比，具体如下：</w:t>
      </w:r>
    </w:p>
    <w:p w14:paraId="6512790A">
      <w:pPr>
        <w:pStyle w:val="6"/>
        <w:ind w:firstLine="480"/>
        <w:jc w:val="left"/>
      </w:pPr>
      <w:r>
        <w:t>1.牵头方（</w:t>
      </w:r>
      <w:r>
        <w:rPr>
          <w:u w:val="single"/>
        </w:rPr>
        <w:t xml:space="preserve"> 全称</w:t>
      </w:r>
      <w:r>
        <w:t xml:space="preserve"> ）的合同金额占合同总额的</w:t>
      </w:r>
      <w:r>
        <w:rPr>
          <w:u w:val="single"/>
        </w:rPr>
        <w:t>　　</w:t>
      </w:r>
      <w:r>
        <w:t>%；</w:t>
      </w:r>
    </w:p>
    <w:p w14:paraId="47955540">
      <w:pPr>
        <w:pStyle w:val="6"/>
        <w:ind w:firstLine="480"/>
        <w:jc w:val="left"/>
      </w:pPr>
      <w:r>
        <w:t>2.成员方：</w:t>
      </w:r>
    </w:p>
    <w:p w14:paraId="34295D9C">
      <w:pPr>
        <w:pStyle w:val="6"/>
        <w:ind w:firstLine="480"/>
        <w:jc w:val="left"/>
      </w:pPr>
      <w:r>
        <w:t>2.1（</w:t>
      </w:r>
      <w:r>
        <w:rPr>
          <w:u w:val="single"/>
        </w:rPr>
        <w:t xml:space="preserve"> 成员1的全称 </w:t>
      </w:r>
      <w:r>
        <w:t>）的合同金额占合同总额的</w:t>
      </w:r>
      <w:r>
        <w:rPr>
          <w:u w:val="single"/>
        </w:rPr>
        <w:t>　　</w:t>
      </w:r>
      <w:r>
        <w:t>%；</w:t>
      </w:r>
    </w:p>
    <w:p w14:paraId="5DDC46AA">
      <w:pPr>
        <w:pStyle w:val="6"/>
        <w:ind w:firstLine="480"/>
        <w:jc w:val="left"/>
      </w:pPr>
      <w:r>
        <w:t>……</w:t>
      </w:r>
    </w:p>
    <w:p w14:paraId="4CE3C384">
      <w:pPr>
        <w:pStyle w:val="6"/>
        <w:ind w:firstLine="480"/>
        <w:jc w:val="left"/>
      </w:pPr>
      <w:r>
        <w:t>三、联合体各方约定：</w:t>
      </w:r>
    </w:p>
    <w:p w14:paraId="297AFCC0">
      <w:pPr>
        <w:pStyle w:val="6"/>
        <w:ind w:firstLine="480"/>
        <w:jc w:val="left"/>
      </w:pPr>
      <w:r>
        <w:t>1、由</w:t>
      </w:r>
      <w:r>
        <w:rPr>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14:paraId="057B9E73">
      <w:pPr>
        <w:pStyle w:val="6"/>
        <w:ind w:firstLine="480"/>
        <w:jc w:val="left"/>
      </w:pPr>
      <w:r>
        <w:t>2、联合体各方约定由</w:t>
      </w:r>
      <w:r>
        <w:rPr>
          <w:u w:val="single"/>
        </w:rPr>
        <w:t>（填写“牵头方的全称”）代表联合体办理投标保证金事宜。</w:t>
      </w:r>
    </w:p>
    <w:p w14:paraId="582D84D2">
      <w:pPr>
        <w:pStyle w:val="6"/>
        <w:ind w:firstLine="480"/>
        <w:jc w:val="left"/>
      </w:pPr>
      <w: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14:paraId="6BA987FF">
      <w:pPr>
        <w:pStyle w:val="6"/>
        <w:ind w:firstLine="480"/>
        <w:jc w:val="left"/>
      </w:pPr>
      <w:r>
        <w:t>四、若中标，牵头方将代表联合体与采购人就合同签订事宜进行协商；若协商一致，则联合体各方将共同与采购人签订政府采购合同，并就政府采购合同约定的事项对采购人承担连带责任。</w:t>
      </w:r>
    </w:p>
    <w:p w14:paraId="558A4539">
      <w:pPr>
        <w:pStyle w:val="6"/>
        <w:ind w:firstLine="480"/>
        <w:jc w:val="left"/>
      </w:pPr>
      <w:r>
        <w:t>五、本协议自签署之日起生效，政府采购合同履行完毕后自动失效。</w:t>
      </w:r>
    </w:p>
    <w:p w14:paraId="66B4AED6">
      <w:pPr>
        <w:pStyle w:val="6"/>
        <w:ind w:firstLine="480"/>
        <w:jc w:val="left"/>
      </w:pPr>
      <w:r>
        <w:t>六、本协议一式</w:t>
      </w:r>
      <w:r>
        <w:rPr>
          <w:u w:val="single"/>
        </w:rPr>
        <w:t>（填写具体份数）</w:t>
      </w:r>
      <w:r>
        <w:t>份，联合体各方各执一份，电子投标文件中提交一份。</w:t>
      </w:r>
    </w:p>
    <w:p w14:paraId="495ABF3F">
      <w:pPr>
        <w:pStyle w:val="6"/>
        <w:ind w:firstLine="480"/>
        <w:jc w:val="left"/>
      </w:pPr>
      <w:r>
        <w:t>（以下无正文）</w:t>
      </w:r>
    </w:p>
    <w:p w14:paraId="126B42D8">
      <w:pPr>
        <w:pStyle w:val="6"/>
        <w:ind w:firstLine="480"/>
        <w:jc w:val="left"/>
      </w:pPr>
      <w:r>
        <w:t>牵头方：</w:t>
      </w:r>
      <w:r>
        <w:rPr>
          <w:u w:val="single"/>
        </w:rPr>
        <w:t>（全称并加盖单位公章）</w:t>
      </w:r>
    </w:p>
    <w:p w14:paraId="49F2298C">
      <w:pPr>
        <w:pStyle w:val="6"/>
        <w:ind w:firstLine="480"/>
        <w:jc w:val="left"/>
      </w:pPr>
      <w:r>
        <w:t>法定代表人或其委托代理人：</w:t>
      </w:r>
      <w:r>
        <w:rPr>
          <w:u w:val="single"/>
        </w:rPr>
        <w:t xml:space="preserve"> （签字或盖章）</w:t>
      </w:r>
    </w:p>
    <w:p w14:paraId="7B1AC441">
      <w:pPr>
        <w:pStyle w:val="6"/>
        <w:ind w:firstLine="480"/>
        <w:jc w:val="left"/>
      </w:pPr>
      <w:r>
        <w:t>成员一：</w:t>
      </w:r>
      <w:r>
        <w:rPr>
          <w:u w:val="single"/>
        </w:rPr>
        <w:t>（全称并加盖成员一的单位公章）</w:t>
      </w:r>
    </w:p>
    <w:p w14:paraId="02FD27DA">
      <w:pPr>
        <w:pStyle w:val="6"/>
        <w:ind w:firstLine="480"/>
        <w:jc w:val="left"/>
      </w:pPr>
      <w:r>
        <w:t>法定代表人或其委托代理人：</w:t>
      </w:r>
      <w:r>
        <w:rPr>
          <w:u w:val="single"/>
        </w:rPr>
        <w:t xml:space="preserve"> （签字或盖章）</w:t>
      </w:r>
    </w:p>
    <w:p w14:paraId="29673013">
      <w:pPr>
        <w:pStyle w:val="6"/>
        <w:ind w:firstLine="480"/>
        <w:jc w:val="left"/>
      </w:pPr>
      <w:r>
        <w:t>……</w:t>
      </w:r>
    </w:p>
    <w:p w14:paraId="0131B32F">
      <w:pPr>
        <w:pStyle w:val="6"/>
        <w:ind w:firstLine="480"/>
        <w:jc w:val="left"/>
      </w:pPr>
      <w:r>
        <w:t>成员**：</w:t>
      </w:r>
      <w:r>
        <w:rPr>
          <w:u w:val="single"/>
        </w:rPr>
        <w:t>（全称并加盖成员**的单位公章）</w:t>
      </w:r>
    </w:p>
    <w:p w14:paraId="64921EAC">
      <w:pPr>
        <w:pStyle w:val="6"/>
        <w:ind w:firstLine="480"/>
        <w:jc w:val="left"/>
      </w:pPr>
      <w:r>
        <w:t>法定代表人或其委托代理人：</w:t>
      </w:r>
      <w:r>
        <w:rPr>
          <w:u w:val="single"/>
        </w:rPr>
        <w:t xml:space="preserve"> （签字或盖章）</w:t>
      </w:r>
    </w:p>
    <w:p w14:paraId="36A1A4FF">
      <w:pPr>
        <w:pStyle w:val="6"/>
        <w:ind w:firstLine="480"/>
        <w:jc w:val="right"/>
      </w:pPr>
      <w:r>
        <w:t>签署日期：</w:t>
      </w:r>
      <w:r>
        <w:rPr>
          <w:u w:val="single"/>
        </w:rPr>
        <w:t>　　年　　月　　日</w:t>
      </w:r>
    </w:p>
    <w:p w14:paraId="2554052E">
      <w:pPr>
        <w:pStyle w:val="6"/>
        <w:ind w:firstLine="480"/>
        <w:jc w:val="left"/>
      </w:pPr>
      <w:r>
        <w:t>※注意：</w:t>
      </w:r>
    </w:p>
    <w:p w14:paraId="793B1131">
      <w:pPr>
        <w:pStyle w:val="6"/>
        <w:ind w:firstLine="480"/>
        <w:jc w:val="left"/>
      </w:pPr>
      <w:r>
        <w:t>1、招标文件接受联合体投标且投标人为联合体的，投标人应提供本协议；否则无须提供。</w:t>
      </w:r>
    </w:p>
    <w:p w14:paraId="43BD72AC">
      <w:pPr>
        <w:pStyle w:val="6"/>
        <w:ind w:firstLine="480"/>
        <w:jc w:val="left"/>
      </w:pPr>
      <w:r>
        <w:t>2、本协议由委托代理人签字或盖章的，应按照本章载明的格式提供“单位授权书”。</w:t>
      </w:r>
    </w:p>
    <w:p w14:paraId="117C961E">
      <w:pPr>
        <w:pStyle w:val="6"/>
        <w:ind w:firstLine="480"/>
        <w:jc w:val="left"/>
      </w:pPr>
      <w:r>
        <w:t>3、在以联合体形式落实中小企业预留份额项目中，投标人除了要提供《中小企业声明函》，还需提供本协议。</w:t>
      </w:r>
    </w:p>
    <w:p w14:paraId="69FFE69E">
      <w:pPr>
        <w:pStyle w:val="6"/>
        <w:ind w:firstLine="960"/>
        <w:jc w:val="left"/>
      </w:pPr>
      <w:r>
        <w:t xml:space="preserve"> </w:t>
      </w:r>
      <w:r>
        <w:br w:type="textWrapping"/>
      </w:r>
      <w:r>
        <w:br w:type="page"/>
      </w:r>
    </w:p>
    <w:p w14:paraId="2DF642D7">
      <w:pPr>
        <w:pStyle w:val="6"/>
        <w:ind w:firstLine="960"/>
        <w:jc w:val="center"/>
        <w:outlineLvl w:val="3"/>
      </w:pPr>
      <w:r>
        <w:rPr>
          <w:b/>
          <w:sz w:val="24"/>
        </w:rPr>
        <w:t>二-11分包意向协议（若有）</w:t>
      </w:r>
    </w:p>
    <w:p w14:paraId="59656C99">
      <w:pPr>
        <w:pStyle w:val="6"/>
        <w:ind w:firstLine="480"/>
        <w:jc w:val="left"/>
      </w:pPr>
      <w:r>
        <w:t>甲方（总包方）：</w:t>
      </w:r>
      <w:r>
        <w:rPr>
          <w:u w:val="single"/>
        </w:rPr>
        <w:t>　　　　　　　</w:t>
      </w:r>
      <w:r>
        <w:t>（即本项目的投标人）</w:t>
      </w:r>
    </w:p>
    <w:p w14:paraId="2FDD1DB5">
      <w:pPr>
        <w:pStyle w:val="6"/>
        <w:ind w:firstLine="480"/>
        <w:jc w:val="left"/>
      </w:pPr>
      <w:r>
        <w:t>乙方（分包方）：</w:t>
      </w:r>
      <w:r>
        <w:rPr>
          <w:u w:val="single"/>
        </w:rPr>
        <w:t>　　　　　　　</w:t>
      </w:r>
    </w:p>
    <w:p w14:paraId="3FB93CEF">
      <w:pPr>
        <w:pStyle w:val="6"/>
        <w:ind w:firstLine="480"/>
        <w:jc w:val="left"/>
      </w:pPr>
      <w:r>
        <w:t>兹有甲方参加</w:t>
      </w:r>
      <w:r>
        <w:rPr>
          <w:u w:val="single"/>
        </w:rPr>
        <w:t>（填写“项目名称”）</w:t>
      </w:r>
      <w:r>
        <w:t xml:space="preserve"> 项目（项目编号：</w:t>
      </w:r>
      <w:r>
        <w:rPr>
          <w:u w:val="single"/>
        </w:rPr>
        <w:t>　　　　　　　</w:t>
      </w:r>
      <w:r>
        <w:t>）的政府采购活动。甲方期望将采购项目的部分采购标的分包给乙方完成，而乙方保证能够向甲方提供本协议项下的采购标的，甲、乙双方就合同分包的有关事宜达成下列协议：</w:t>
      </w:r>
    </w:p>
    <w:p w14:paraId="37A2F801">
      <w:pPr>
        <w:pStyle w:val="6"/>
        <w:ind w:firstLine="480"/>
        <w:jc w:val="left"/>
      </w:pPr>
      <w:r>
        <w:t>一、分包标的</w:t>
      </w:r>
    </w:p>
    <w:p w14:paraId="6901364F">
      <w:pPr>
        <w:pStyle w:val="6"/>
        <w:ind w:firstLine="480"/>
        <w:jc w:val="left"/>
      </w:pPr>
      <w:r>
        <w:rPr>
          <w:u w:val="single"/>
        </w:rPr>
        <w:t>（根据双方的意向填写，可以是表格或文字描述）。</w:t>
      </w:r>
    </w:p>
    <w:p w14:paraId="44CC3287">
      <w:pPr>
        <w:pStyle w:val="6"/>
        <w:ind w:firstLine="480"/>
        <w:jc w:val="left"/>
      </w:pPr>
      <w:r>
        <w:t>二、分包合同金额占比</w:t>
      </w:r>
    </w:p>
    <w:p w14:paraId="07772510">
      <w:pPr>
        <w:pStyle w:val="6"/>
        <w:ind w:firstLine="480"/>
        <w:jc w:val="left"/>
      </w:pPr>
      <w:r>
        <w:t>分包合同价占投标总价的比例：</w:t>
      </w:r>
      <w:r>
        <w:rPr>
          <w:u w:val="single"/>
        </w:rPr>
        <w:t>　　　　　</w:t>
      </w:r>
      <w:r>
        <w:t>%</w:t>
      </w:r>
    </w:p>
    <w:p w14:paraId="38B0F8AE">
      <w:pPr>
        <w:pStyle w:val="6"/>
        <w:ind w:firstLine="480"/>
        <w:jc w:val="left"/>
      </w:pPr>
      <w:r>
        <w:t>三、其他条款</w:t>
      </w:r>
    </w:p>
    <w:p w14:paraId="140895A4">
      <w:pPr>
        <w:pStyle w:val="6"/>
        <w:ind w:firstLine="480"/>
        <w:jc w:val="left"/>
      </w:pPr>
      <w: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5E2A8D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BC2F211">
            <w:pPr>
              <w:pStyle w:val="6"/>
              <w:jc w:val="left"/>
            </w:pPr>
            <w:r>
              <w:t>甲方：</w:t>
            </w:r>
          </w:p>
        </w:tc>
        <w:tc>
          <w:tcPr>
            <w:tcW w:w="4153" w:type="dxa"/>
          </w:tcPr>
          <w:p w14:paraId="230FAACE">
            <w:pPr>
              <w:pStyle w:val="6"/>
              <w:jc w:val="left"/>
            </w:pPr>
            <w:r>
              <w:t>乙方：</w:t>
            </w:r>
          </w:p>
        </w:tc>
      </w:tr>
      <w:tr w14:paraId="164C5B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AF7C6C8">
            <w:pPr>
              <w:pStyle w:val="6"/>
              <w:jc w:val="left"/>
            </w:pPr>
            <w:r>
              <w:t>住所：</w:t>
            </w:r>
          </w:p>
        </w:tc>
        <w:tc>
          <w:tcPr>
            <w:tcW w:w="4153" w:type="dxa"/>
          </w:tcPr>
          <w:p w14:paraId="2D03A199">
            <w:pPr>
              <w:pStyle w:val="6"/>
              <w:jc w:val="left"/>
            </w:pPr>
            <w:r>
              <w:t>住所：</w:t>
            </w:r>
          </w:p>
        </w:tc>
      </w:tr>
      <w:tr w14:paraId="6B4983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134AE6C">
            <w:pPr>
              <w:pStyle w:val="6"/>
              <w:jc w:val="left"/>
            </w:pPr>
            <w:r>
              <w:t>单位负责人或委托代理人：</w:t>
            </w:r>
          </w:p>
        </w:tc>
        <w:tc>
          <w:tcPr>
            <w:tcW w:w="4153" w:type="dxa"/>
          </w:tcPr>
          <w:p w14:paraId="1BF9F61A">
            <w:pPr>
              <w:pStyle w:val="6"/>
              <w:jc w:val="left"/>
            </w:pPr>
            <w:r>
              <w:t>单位负责人或委托代理人：</w:t>
            </w:r>
          </w:p>
        </w:tc>
      </w:tr>
      <w:tr w14:paraId="6333E8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AA8144C">
            <w:pPr>
              <w:pStyle w:val="6"/>
              <w:jc w:val="left"/>
            </w:pPr>
            <w:r>
              <w:t>联系方法：</w:t>
            </w:r>
          </w:p>
        </w:tc>
        <w:tc>
          <w:tcPr>
            <w:tcW w:w="4153" w:type="dxa"/>
          </w:tcPr>
          <w:p w14:paraId="35C82AA8">
            <w:pPr>
              <w:pStyle w:val="6"/>
              <w:jc w:val="left"/>
            </w:pPr>
            <w:r>
              <w:t>联系方法：</w:t>
            </w:r>
          </w:p>
        </w:tc>
      </w:tr>
      <w:tr w14:paraId="2842FD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5807D2E">
            <w:pPr>
              <w:pStyle w:val="6"/>
              <w:jc w:val="left"/>
            </w:pPr>
            <w:r>
              <w:t>开户银行：</w:t>
            </w:r>
          </w:p>
        </w:tc>
        <w:tc>
          <w:tcPr>
            <w:tcW w:w="4153" w:type="dxa"/>
          </w:tcPr>
          <w:p w14:paraId="66011124">
            <w:pPr>
              <w:pStyle w:val="6"/>
              <w:jc w:val="left"/>
            </w:pPr>
            <w:r>
              <w:t>开户银行：</w:t>
            </w:r>
          </w:p>
        </w:tc>
      </w:tr>
      <w:tr w14:paraId="67087C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E831FD8">
            <w:pPr>
              <w:pStyle w:val="6"/>
              <w:jc w:val="left"/>
            </w:pPr>
            <w:r>
              <w:t>账号：</w:t>
            </w:r>
          </w:p>
        </w:tc>
        <w:tc>
          <w:tcPr>
            <w:tcW w:w="4153" w:type="dxa"/>
          </w:tcPr>
          <w:p w14:paraId="262513EF">
            <w:pPr>
              <w:pStyle w:val="6"/>
              <w:jc w:val="left"/>
            </w:pPr>
            <w:r>
              <w:t>账号：</w:t>
            </w:r>
          </w:p>
        </w:tc>
      </w:tr>
      <w:tr w14:paraId="429646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604C938F">
            <w:pPr>
              <w:pStyle w:val="6"/>
              <w:ind w:firstLine="960"/>
              <w:jc w:val="right"/>
            </w:pPr>
            <w:r>
              <w:t>签订地点：</w:t>
            </w:r>
            <w:r>
              <w:rPr>
                <w:u w:val="single"/>
              </w:rPr>
              <w:t>　　　　　　　　　　</w:t>
            </w:r>
          </w:p>
          <w:p w14:paraId="5BC8B42F">
            <w:pPr>
              <w:pStyle w:val="6"/>
              <w:ind w:firstLine="960"/>
              <w:jc w:val="right"/>
            </w:pPr>
            <w:r>
              <w:t>签约日期：</w:t>
            </w:r>
            <w:r>
              <w:rPr>
                <w:u w:val="single"/>
              </w:rPr>
              <w:t>　　年　　月　　日</w:t>
            </w:r>
          </w:p>
        </w:tc>
      </w:tr>
    </w:tbl>
    <w:p w14:paraId="2A6AB658">
      <w:pPr>
        <w:pStyle w:val="6"/>
        <w:ind w:firstLine="480"/>
        <w:jc w:val="left"/>
      </w:pPr>
      <w:r>
        <w:t>※注意：</w:t>
      </w:r>
    </w:p>
    <w:p w14:paraId="5A9EA10E">
      <w:pPr>
        <w:pStyle w:val="6"/>
        <w:ind w:firstLine="480"/>
        <w:jc w:val="left"/>
      </w:pPr>
      <w:r>
        <w:t>1.招标文件接受合同分包且投标人拟将合同分包的，应提供本协议；否则无须提供。</w:t>
      </w:r>
    </w:p>
    <w:p w14:paraId="24BF7792">
      <w:pPr>
        <w:pStyle w:val="6"/>
        <w:ind w:firstLine="480"/>
        <w:jc w:val="left"/>
      </w:pPr>
      <w:r>
        <w:t>2.本协议由委托代理人签字或盖章的，应按照本章载明的格式提供“单位授权书”。</w:t>
      </w:r>
    </w:p>
    <w:p w14:paraId="2B36108D">
      <w:pPr>
        <w:pStyle w:val="6"/>
        <w:ind w:firstLine="480"/>
        <w:jc w:val="left"/>
      </w:pPr>
      <w:r>
        <w:t>3.在以合同分包形式落实中小企业预留份额项目中，投标人除了要提供《中小企业声明函》，还需提供本协议。</w:t>
      </w:r>
    </w:p>
    <w:p w14:paraId="4D7C6059">
      <w:pPr>
        <w:pStyle w:val="6"/>
        <w:ind w:firstLine="960"/>
        <w:jc w:val="left"/>
      </w:pPr>
      <w:r>
        <w:t xml:space="preserve"> </w:t>
      </w:r>
      <w:r>
        <w:br w:type="textWrapping"/>
      </w:r>
      <w:r>
        <w:br w:type="page"/>
      </w:r>
    </w:p>
    <w:p w14:paraId="2FE22692">
      <w:pPr>
        <w:pStyle w:val="6"/>
        <w:ind w:firstLine="960"/>
        <w:jc w:val="center"/>
        <w:outlineLvl w:val="3"/>
      </w:pPr>
      <w:r>
        <w:rPr>
          <w:b/>
          <w:sz w:val="24"/>
        </w:rPr>
        <w:t>二-12其他资格证明文件（若有）</w:t>
      </w:r>
    </w:p>
    <w:p w14:paraId="0FA5D2B5">
      <w:pPr>
        <w:pStyle w:val="6"/>
        <w:ind w:firstLine="960"/>
        <w:jc w:val="center"/>
        <w:outlineLvl w:val="3"/>
      </w:pPr>
      <w:r>
        <w:rPr>
          <w:b/>
          <w:sz w:val="24"/>
        </w:rPr>
        <w:t>二-12-①具备履行合同所必需设备和专业技术能力专项证明材料（若有）</w:t>
      </w:r>
    </w:p>
    <w:p w14:paraId="12B120D8">
      <w:pPr>
        <w:pStyle w:val="6"/>
        <w:ind w:firstLine="480"/>
        <w:jc w:val="left"/>
      </w:pPr>
      <w:r>
        <w:t>致：</w:t>
      </w:r>
      <w:r>
        <w:rPr>
          <w:u w:val="single"/>
        </w:rPr>
        <w:t>（采购人或采购代理机构）</w:t>
      </w:r>
    </w:p>
    <w:p w14:paraId="078BDAE8">
      <w:pPr>
        <w:pStyle w:val="6"/>
        <w:ind w:firstLine="480"/>
        <w:jc w:val="left"/>
      </w:pPr>
      <w:r>
        <w:t>现附上我方具备履行合同所必需的设备和专业技术能力的专项证明材料复印件（具体附后），上述证明材料真实有效，否则我方负全部责任。</w:t>
      </w:r>
    </w:p>
    <w:p w14:paraId="2A6E9A53">
      <w:pPr>
        <w:pStyle w:val="6"/>
        <w:ind w:firstLine="480"/>
        <w:jc w:val="left"/>
      </w:pPr>
      <w:r>
        <w:t>※注意：</w:t>
      </w:r>
    </w:p>
    <w:p w14:paraId="01D71C97">
      <w:pPr>
        <w:pStyle w:val="6"/>
        <w:ind w:firstLine="480"/>
        <w:jc w:val="left"/>
      </w:pPr>
      <w:r>
        <w:t>1、招标文件要求投标人提供“具备履行合同所必需的设备和专业技术能力专项证明材料”的，投标人应按照招标文件规定在此项下提供相应证明材料复印件。</w:t>
      </w:r>
    </w:p>
    <w:p w14:paraId="77790222">
      <w:pPr>
        <w:pStyle w:val="6"/>
        <w:ind w:firstLine="480"/>
        <w:jc w:val="left"/>
      </w:pPr>
      <w:r>
        <w:t>2、投标人提供的相应证明材料复印件均应符合：内容完整、清晰、整洁，并由投标人加盖其单位公章。</w:t>
      </w:r>
    </w:p>
    <w:p w14:paraId="7DBCF841">
      <w:pPr>
        <w:pStyle w:val="6"/>
        <w:ind w:firstLine="480"/>
        <w:jc w:val="right"/>
      </w:pPr>
      <w:r>
        <w:t>投标人：</w:t>
      </w:r>
      <w:r>
        <w:rPr>
          <w:u w:val="single"/>
        </w:rPr>
        <w:t>（全称并加盖单位公章）</w:t>
      </w:r>
    </w:p>
    <w:p w14:paraId="5F32C14B">
      <w:pPr>
        <w:pStyle w:val="6"/>
        <w:ind w:firstLine="480"/>
        <w:jc w:val="right"/>
      </w:pPr>
      <w:r>
        <w:t>日期：</w:t>
      </w:r>
      <w:r>
        <w:rPr>
          <w:u w:val="single"/>
        </w:rPr>
        <w:t>　　年　　月　　日</w:t>
      </w:r>
    </w:p>
    <w:p w14:paraId="7161F9BA">
      <w:pPr>
        <w:pStyle w:val="6"/>
        <w:ind w:firstLine="960"/>
        <w:jc w:val="left"/>
      </w:pPr>
      <w:r>
        <w:t xml:space="preserve"> </w:t>
      </w:r>
      <w:r>
        <w:br w:type="textWrapping"/>
      </w:r>
      <w:r>
        <w:br w:type="page"/>
      </w:r>
    </w:p>
    <w:p w14:paraId="3BE2872A">
      <w:pPr>
        <w:pStyle w:val="6"/>
        <w:ind w:firstLine="960"/>
        <w:jc w:val="center"/>
        <w:outlineLvl w:val="3"/>
      </w:pPr>
      <w:r>
        <w:rPr>
          <w:b/>
          <w:sz w:val="24"/>
        </w:rPr>
        <w:t>二-12-②招标文件规定的其他资格证明文件（若有）</w:t>
      </w:r>
    </w:p>
    <w:p w14:paraId="47E61B02">
      <w:pPr>
        <w:pStyle w:val="6"/>
        <w:ind w:firstLine="480"/>
        <w:jc w:val="center"/>
      </w:pPr>
      <w:r>
        <w:t>编制说明</w:t>
      </w:r>
    </w:p>
    <w:p w14:paraId="4FDA5EC9">
      <w:pPr>
        <w:pStyle w:val="6"/>
        <w:ind w:firstLine="480"/>
        <w:jc w:val="left"/>
      </w:pPr>
      <w:r>
        <w:t>除招标文件另有规定外，招标文件要求提交的除前述资格证明文件外的其他资格证明文件（若有）加盖投标人的单位公章后应在此项下提交。</w:t>
      </w:r>
    </w:p>
    <w:p w14:paraId="4C5DB779">
      <w:pPr>
        <w:pStyle w:val="6"/>
      </w:pPr>
      <w:r>
        <w:t xml:space="preserve"> </w:t>
      </w:r>
      <w:r>
        <w:br w:type="textWrapping"/>
      </w:r>
      <w:r>
        <w:br w:type="page"/>
      </w:r>
    </w:p>
    <w:p w14:paraId="7C2C36EE">
      <w:pPr>
        <w:pStyle w:val="6"/>
        <w:jc w:val="center"/>
        <w:outlineLvl w:val="2"/>
      </w:pPr>
      <w:r>
        <w:rPr>
          <w:b/>
          <w:sz w:val="28"/>
        </w:rPr>
        <w:t>三、投标保证金</w:t>
      </w:r>
    </w:p>
    <w:p w14:paraId="66E0F629">
      <w:pPr>
        <w:pStyle w:val="6"/>
        <w:ind w:firstLine="480"/>
        <w:jc w:val="center"/>
      </w:pPr>
      <w:r>
        <w:t>编制说明</w:t>
      </w:r>
    </w:p>
    <w:p w14:paraId="7D26D476">
      <w:pPr>
        <w:pStyle w:val="6"/>
        <w:ind w:firstLine="480"/>
        <w:jc w:val="left"/>
      </w:pPr>
      <w:r>
        <w:t>1、在此项下提交的“投标保证金”材料可使用转账凭证复印件或从福建省政府采购网上公开信息系统中下载的有关原始页面的打印件。</w:t>
      </w:r>
    </w:p>
    <w:p w14:paraId="5287D0A5">
      <w:pPr>
        <w:pStyle w:val="6"/>
        <w:ind w:firstLine="480"/>
        <w:jc w:val="left"/>
      </w:pPr>
      <w:r>
        <w:t>2、投标保证金是否已提交的认定按照招标文件第三章规定执行。</w:t>
      </w:r>
    </w:p>
    <w:p w14:paraId="725A67A7">
      <w:pPr>
        <w:pStyle w:val="6"/>
      </w:pPr>
      <w:r>
        <w:t xml:space="preserve"> </w:t>
      </w:r>
      <w:r>
        <w:br w:type="textWrapping"/>
      </w:r>
      <w:r>
        <w:br w:type="page"/>
      </w:r>
    </w:p>
    <w:p w14:paraId="65BFBA8B">
      <w:pPr>
        <w:pStyle w:val="6"/>
        <w:jc w:val="center"/>
        <w:outlineLvl w:val="2"/>
      </w:pPr>
      <w:r>
        <w:rPr>
          <w:b/>
          <w:sz w:val="28"/>
        </w:rPr>
        <w:t>封面格式(报价部分)</w:t>
      </w:r>
    </w:p>
    <w:p w14:paraId="60B19A29">
      <w:pPr>
        <w:pStyle w:val="6"/>
        <w:jc w:val="center"/>
        <w:outlineLvl w:val="0"/>
      </w:pPr>
      <w:r>
        <w:rPr>
          <w:b/>
          <w:sz w:val="48"/>
        </w:rPr>
        <w:t>福建省政府采购投标文件</w:t>
      </w:r>
    </w:p>
    <w:p w14:paraId="4DE13442">
      <w:pPr>
        <w:pStyle w:val="6"/>
        <w:jc w:val="center"/>
        <w:outlineLvl w:val="0"/>
      </w:pPr>
      <w:r>
        <w:rPr>
          <w:b/>
          <w:sz w:val="48"/>
        </w:rPr>
        <w:t>（报价部分）</w:t>
      </w:r>
      <w:r>
        <w:br w:type="textWrapping"/>
      </w:r>
      <w:r>
        <w:br w:type="textWrapping"/>
      </w:r>
      <w:r>
        <w:br w:type="textWrapping"/>
      </w:r>
    </w:p>
    <w:p w14:paraId="5298B03B">
      <w:pPr>
        <w:pStyle w:val="6"/>
        <w:jc w:val="center"/>
        <w:outlineLvl w:val="1"/>
      </w:pPr>
      <w:r>
        <w:rPr>
          <w:b/>
          <w:sz w:val="36"/>
        </w:rPr>
        <w:t>（填写正本或副本）</w:t>
      </w:r>
      <w:r>
        <w:br w:type="textWrapping"/>
      </w:r>
      <w:r>
        <w:br w:type="textWrapping"/>
      </w:r>
      <w:r>
        <w:br w:type="textWrapping"/>
      </w:r>
      <w:r>
        <w:br w:type="textWrapping"/>
      </w:r>
      <w:r>
        <w:br w:type="textWrapping"/>
      </w:r>
    </w:p>
    <w:p w14:paraId="13A0A0DE">
      <w:pPr>
        <w:pStyle w:val="6"/>
        <w:jc w:val="center"/>
        <w:outlineLvl w:val="2"/>
      </w:pPr>
      <w:r>
        <w:rPr>
          <w:b/>
          <w:sz w:val="28"/>
        </w:rPr>
        <w:t>（项目名称：（由投标人填写）</w:t>
      </w:r>
    </w:p>
    <w:p w14:paraId="1BD107D6">
      <w:pPr>
        <w:pStyle w:val="6"/>
        <w:jc w:val="center"/>
        <w:outlineLvl w:val="2"/>
      </w:pPr>
      <w:r>
        <w:rPr>
          <w:b/>
          <w:sz w:val="28"/>
        </w:rPr>
        <w:t>（备案编号：（由投标人填写）</w:t>
      </w:r>
    </w:p>
    <w:p w14:paraId="0DD57082">
      <w:pPr>
        <w:pStyle w:val="6"/>
        <w:jc w:val="center"/>
        <w:outlineLvl w:val="2"/>
      </w:pPr>
      <w:r>
        <w:rPr>
          <w:b/>
          <w:sz w:val="28"/>
        </w:rPr>
        <w:t>（项目编号：（由投标人填写）</w:t>
      </w:r>
    </w:p>
    <w:p w14:paraId="7C9182FC">
      <w:pPr>
        <w:pStyle w:val="6"/>
        <w:jc w:val="center"/>
        <w:outlineLvl w:val="2"/>
      </w:pPr>
      <w:r>
        <w:rPr>
          <w:b/>
          <w:sz w:val="28"/>
        </w:rPr>
        <w:t>（所投采购包：（由投标人填写）</w:t>
      </w:r>
      <w:r>
        <w:br w:type="textWrapping"/>
      </w:r>
      <w:r>
        <w:br w:type="textWrapping"/>
      </w:r>
    </w:p>
    <w:p w14:paraId="18BA1C7A">
      <w:pPr>
        <w:pStyle w:val="6"/>
        <w:jc w:val="center"/>
        <w:outlineLvl w:val="2"/>
      </w:pPr>
      <w:r>
        <w:rPr>
          <w:b/>
          <w:sz w:val="28"/>
        </w:rPr>
        <w:t>投标人：（填写“全称”）</w:t>
      </w:r>
    </w:p>
    <w:p w14:paraId="3C756F99">
      <w:pPr>
        <w:pStyle w:val="6"/>
        <w:jc w:val="center"/>
        <w:outlineLvl w:val="2"/>
      </w:pPr>
      <w:r>
        <w:rPr>
          <w:b/>
          <w:sz w:val="28"/>
        </w:rPr>
        <w:t>（由投标人填写）年（由投标人填写）月</w:t>
      </w:r>
    </w:p>
    <w:p w14:paraId="20B1C68F">
      <w:pPr>
        <w:pStyle w:val="6"/>
      </w:pPr>
      <w:r>
        <w:t xml:space="preserve"> </w:t>
      </w:r>
      <w:r>
        <w:br w:type="textWrapping"/>
      </w:r>
      <w:r>
        <w:br w:type="page"/>
      </w:r>
    </w:p>
    <w:p w14:paraId="1A07655C">
      <w:pPr>
        <w:pStyle w:val="6"/>
        <w:jc w:val="center"/>
        <w:outlineLvl w:val="2"/>
      </w:pPr>
      <w:r>
        <w:rPr>
          <w:b/>
          <w:sz w:val="28"/>
        </w:rPr>
        <w:t>索引</w:t>
      </w:r>
    </w:p>
    <w:p w14:paraId="23FD6E22">
      <w:pPr>
        <w:pStyle w:val="6"/>
        <w:ind w:firstLine="480"/>
        <w:jc w:val="left"/>
      </w:pPr>
      <w:r>
        <w:t>一、开标（报价）一览表</w:t>
      </w:r>
    </w:p>
    <w:p w14:paraId="64C70AAB">
      <w:pPr>
        <w:pStyle w:val="6"/>
        <w:ind w:firstLine="480"/>
        <w:jc w:val="left"/>
      </w:pPr>
      <w:r>
        <w:t>二、投标（响应）报价明细表</w:t>
      </w:r>
    </w:p>
    <w:p w14:paraId="599A8DAF">
      <w:pPr>
        <w:pStyle w:val="6"/>
        <w:ind w:firstLine="480"/>
        <w:jc w:val="left"/>
      </w:pPr>
      <w:r>
        <w:t>三、招标文件规定的价格扣除证明材料（若有）</w:t>
      </w:r>
    </w:p>
    <w:p w14:paraId="250EE1B7">
      <w:pPr>
        <w:pStyle w:val="6"/>
        <w:ind w:firstLine="480"/>
        <w:jc w:val="left"/>
      </w:pPr>
      <w:r>
        <w:t xml:space="preserve"> </w:t>
      </w:r>
      <w:r>
        <w:br w:type="textWrapping"/>
      </w:r>
      <w:r>
        <w:br w:type="page"/>
      </w:r>
    </w:p>
    <w:p w14:paraId="51FC6383">
      <w:pPr>
        <w:pStyle w:val="6"/>
        <w:jc w:val="left"/>
        <w:outlineLvl w:val="0"/>
      </w:pPr>
      <w:r>
        <w:rPr>
          <w:b/>
          <w:sz w:val="48"/>
        </w:rPr>
        <w:t>开标（报价）一览表</w:t>
      </w:r>
    </w:p>
    <w:p w14:paraId="6984FE64">
      <w:pPr>
        <w:pStyle w:val="6"/>
        <w:jc w:val="left"/>
      </w:pPr>
      <w:r>
        <w:t>公司名称：</w:t>
      </w:r>
    </w:p>
    <w:p w14:paraId="267B5F77">
      <w:pPr>
        <w:pStyle w:val="6"/>
        <w:jc w:val="left"/>
      </w:pPr>
      <w:r>
        <w:t>包号：1</w:t>
      </w:r>
    </w:p>
    <w:p w14:paraId="2D2FCDCC">
      <w:pPr>
        <w:pStyle w:val="6"/>
        <w:jc w:val="left"/>
      </w:pPr>
      <w:r>
        <w:t>项目编号：[350001]FJTH[GK]2024028</w:t>
      </w:r>
    </w:p>
    <w:p w14:paraId="4813E19D">
      <w:pPr>
        <w:pStyle w:val="6"/>
        <w:jc w:val="left"/>
      </w:pPr>
      <w:r>
        <w:t>项目名称：2024年省匹配食品安全监督抽检任务公开招标采购C项目</w:t>
      </w:r>
    </w:p>
    <w:p w14:paraId="258A1AE1">
      <w:pPr>
        <w:pStyle w:val="6"/>
        <w:jc w:val="center"/>
      </w:pP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384"/>
      </w:tblGrid>
      <w:tr w14:paraId="65A85B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7952EFAF">
            <w:pPr>
              <w:pStyle w:val="6"/>
              <w:jc w:val="left"/>
            </w:pPr>
            <w:r>
              <w:t xml:space="preserve"> 序号</w:t>
            </w:r>
          </w:p>
        </w:tc>
        <w:tc>
          <w:tcPr>
            <w:tcW w:w="1384" w:type="dxa"/>
          </w:tcPr>
          <w:p w14:paraId="17192342">
            <w:pPr>
              <w:pStyle w:val="6"/>
              <w:jc w:val="left"/>
            </w:pPr>
            <w:r>
              <w:t xml:space="preserve"> 报价内容</w:t>
            </w:r>
          </w:p>
        </w:tc>
        <w:tc>
          <w:tcPr>
            <w:tcW w:w="1384" w:type="dxa"/>
          </w:tcPr>
          <w:p w14:paraId="5ACB3B5D">
            <w:pPr>
              <w:pStyle w:val="6"/>
              <w:jc w:val="left"/>
            </w:pPr>
            <w:r>
              <w:t xml:space="preserve"> 计量单位</w:t>
            </w:r>
          </w:p>
        </w:tc>
        <w:tc>
          <w:tcPr>
            <w:tcW w:w="1384" w:type="dxa"/>
          </w:tcPr>
          <w:p w14:paraId="18F3D570">
            <w:pPr>
              <w:pStyle w:val="6"/>
              <w:jc w:val="left"/>
            </w:pPr>
            <w:r>
              <w:t xml:space="preserve"> 最高限价</w:t>
            </w:r>
          </w:p>
        </w:tc>
        <w:tc>
          <w:tcPr>
            <w:tcW w:w="1384" w:type="dxa"/>
          </w:tcPr>
          <w:p w14:paraId="4DC1995B">
            <w:pPr>
              <w:pStyle w:val="6"/>
              <w:jc w:val="left"/>
            </w:pPr>
            <w:r>
              <w:t xml:space="preserve"> 响应报价</w:t>
            </w:r>
          </w:p>
        </w:tc>
        <w:tc>
          <w:tcPr>
            <w:tcW w:w="1384" w:type="dxa"/>
          </w:tcPr>
          <w:p w14:paraId="76C5B062">
            <w:pPr>
              <w:pStyle w:val="6"/>
              <w:jc w:val="left"/>
            </w:pPr>
            <w:r>
              <w:t xml:space="preserve"> 价款形式</w:t>
            </w:r>
          </w:p>
        </w:tc>
      </w:tr>
      <w:tr w14:paraId="215B74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2E4A6183">
            <w:pPr>
              <w:pStyle w:val="6"/>
              <w:jc w:val="left"/>
            </w:pPr>
            <w:r>
              <w:t xml:space="preserve"> 1</w:t>
            </w:r>
          </w:p>
        </w:tc>
        <w:tc>
          <w:tcPr>
            <w:tcW w:w="1384" w:type="dxa"/>
          </w:tcPr>
          <w:p w14:paraId="737D9FCE">
            <w:pPr>
              <w:pStyle w:val="6"/>
              <w:jc w:val="left"/>
            </w:pPr>
            <w:r>
              <w:t xml:space="preserve"> 2024年省匹配食品安全监督抽检任务公开招标采购C项目合同包1</w:t>
            </w:r>
          </w:p>
        </w:tc>
        <w:tc>
          <w:tcPr>
            <w:tcW w:w="1384" w:type="dxa"/>
          </w:tcPr>
          <w:p w14:paraId="3AF823E7">
            <w:pPr>
              <w:pStyle w:val="6"/>
              <w:jc w:val="left"/>
            </w:pPr>
            <w:r>
              <w:t xml:space="preserve"> 批次</w:t>
            </w:r>
          </w:p>
        </w:tc>
        <w:tc>
          <w:tcPr>
            <w:tcW w:w="1384" w:type="dxa"/>
          </w:tcPr>
          <w:p w14:paraId="091D57CB">
            <w:pPr>
              <w:pStyle w:val="6"/>
              <w:jc w:val="left"/>
            </w:pPr>
            <w:r>
              <w:t xml:space="preserve"> 2057970.90  元</w:t>
            </w:r>
          </w:p>
        </w:tc>
        <w:tc>
          <w:tcPr>
            <w:tcW w:w="1384" w:type="dxa"/>
          </w:tcPr>
          <w:p w14:paraId="28F2E71C">
            <w:pPr>
              <w:pStyle w:val="6"/>
              <w:jc w:val="left"/>
            </w:pPr>
            <w:r>
              <w:t xml:space="preserve"> 「汇总引用」  元</w:t>
            </w:r>
          </w:p>
        </w:tc>
        <w:tc>
          <w:tcPr>
            <w:tcW w:w="1384" w:type="dxa"/>
          </w:tcPr>
          <w:p w14:paraId="73BC86A1">
            <w:pPr>
              <w:pStyle w:val="6"/>
              <w:jc w:val="left"/>
            </w:pPr>
            <w:r>
              <w:t xml:space="preserve"> 总价</w:t>
            </w:r>
          </w:p>
        </w:tc>
      </w:tr>
    </w:tbl>
    <w:p w14:paraId="681D4813">
      <w:pPr>
        <w:pStyle w:val="6"/>
        <w:jc w:val="left"/>
      </w:pPr>
      <w:r>
        <w:t>备注：无</w:t>
      </w:r>
    </w:p>
    <w:p w14:paraId="3EE5B956">
      <w:pPr>
        <w:pStyle w:val="6"/>
        <w:jc w:val="left"/>
      </w:pPr>
      <w:r>
        <w:t>时间：     年     月     日</w:t>
      </w:r>
    </w:p>
    <w:p w14:paraId="6E581FD9">
      <w:pPr>
        <w:pStyle w:val="6"/>
        <w:jc w:val="left"/>
      </w:pPr>
      <w:r>
        <w:t xml:space="preserve">签章：                     </w:t>
      </w:r>
    </w:p>
    <w:p w14:paraId="343B284E">
      <w:pPr>
        <w:pStyle w:val="6"/>
        <w:jc w:val="left"/>
        <w:outlineLvl w:val="0"/>
      </w:pPr>
      <w:r>
        <w:rPr>
          <w:b/>
          <w:sz w:val="48"/>
        </w:rPr>
        <w:t>投标（响应）报价明细表</w:t>
      </w:r>
    </w:p>
    <w:p w14:paraId="792B38A3">
      <w:pPr>
        <w:pStyle w:val="6"/>
        <w:jc w:val="left"/>
      </w:pPr>
      <w:r>
        <w:t>公司名称：</w:t>
      </w:r>
    </w:p>
    <w:p w14:paraId="423ED6BF">
      <w:pPr>
        <w:pStyle w:val="6"/>
        <w:jc w:val="left"/>
      </w:pPr>
      <w:r>
        <w:t>包号：1</w:t>
      </w:r>
    </w:p>
    <w:p w14:paraId="3B76F3F5">
      <w:pPr>
        <w:pStyle w:val="6"/>
        <w:jc w:val="left"/>
      </w:pPr>
      <w:r>
        <w:t>项目编号：[350001]FJTH[GK]2024028</w:t>
      </w:r>
    </w:p>
    <w:p w14:paraId="4565E335">
      <w:pPr>
        <w:pStyle w:val="6"/>
        <w:jc w:val="left"/>
      </w:pPr>
      <w:r>
        <w:t>项目名称：2024年省匹配食品安全监督抽检任务公开招标采购C项目</w:t>
      </w:r>
    </w:p>
    <w:p w14:paraId="49F22682">
      <w:pPr>
        <w:pStyle w:val="6"/>
        <w:jc w:val="left"/>
      </w:pPr>
      <w:r>
        <w:t xml:space="preserve"> 2024年省匹配食品安全监督抽检任务公开招标采购C项目合同包1</w:t>
      </w:r>
    </w:p>
    <w:p w14:paraId="61A0A6D7">
      <w:pPr>
        <w:pStyle w:val="6"/>
        <w:jc w:val="center"/>
      </w:pP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53"/>
        <w:gridCol w:w="632"/>
        <w:gridCol w:w="577"/>
        <w:gridCol w:w="577"/>
        <w:gridCol w:w="577"/>
        <w:gridCol w:w="577"/>
        <w:gridCol w:w="1179"/>
        <w:gridCol w:w="577"/>
        <w:gridCol w:w="1079"/>
        <w:gridCol w:w="554"/>
        <w:gridCol w:w="578"/>
        <w:gridCol w:w="578"/>
        <w:gridCol w:w="578"/>
      </w:tblGrid>
      <w:tr w14:paraId="0C2700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761AF131">
            <w:pPr>
              <w:pStyle w:val="6"/>
              <w:jc w:val="left"/>
            </w:pPr>
            <w:r>
              <w:t xml:space="preserve"> 序号</w:t>
            </w:r>
          </w:p>
        </w:tc>
        <w:tc>
          <w:tcPr>
            <w:tcW w:w="639" w:type="dxa"/>
          </w:tcPr>
          <w:p w14:paraId="67B59C6D">
            <w:pPr>
              <w:pStyle w:val="6"/>
              <w:jc w:val="left"/>
            </w:pPr>
            <w:r>
              <w:t xml:space="preserve"> 服务名称</w:t>
            </w:r>
          </w:p>
        </w:tc>
        <w:tc>
          <w:tcPr>
            <w:tcW w:w="639" w:type="dxa"/>
          </w:tcPr>
          <w:p w14:paraId="2D349180">
            <w:pPr>
              <w:pStyle w:val="6"/>
              <w:jc w:val="left"/>
            </w:pPr>
            <w:r>
              <w:t xml:space="preserve"> 服务范围</w:t>
            </w:r>
          </w:p>
        </w:tc>
        <w:tc>
          <w:tcPr>
            <w:tcW w:w="639" w:type="dxa"/>
          </w:tcPr>
          <w:p w14:paraId="55A0A14A">
            <w:pPr>
              <w:pStyle w:val="6"/>
              <w:jc w:val="left"/>
            </w:pPr>
            <w:r>
              <w:t xml:space="preserve"> 服务要求</w:t>
            </w:r>
          </w:p>
        </w:tc>
        <w:tc>
          <w:tcPr>
            <w:tcW w:w="639" w:type="dxa"/>
          </w:tcPr>
          <w:p w14:paraId="31318899">
            <w:pPr>
              <w:pStyle w:val="6"/>
              <w:jc w:val="left"/>
            </w:pPr>
            <w:r>
              <w:t xml:space="preserve"> 服务时间</w:t>
            </w:r>
          </w:p>
        </w:tc>
        <w:tc>
          <w:tcPr>
            <w:tcW w:w="639" w:type="dxa"/>
          </w:tcPr>
          <w:p w14:paraId="3D3D2218">
            <w:pPr>
              <w:pStyle w:val="6"/>
              <w:jc w:val="left"/>
            </w:pPr>
            <w:r>
              <w:t xml:space="preserve"> 服务标准</w:t>
            </w:r>
          </w:p>
        </w:tc>
        <w:tc>
          <w:tcPr>
            <w:tcW w:w="639" w:type="dxa"/>
          </w:tcPr>
          <w:p w14:paraId="76558BFD">
            <w:pPr>
              <w:pStyle w:val="6"/>
              <w:jc w:val="left"/>
            </w:pPr>
            <w:r>
              <w:t xml:space="preserve"> 最高限价</w:t>
            </w:r>
          </w:p>
        </w:tc>
        <w:tc>
          <w:tcPr>
            <w:tcW w:w="639" w:type="dxa"/>
          </w:tcPr>
          <w:p w14:paraId="2CD60862">
            <w:pPr>
              <w:pStyle w:val="6"/>
              <w:jc w:val="left"/>
            </w:pPr>
            <w:r>
              <w:t xml:space="preserve"> 单价</w:t>
            </w:r>
          </w:p>
        </w:tc>
        <w:tc>
          <w:tcPr>
            <w:tcW w:w="639" w:type="dxa"/>
          </w:tcPr>
          <w:p w14:paraId="09444B59">
            <w:pPr>
              <w:pStyle w:val="6"/>
              <w:jc w:val="left"/>
            </w:pPr>
            <w:r>
              <w:t xml:space="preserve"> 数量</w:t>
            </w:r>
          </w:p>
        </w:tc>
        <w:tc>
          <w:tcPr>
            <w:tcW w:w="639" w:type="dxa"/>
          </w:tcPr>
          <w:p w14:paraId="76BFA53B">
            <w:pPr>
              <w:pStyle w:val="6"/>
              <w:jc w:val="left"/>
            </w:pPr>
            <w:r>
              <w:t xml:space="preserve"> 计量单位</w:t>
            </w:r>
          </w:p>
        </w:tc>
        <w:tc>
          <w:tcPr>
            <w:tcW w:w="639" w:type="dxa"/>
          </w:tcPr>
          <w:p w14:paraId="525B41B8">
            <w:pPr>
              <w:pStyle w:val="6"/>
              <w:jc w:val="left"/>
            </w:pPr>
            <w:r>
              <w:t xml:space="preserve"> 是否环境标志产品</w:t>
            </w:r>
          </w:p>
        </w:tc>
        <w:tc>
          <w:tcPr>
            <w:tcW w:w="639" w:type="dxa"/>
          </w:tcPr>
          <w:p w14:paraId="69B322FF">
            <w:pPr>
              <w:pStyle w:val="6"/>
              <w:jc w:val="left"/>
            </w:pPr>
            <w:r>
              <w:t xml:space="preserve"> 是否节能产品</w:t>
            </w:r>
          </w:p>
        </w:tc>
        <w:tc>
          <w:tcPr>
            <w:tcW w:w="639" w:type="dxa"/>
          </w:tcPr>
          <w:p w14:paraId="0DCC158E">
            <w:pPr>
              <w:pStyle w:val="6"/>
              <w:jc w:val="left"/>
            </w:pPr>
            <w:r>
              <w:t xml:space="preserve"> 总价</w:t>
            </w:r>
          </w:p>
        </w:tc>
      </w:tr>
      <w:tr w14:paraId="0F362B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1E75E1D5">
            <w:pPr>
              <w:pStyle w:val="6"/>
              <w:jc w:val="left"/>
            </w:pPr>
            <w:r>
              <w:t xml:space="preserve"> 1</w:t>
            </w:r>
          </w:p>
        </w:tc>
        <w:tc>
          <w:tcPr>
            <w:tcW w:w="639" w:type="dxa"/>
          </w:tcPr>
          <w:p w14:paraId="2939A2D1">
            <w:pPr>
              <w:pStyle w:val="6"/>
              <w:jc w:val="left"/>
            </w:pPr>
            <w:r>
              <w:t xml:space="preserve"> 2024年省匹配食品安全监督抽检任务公开招标采购C项目合同包1</w:t>
            </w:r>
          </w:p>
        </w:tc>
        <w:tc>
          <w:tcPr>
            <w:tcW w:w="639" w:type="dxa"/>
          </w:tcPr>
          <w:p w14:paraId="4532E023">
            <w:pPr>
              <w:pStyle w:val="6"/>
              <w:jc w:val="left"/>
            </w:pPr>
            <w:r>
              <w:t xml:space="preserve"> {供应商响应}</w:t>
            </w:r>
          </w:p>
        </w:tc>
        <w:tc>
          <w:tcPr>
            <w:tcW w:w="639" w:type="dxa"/>
          </w:tcPr>
          <w:p w14:paraId="563E9C3D">
            <w:pPr>
              <w:pStyle w:val="6"/>
              <w:jc w:val="left"/>
            </w:pPr>
            <w:r>
              <w:t xml:space="preserve"> {供应商响应}</w:t>
            </w:r>
          </w:p>
        </w:tc>
        <w:tc>
          <w:tcPr>
            <w:tcW w:w="639" w:type="dxa"/>
          </w:tcPr>
          <w:p w14:paraId="085E5D43">
            <w:pPr>
              <w:pStyle w:val="6"/>
              <w:jc w:val="left"/>
            </w:pPr>
            <w:r>
              <w:t xml:space="preserve"> {供应商响应}</w:t>
            </w:r>
          </w:p>
        </w:tc>
        <w:tc>
          <w:tcPr>
            <w:tcW w:w="639" w:type="dxa"/>
          </w:tcPr>
          <w:p w14:paraId="77A4AAD0">
            <w:pPr>
              <w:pStyle w:val="6"/>
              <w:jc w:val="left"/>
            </w:pPr>
            <w:r>
              <w:t xml:space="preserve"> {供应商响应}</w:t>
            </w:r>
          </w:p>
        </w:tc>
        <w:tc>
          <w:tcPr>
            <w:tcW w:w="639" w:type="dxa"/>
          </w:tcPr>
          <w:p w14:paraId="0965F136">
            <w:pPr>
              <w:pStyle w:val="6"/>
              <w:jc w:val="left"/>
            </w:pPr>
            <w:r>
              <w:t xml:space="preserve"> 2057970.90  元</w:t>
            </w:r>
          </w:p>
        </w:tc>
        <w:tc>
          <w:tcPr>
            <w:tcW w:w="639" w:type="dxa"/>
          </w:tcPr>
          <w:p w14:paraId="15567462">
            <w:pPr>
              <w:pStyle w:val="6"/>
              <w:jc w:val="left"/>
            </w:pPr>
            <w:r>
              <w:t xml:space="preserve"> {=总价/数量}  元</w:t>
            </w:r>
          </w:p>
        </w:tc>
        <w:tc>
          <w:tcPr>
            <w:tcW w:w="639" w:type="dxa"/>
          </w:tcPr>
          <w:p w14:paraId="41F88007">
            <w:pPr>
              <w:pStyle w:val="6"/>
              <w:jc w:val="left"/>
            </w:pPr>
            <w:r>
              <w:t xml:space="preserve"> 1030.0000</w:t>
            </w:r>
          </w:p>
        </w:tc>
        <w:tc>
          <w:tcPr>
            <w:tcW w:w="639" w:type="dxa"/>
          </w:tcPr>
          <w:p w14:paraId="4CCADE06">
            <w:pPr>
              <w:pStyle w:val="6"/>
              <w:jc w:val="left"/>
            </w:pPr>
            <w:r>
              <w:t xml:space="preserve"> 批次</w:t>
            </w:r>
          </w:p>
        </w:tc>
        <w:tc>
          <w:tcPr>
            <w:tcW w:w="639" w:type="dxa"/>
          </w:tcPr>
          <w:p w14:paraId="403D46FB">
            <w:pPr>
              <w:pStyle w:val="6"/>
              <w:jc w:val="left"/>
            </w:pPr>
            <w:r>
              <w:t xml:space="preserve"> {供应商响应}</w:t>
            </w:r>
          </w:p>
        </w:tc>
        <w:tc>
          <w:tcPr>
            <w:tcW w:w="639" w:type="dxa"/>
          </w:tcPr>
          <w:p w14:paraId="66F7B63F">
            <w:pPr>
              <w:pStyle w:val="6"/>
              <w:jc w:val="left"/>
            </w:pPr>
            <w:r>
              <w:t xml:space="preserve"> {供应商响应}</w:t>
            </w:r>
          </w:p>
        </w:tc>
        <w:tc>
          <w:tcPr>
            <w:tcW w:w="639" w:type="dxa"/>
          </w:tcPr>
          <w:p w14:paraId="0F20B3FC">
            <w:pPr>
              <w:pStyle w:val="6"/>
              <w:jc w:val="left"/>
            </w:pPr>
            <w:r>
              <w:t xml:space="preserve"> {供应商响应}  元</w:t>
            </w:r>
          </w:p>
        </w:tc>
      </w:tr>
    </w:tbl>
    <w:p w14:paraId="3AB8D78F">
      <w:pPr>
        <w:pStyle w:val="6"/>
        <w:jc w:val="left"/>
      </w:pPr>
      <w:r>
        <w:t>合计：</w:t>
      </w:r>
    </w:p>
    <w:p w14:paraId="1DB19CB7">
      <w:pPr>
        <w:pStyle w:val="6"/>
        <w:jc w:val="left"/>
      </w:pPr>
      <w:r>
        <w:t>备注：无</w:t>
      </w:r>
    </w:p>
    <w:p w14:paraId="1AD156BA">
      <w:pPr>
        <w:pStyle w:val="6"/>
        <w:jc w:val="left"/>
      </w:pPr>
      <w:r>
        <w:t>时间：     年     月     日</w:t>
      </w:r>
    </w:p>
    <w:p w14:paraId="576E2D1F">
      <w:pPr>
        <w:pStyle w:val="6"/>
        <w:jc w:val="left"/>
      </w:pPr>
      <w:r>
        <w:t xml:space="preserve">签章：                     </w:t>
      </w:r>
    </w:p>
    <w:p w14:paraId="1BD79408">
      <w:pPr>
        <w:pStyle w:val="6"/>
        <w:jc w:val="left"/>
        <w:outlineLvl w:val="0"/>
      </w:pPr>
      <w:r>
        <w:rPr>
          <w:b/>
          <w:sz w:val="48"/>
        </w:rPr>
        <w:t>开标（报价）一览表</w:t>
      </w:r>
    </w:p>
    <w:p w14:paraId="4C64DC6F">
      <w:pPr>
        <w:pStyle w:val="6"/>
        <w:jc w:val="left"/>
      </w:pPr>
      <w:r>
        <w:t>公司名称：</w:t>
      </w:r>
    </w:p>
    <w:p w14:paraId="30D4ED05">
      <w:pPr>
        <w:pStyle w:val="6"/>
        <w:jc w:val="left"/>
      </w:pPr>
      <w:r>
        <w:t>包号：2</w:t>
      </w:r>
    </w:p>
    <w:p w14:paraId="7F5A9553">
      <w:pPr>
        <w:pStyle w:val="6"/>
        <w:jc w:val="left"/>
      </w:pPr>
      <w:r>
        <w:t>项目编号：[350001]FJTH[GK]2024028</w:t>
      </w:r>
    </w:p>
    <w:p w14:paraId="40D02A26">
      <w:pPr>
        <w:pStyle w:val="6"/>
        <w:jc w:val="left"/>
      </w:pPr>
      <w:r>
        <w:t>项目名称：2024年省匹配食品安全监督抽检任务公开招标采购C项目</w:t>
      </w:r>
    </w:p>
    <w:p w14:paraId="3D438813">
      <w:pPr>
        <w:pStyle w:val="6"/>
        <w:jc w:val="center"/>
      </w:pP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384"/>
      </w:tblGrid>
      <w:tr w14:paraId="5FB659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116ADB94">
            <w:pPr>
              <w:pStyle w:val="6"/>
              <w:jc w:val="left"/>
            </w:pPr>
            <w:r>
              <w:t xml:space="preserve"> 序号</w:t>
            </w:r>
          </w:p>
        </w:tc>
        <w:tc>
          <w:tcPr>
            <w:tcW w:w="1384" w:type="dxa"/>
          </w:tcPr>
          <w:p w14:paraId="3A8065F5">
            <w:pPr>
              <w:pStyle w:val="6"/>
              <w:jc w:val="left"/>
            </w:pPr>
            <w:r>
              <w:t xml:space="preserve"> 报价内容</w:t>
            </w:r>
          </w:p>
        </w:tc>
        <w:tc>
          <w:tcPr>
            <w:tcW w:w="1384" w:type="dxa"/>
          </w:tcPr>
          <w:p w14:paraId="5677841C">
            <w:pPr>
              <w:pStyle w:val="6"/>
              <w:jc w:val="left"/>
            </w:pPr>
            <w:r>
              <w:t xml:space="preserve"> 计量单位</w:t>
            </w:r>
          </w:p>
        </w:tc>
        <w:tc>
          <w:tcPr>
            <w:tcW w:w="1384" w:type="dxa"/>
          </w:tcPr>
          <w:p w14:paraId="190C4ED2">
            <w:pPr>
              <w:pStyle w:val="6"/>
              <w:jc w:val="left"/>
            </w:pPr>
            <w:r>
              <w:t xml:space="preserve"> 最高限价</w:t>
            </w:r>
          </w:p>
        </w:tc>
        <w:tc>
          <w:tcPr>
            <w:tcW w:w="1384" w:type="dxa"/>
          </w:tcPr>
          <w:p w14:paraId="010A782D">
            <w:pPr>
              <w:pStyle w:val="6"/>
              <w:jc w:val="left"/>
            </w:pPr>
            <w:r>
              <w:t xml:space="preserve"> 响应报价</w:t>
            </w:r>
          </w:p>
        </w:tc>
        <w:tc>
          <w:tcPr>
            <w:tcW w:w="1384" w:type="dxa"/>
          </w:tcPr>
          <w:p w14:paraId="0146B77C">
            <w:pPr>
              <w:pStyle w:val="6"/>
              <w:jc w:val="left"/>
            </w:pPr>
            <w:r>
              <w:t xml:space="preserve"> 价款形式</w:t>
            </w:r>
          </w:p>
        </w:tc>
      </w:tr>
      <w:tr w14:paraId="77D97E04">
        <w:tblPrEx>
          <w:tblCellMar>
            <w:top w:w="0" w:type="dxa"/>
            <w:left w:w="108" w:type="dxa"/>
            <w:bottom w:w="0" w:type="dxa"/>
            <w:right w:w="108" w:type="dxa"/>
          </w:tblCellMar>
        </w:tblPrEx>
        <w:tc>
          <w:tcPr>
            <w:tcW w:w="1384" w:type="dxa"/>
          </w:tcPr>
          <w:p w14:paraId="74076546">
            <w:pPr>
              <w:pStyle w:val="6"/>
              <w:jc w:val="left"/>
            </w:pPr>
            <w:r>
              <w:t xml:space="preserve"> 1</w:t>
            </w:r>
          </w:p>
        </w:tc>
        <w:tc>
          <w:tcPr>
            <w:tcW w:w="1384" w:type="dxa"/>
          </w:tcPr>
          <w:p w14:paraId="1D1F1085">
            <w:pPr>
              <w:pStyle w:val="6"/>
              <w:jc w:val="left"/>
            </w:pPr>
            <w:r>
              <w:t xml:space="preserve"> 2024年省匹配食品安全监督抽检任务公开招标采购C项目合同包2</w:t>
            </w:r>
          </w:p>
        </w:tc>
        <w:tc>
          <w:tcPr>
            <w:tcW w:w="1384" w:type="dxa"/>
          </w:tcPr>
          <w:p w14:paraId="5F23AB83">
            <w:pPr>
              <w:pStyle w:val="6"/>
              <w:jc w:val="left"/>
            </w:pPr>
            <w:r>
              <w:t xml:space="preserve"> 批次</w:t>
            </w:r>
          </w:p>
        </w:tc>
        <w:tc>
          <w:tcPr>
            <w:tcW w:w="1384" w:type="dxa"/>
          </w:tcPr>
          <w:p w14:paraId="056B5AD8">
            <w:pPr>
              <w:pStyle w:val="6"/>
              <w:jc w:val="left"/>
            </w:pPr>
            <w:r>
              <w:t xml:space="preserve"> 2064556.88  元</w:t>
            </w:r>
          </w:p>
        </w:tc>
        <w:tc>
          <w:tcPr>
            <w:tcW w:w="1384" w:type="dxa"/>
          </w:tcPr>
          <w:p w14:paraId="47D1AD28">
            <w:pPr>
              <w:pStyle w:val="6"/>
              <w:jc w:val="left"/>
            </w:pPr>
            <w:r>
              <w:t xml:space="preserve"> 「汇总引用」  元</w:t>
            </w:r>
          </w:p>
        </w:tc>
        <w:tc>
          <w:tcPr>
            <w:tcW w:w="1384" w:type="dxa"/>
          </w:tcPr>
          <w:p w14:paraId="24965270">
            <w:pPr>
              <w:pStyle w:val="6"/>
              <w:jc w:val="left"/>
            </w:pPr>
            <w:r>
              <w:t xml:space="preserve"> 总价</w:t>
            </w:r>
          </w:p>
        </w:tc>
      </w:tr>
    </w:tbl>
    <w:p w14:paraId="7FDFE9D7">
      <w:pPr>
        <w:pStyle w:val="6"/>
        <w:jc w:val="left"/>
      </w:pPr>
      <w:r>
        <w:t>备注：无</w:t>
      </w:r>
    </w:p>
    <w:p w14:paraId="1A3F4FC7">
      <w:pPr>
        <w:pStyle w:val="6"/>
        <w:jc w:val="left"/>
      </w:pPr>
      <w:r>
        <w:t>时间：     年     月     日</w:t>
      </w:r>
    </w:p>
    <w:p w14:paraId="06B0C3C1">
      <w:pPr>
        <w:pStyle w:val="6"/>
        <w:jc w:val="left"/>
      </w:pPr>
      <w:r>
        <w:t xml:space="preserve">签章：                     </w:t>
      </w:r>
    </w:p>
    <w:p w14:paraId="7D19780A">
      <w:pPr>
        <w:pStyle w:val="6"/>
        <w:jc w:val="left"/>
        <w:outlineLvl w:val="0"/>
      </w:pPr>
      <w:r>
        <w:rPr>
          <w:b/>
          <w:sz w:val="48"/>
        </w:rPr>
        <w:t>投标（响应）报价明细表</w:t>
      </w:r>
    </w:p>
    <w:p w14:paraId="38E1399E">
      <w:pPr>
        <w:pStyle w:val="6"/>
        <w:jc w:val="left"/>
      </w:pPr>
      <w:r>
        <w:t>公司名称：</w:t>
      </w:r>
    </w:p>
    <w:p w14:paraId="792E4FBB">
      <w:pPr>
        <w:pStyle w:val="6"/>
        <w:jc w:val="left"/>
      </w:pPr>
      <w:r>
        <w:t>包号：2</w:t>
      </w:r>
    </w:p>
    <w:p w14:paraId="1FBE5595">
      <w:pPr>
        <w:pStyle w:val="6"/>
        <w:jc w:val="left"/>
      </w:pPr>
      <w:r>
        <w:t>项目编号：[350001]FJTH[GK]2024028</w:t>
      </w:r>
    </w:p>
    <w:p w14:paraId="73077972">
      <w:pPr>
        <w:pStyle w:val="6"/>
        <w:jc w:val="left"/>
      </w:pPr>
      <w:r>
        <w:t>项目名称：2024年省匹配食品安全监督抽检任务公开招标采购C项目</w:t>
      </w:r>
    </w:p>
    <w:p w14:paraId="5EAAB2AA">
      <w:pPr>
        <w:pStyle w:val="6"/>
        <w:jc w:val="left"/>
      </w:pPr>
      <w:r>
        <w:t xml:space="preserve"> 2024年省匹配食品安全监督抽检任务公开招标采购C项目合同包2</w:t>
      </w:r>
    </w:p>
    <w:p w14:paraId="742E9271">
      <w:pPr>
        <w:pStyle w:val="6"/>
        <w:jc w:val="center"/>
      </w:pP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53"/>
        <w:gridCol w:w="632"/>
        <w:gridCol w:w="577"/>
        <w:gridCol w:w="577"/>
        <w:gridCol w:w="577"/>
        <w:gridCol w:w="577"/>
        <w:gridCol w:w="1179"/>
        <w:gridCol w:w="577"/>
        <w:gridCol w:w="1079"/>
        <w:gridCol w:w="554"/>
        <w:gridCol w:w="578"/>
        <w:gridCol w:w="578"/>
        <w:gridCol w:w="578"/>
      </w:tblGrid>
      <w:tr w14:paraId="65AFFA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3E66DCF6">
            <w:pPr>
              <w:pStyle w:val="6"/>
              <w:jc w:val="left"/>
            </w:pPr>
            <w:r>
              <w:t xml:space="preserve"> 序号</w:t>
            </w:r>
          </w:p>
        </w:tc>
        <w:tc>
          <w:tcPr>
            <w:tcW w:w="639" w:type="dxa"/>
          </w:tcPr>
          <w:p w14:paraId="623CFC83">
            <w:pPr>
              <w:pStyle w:val="6"/>
              <w:jc w:val="left"/>
            </w:pPr>
            <w:r>
              <w:t xml:space="preserve"> 服务名称</w:t>
            </w:r>
          </w:p>
        </w:tc>
        <w:tc>
          <w:tcPr>
            <w:tcW w:w="639" w:type="dxa"/>
          </w:tcPr>
          <w:p w14:paraId="7BF032F3">
            <w:pPr>
              <w:pStyle w:val="6"/>
              <w:jc w:val="left"/>
            </w:pPr>
            <w:r>
              <w:t xml:space="preserve"> 服务范围</w:t>
            </w:r>
          </w:p>
        </w:tc>
        <w:tc>
          <w:tcPr>
            <w:tcW w:w="639" w:type="dxa"/>
          </w:tcPr>
          <w:p w14:paraId="64BC0C51">
            <w:pPr>
              <w:pStyle w:val="6"/>
              <w:jc w:val="left"/>
            </w:pPr>
            <w:r>
              <w:t xml:space="preserve"> 服务要求</w:t>
            </w:r>
          </w:p>
        </w:tc>
        <w:tc>
          <w:tcPr>
            <w:tcW w:w="639" w:type="dxa"/>
          </w:tcPr>
          <w:p w14:paraId="3C25D8FB">
            <w:pPr>
              <w:pStyle w:val="6"/>
              <w:jc w:val="left"/>
            </w:pPr>
            <w:r>
              <w:t xml:space="preserve"> 服务时间</w:t>
            </w:r>
          </w:p>
        </w:tc>
        <w:tc>
          <w:tcPr>
            <w:tcW w:w="639" w:type="dxa"/>
          </w:tcPr>
          <w:p w14:paraId="77078A59">
            <w:pPr>
              <w:pStyle w:val="6"/>
              <w:jc w:val="left"/>
            </w:pPr>
            <w:r>
              <w:t xml:space="preserve"> 服务标准</w:t>
            </w:r>
          </w:p>
        </w:tc>
        <w:tc>
          <w:tcPr>
            <w:tcW w:w="639" w:type="dxa"/>
          </w:tcPr>
          <w:p w14:paraId="2F10C205">
            <w:pPr>
              <w:pStyle w:val="6"/>
              <w:jc w:val="left"/>
            </w:pPr>
            <w:r>
              <w:t xml:space="preserve"> 最高限价</w:t>
            </w:r>
          </w:p>
        </w:tc>
        <w:tc>
          <w:tcPr>
            <w:tcW w:w="639" w:type="dxa"/>
          </w:tcPr>
          <w:p w14:paraId="6DC328AA">
            <w:pPr>
              <w:pStyle w:val="6"/>
              <w:jc w:val="left"/>
            </w:pPr>
            <w:r>
              <w:t xml:space="preserve"> 单价</w:t>
            </w:r>
          </w:p>
        </w:tc>
        <w:tc>
          <w:tcPr>
            <w:tcW w:w="639" w:type="dxa"/>
          </w:tcPr>
          <w:p w14:paraId="0CC6064B">
            <w:pPr>
              <w:pStyle w:val="6"/>
              <w:jc w:val="left"/>
            </w:pPr>
            <w:r>
              <w:t xml:space="preserve"> 数量</w:t>
            </w:r>
          </w:p>
        </w:tc>
        <w:tc>
          <w:tcPr>
            <w:tcW w:w="639" w:type="dxa"/>
          </w:tcPr>
          <w:p w14:paraId="2D521360">
            <w:pPr>
              <w:pStyle w:val="6"/>
              <w:jc w:val="left"/>
            </w:pPr>
            <w:r>
              <w:t xml:space="preserve"> 计量单位</w:t>
            </w:r>
          </w:p>
        </w:tc>
        <w:tc>
          <w:tcPr>
            <w:tcW w:w="639" w:type="dxa"/>
          </w:tcPr>
          <w:p w14:paraId="5B643BC9">
            <w:pPr>
              <w:pStyle w:val="6"/>
              <w:jc w:val="left"/>
            </w:pPr>
            <w:r>
              <w:t xml:space="preserve"> 是否环境标志产品</w:t>
            </w:r>
          </w:p>
        </w:tc>
        <w:tc>
          <w:tcPr>
            <w:tcW w:w="639" w:type="dxa"/>
          </w:tcPr>
          <w:p w14:paraId="3AFC1611">
            <w:pPr>
              <w:pStyle w:val="6"/>
              <w:jc w:val="left"/>
            </w:pPr>
            <w:r>
              <w:t xml:space="preserve"> 是否节能产品</w:t>
            </w:r>
          </w:p>
        </w:tc>
        <w:tc>
          <w:tcPr>
            <w:tcW w:w="639" w:type="dxa"/>
          </w:tcPr>
          <w:p w14:paraId="1A960C0C">
            <w:pPr>
              <w:pStyle w:val="6"/>
              <w:jc w:val="left"/>
            </w:pPr>
            <w:r>
              <w:t xml:space="preserve"> 总价</w:t>
            </w:r>
          </w:p>
        </w:tc>
      </w:tr>
      <w:tr w14:paraId="127ABE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4A1B4520">
            <w:pPr>
              <w:pStyle w:val="6"/>
              <w:jc w:val="left"/>
            </w:pPr>
            <w:r>
              <w:t xml:space="preserve"> 1</w:t>
            </w:r>
          </w:p>
        </w:tc>
        <w:tc>
          <w:tcPr>
            <w:tcW w:w="639" w:type="dxa"/>
          </w:tcPr>
          <w:p w14:paraId="6A1D68CF">
            <w:pPr>
              <w:pStyle w:val="6"/>
              <w:jc w:val="left"/>
            </w:pPr>
            <w:r>
              <w:t xml:space="preserve"> 2024年省匹配食品安全监督抽检任务公开招标采购C项目合同包2</w:t>
            </w:r>
          </w:p>
        </w:tc>
        <w:tc>
          <w:tcPr>
            <w:tcW w:w="639" w:type="dxa"/>
          </w:tcPr>
          <w:p w14:paraId="635AB9CA">
            <w:pPr>
              <w:pStyle w:val="6"/>
              <w:jc w:val="left"/>
            </w:pPr>
            <w:r>
              <w:t xml:space="preserve"> {供应商响应}</w:t>
            </w:r>
          </w:p>
        </w:tc>
        <w:tc>
          <w:tcPr>
            <w:tcW w:w="639" w:type="dxa"/>
          </w:tcPr>
          <w:p w14:paraId="479FBA44">
            <w:pPr>
              <w:pStyle w:val="6"/>
              <w:jc w:val="left"/>
            </w:pPr>
            <w:r>
              <w:t xml:space="preserve"> {供应商响应}</w:t>
            </w:r>
          </w:p>
        </w:tc>
        <w:tc>
          <w:tcPr>
            <w:tcW w:w="639" w:type="dxa"/>
          </w:tcPr>
          <w:p w14:paraId="3F09B4E3">
            <w:pPr>
              <w:pStyle w:val="6"/>
              <w:jc w:val="left"/>
            </w:pPr>
            <w:r>
              <w:t xml:space="preserve"> {供应商响应}</w:t>
            </w:r>
          </w:p>
        </w:tc>
        <w:tc>
          <w:tcPr>
            <w:tcW w:w="639" w:type="dxa"/>
          </w:tcPr>
          <w:p w14:paraId="258CCD62">
            <w:pPr>
              <w:pStyle w:val="6"/>
              <w:jc w:val="left"/>
            </w:pPr>
            <w:r>
              <w:t xml:space="preserve"> {供应商响应}</w:t>
            </w:r>
          </w:p>
        </w:tc>
        <w:tc>
          <w:tcPr>
            <w:tcW w:w="639" w:type="dxa"/>
          </w:tcPr>
          <w:p w14:paraId="481A4A19">
            <w:pPr>
              <w:pStyle w:val="6"/>
              <w:jc w:val="left"/>
            </w:pPr>
            <w:r>
              <w:t xml:space="preserve"> 2064556.88  元</w:t>
            </w:r>
          </w:p>
        </w:tc>
        <w:tc>
          <w:tcPr>
            <w:tcW w:w="639" w:type="dxa"/>
          </w:tcPr>
          <w:p w14:paraId="24DD8837">
            <w:pPr>
              <w:pStyle w:val="6"/>
              <w:jc w:val="left"/>
            </w:pPr>
            <w:r>
              <w:t xml:space="preserve"> {=总价/数量}  元</w:t>
            </w:r>
          </w:p>
        </w:tc>
        <w:tc>
          <w:tcPr>
            <w:tcW w:w="639" w:type="dxa"/>
          </w:tcPr>
          <w:p w14:paraId="6AE4E096">
            <w:pPr>
              <w:pStyle w:val="6"/>
              <w:jc w:val="left"/>
            </w:pPr>
            <w:r>
              <w:t xml:space="preserve"> 1031.0000</w:t>
            </w:r>
          </w:p>
        </w:tc>
        <w:tc>
          <w:tcPr>
            <w:tcW w:w="639" w:type="dxa"/>
          </w:tcPr>
          <w:p w14:paraId="5A69F2FD">
            <w:pPr>
              <w:pStyle w:val="6"/>
              <w:jc w:val="left"/>
            </w:pPr>
            <w:r>
              <w:t xml:space="preserve"> 批次</w:t>
            </w:r>
          </w:p>
        </w:tc>
        <w:tc>
          <w:tcPr>
            <w:tcW w:w="639" w:type="dxa"/>
          </w:tcPr>
          <w:p w14:paraId="4A1F23A6">
            <w:pPr>
              <w:pStyle w:val="6"/>
              <w:jc w:val="left"/>
            </w:pPr>
            <w:r>
              <w:t xml:space="preserve"> {供应商响应}</w:t>
            </w:r>
          </w:p>
        </w:tc>
        <w:tc>
          <w:tcPr>
            <w:tcW w:w="639" w:type="dxa"/>
          </w:tcPr>
          <w:p w14:paraId="54B3434A">
            <w:pPr>
              <w:pStyle w:val="6"/>
              <w:jc w:val="left"/>
            </w:pPr>
            <w:r>
              <w:t xml:space="preserve"> {供应商响应}</w:t>
            </w:r>
          </w:p>
        </w:tc>
        <w:tc>
          <w:tcPr>
            <w:tcW w:w="639" w:type="dxa"/>
          </w:tcPr>
          <w:p w14:paraId="42278138">
            <w:pPr>
              <w:pStyle w:val="6"/>
              <w:jc w:val="left"/>
            </w:pPr>
            <w:r>
              <w:t xml:space="preserve"> {供应商响应}  元</w:t>
            </w:r>
          </w:p>
        </w:tc>
      </w:tr>
    </w:tbl>
    <w:p w14:paraId="3B09E9F7">
      <w:pPr>
        <w:pStyle w:val="6"/>
        <w:jc w:val="left"/>
      </w:pPr>
      <w:r>
        <w:t>合计：</w:t>
      </w:r>
    </w:p>
    <w:p w14:paraId="35DE6D70">
      <w:pPr>
        <w:pStyle w:val="6"/>
        <w:jc w:val="left"/>
      </w:pPr>
      <w:r>
        <w:t>备注：无</w:t>
      </w:r>
    </w:p>
    <w:p w14:paraId="7CCDC0A1">
      <w:pPr>
        <w:pStyle w:val="6"/>
        <w:jc w:val="left"/>
      </w:pPr>
      <w:r>
        <w:t>时间：     年     月     日</w:t>
      </w:r>
    </w:p>
    <w:p w14:paraId="36F14470">
      <w:pPr>
        <w:pStyle w:val="6"/>
        <w:jc w:val="left"/>
      </w:pPr>
      <w:r>
        <w:t xml:space="preserve">签章：                     </w:t>
      </w:r>
    </w:p>
    <w:p w14:paraId="00859CA0">
      <w:pPr>
        <w:pStyle w:val="6"/>
        <w:jc w:val="left"/>
        <w:outlineLvl w:val="0"/>
      </w:pPr>
      <w:r>
        <w:rPr>
          <w:b/>
          <w:sz w:val="48"/>
        </w:rPr>
        <w:t>开标（报价）一览表</w:t>
      </w:r>
    </w:p>
    <w:p w14:paraId="0C84E8CD">
      <w:pPr>
        <w:pStyle w:val="6"/>
        <w:jc w:val="left"/>
      </w:pPr>
      <w:r>
        <w:t>公司名称：</w:t>
      </w:r>
    </w:p>
    <w:p w14:paraId="2737C024">
      <w:pPr>
        <w:pStyle w:val="6"/>
        <w:jc w:val="left"/>
      </w:pPr>
      <w:r>
        <w:t>包号：3</w:t>
      </w:r>
    </w:p>
    <w:p w14:paraId="55E6D90C">
      <w:pPr>
        <w:pStyle w:val="6"/>
        <w:jc w:val="left"/>
      </w:pPr>
      <w:r>
        <w:t>项目编号：[350001]FJTH[GK]2024028</w:t>
      </w:r>
    </w:p>
    <w:p w14:paraId="3314474E">
      <w:pPr>
        <w:pStyle w:val="6"/>
        <w:jc w:val="left"/>
      </w:pPr>
      <w:r>
        <w:t>项目名称：2024年省匹配食品安全监督抽检任务公开招标采购C项目</w:t>
      </w:r>
    </w:p>
    <w:p w14:paraId="75A86210">
      <w:pPr>
        <w:pStyle w:val="6"/>
        <w:jc w:val="center"/>
      </w:pP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384"/>
      </w:tblGrid>
      <w:tr w14:paraId="1EC80E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44911EF0">
            <w:pPr>
              <w:pStyle w:val="6"/>
              <w:jc w:val="left"/>
            </w:pPr>
            <w:r>
              <w:t xml:space="preserve"> 序号</w:t>
            </w:r>
          </w:p>
        </w:tc>
        <w:tc>
          <w:tcPr>
            <w:tcW w:w="1384" w:type="dxa"/>
          </w:tcPr>
          <w:p w14:paraId="5D97F000">
            <w:pPr>
              <w:pStyle w:val="6"/>
              <w:jc w:val="left"/>
            </w:pPr>
            <w:r>
              <w:t xml:space="preserve"> 报价内容</w:t>
            </w:r>
          </w:p>
        </w:tc>
        <w:tc>
          <w:tcPr>
            <w:tcW w:w="1384" w:type="dxa"/>
          </w:tcPr>
          <w:p w14:paraId="2D52E3EF">
            <w:pPr>
              <w:pStyle w:val="6"/>
              <w:jc w:val="left"/>
            </w:pPr>
            <w:r>
              <w:t xml:space="preserve"> 计量单位</w:t>
            </w:r>
          </w:p>
        </w:tc>
        <w:tc>
          <w:tcPr>
            <w:tcW w:w="1384" w:type="dxa"/>
          </w:tcPr>
          <w:p w14:paraId="589869F4">
            <w:pPr>
              <w:pStyle w:val="6"/>
              <w:jc w:val="left"/>
            </w:pPr>
            <w:r>
              <w:t xml:space="preserve"> 最高限价</w:t>
            </w:r>
          </w:p>
        </w:tc>
        <w:tc>
          <w:tcPr>
            <w:tcW w:w="1384" w:type="dxa"/>
          </w:tcPr>
          <w:p w14:paraId="2DDDAC05">
            <w:pPr>
              <w:pStyle w:val="6"/>
              <w:jc w:val="left"/>
            </w:pPr>
            <w:r>
              <w:t xml:space="preserve"> 响应报价</w:t>
            </w:r>
          </w:p>
        </w:tc>
        <w:tc>
          <w:tcPr>
            <w:tcW w:w="1384" w:type="dxa"/>
          </w:tcPr>
          <w:p w14:paraId="75E0EBE6">
            <w:pPr>
              <w:pStyle w:val="6"/>
              <w:jc w:val="left"/>
            </w:pPr>
            <w:r>
              <w:t xml:space="preserve"> 价款形式</w:t>
            </w:r>
          </w:p>
        </w:tc>
      </w:tr>
      <w:tr w14:paraId="6ED562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61DC3A3E">
            <w:pPr>
              <w:pStyle w:val="6"/>
              <w:jc w:val="left"/>
            </w:pPr>
            <w:r>
              <w:t xml:space="preserve"> 1</w:t>
            </w:r>
          </w:p>
        </w:tc>
        <w:tc>
          <w:tcPr>
            <w:tcW w:w="1384" w:type="dxa"/>
          </w:tcPr>
          <w:p w14:paraId="78E6BEC3">
            <w:pPr>
              <w:pStyle w:val="6"/>
              <w:jc w:val="left"/>
            </w:pPr>
            <w:r>
              <w:t xml:space="preserve"> 2024年省匹配食品安全监督抽检任务公开招标采购C项目合同包3</w:t>
            </w:r>
          </w:p>
        </w:tc>
        <w:tc>
          <w:tcPr>
            <w:tcW w:w="1384" w:type="dxa"/>
          </w:tcPr>
          <w:p w14:paraId="6AA37B6D">
            <w:pPr>
              <w:pStyle w:val="6"/>
              <w:jc w:val="left"/>
            </w:pPr>
            <w:r>
              <w:t xml:space="preserve"> 批次</w:t>
            </w:r>
          </w:p>
        </w:tc>
        <w:tc>
          <w:tcPr>
            <w:tcW w:w="1384" w:type="dxa"/>
          </w:tcPr>
          <w:p w14:paraId="219EA2A4">
            <w:pPr>
              <w:pStyle w:val="6"/>
              <w:jc w:val="left"/>
            </w:pPr>
            <w:r>
              <w:t xml:space="preserve"> 2068066.08  元</w:t>
            </w:r>
          </w:p>
        </w:tc>
        <w:tc>
          <w:tcPr>
            <w:tcW w:w="1384" w:type="dxa"/>
          </w:tcPr>
          <w:p w14:paraId="5AE2B681">
            <w:pPr>
              <w:pStyle w:val="6"/>
              <w:jc w:val="left"/>
            </w:pPr>
            <w:r>
              <w:t xml:space="preserve"> 「汇总引用」  元</w:t>
            </w:r>
          </w:p>
        </w:tc>
        <w:tc>
          <w:tcPr>
            <w:tcW w:w="1384" w:type="dxa"/>
          </w:tcPr>
          <w:p w14:paraId="3D1CD321">
            <w:pPr>
              <w:pStyle w:val="6"/>
              <w:jc w:val="left"/>
            </w:pPr>
            <w:r>
              <w:t xml:space="preserve"> 总价</w:t>
            </w:r>
          </w:p>
        </w:tc>
      </w:tr>
    </w:tbl>
    <w:p w14:paraId="2B884F2B">
      <w:pPr>
        <w:pStyle w:val="6"/>
        <w:jc w:val="left"/>
      </w:pPr>
      <w:r>
        <w:t>备注：无</w:t>
      </w:r>
    </w:p>
    <w:p w14:paraId="6E5F575E">
      <w:pPr>
        <w:pStyle w:val="6"/>
        <w:jc w:val="left"/>
      </w:pPr>
      <w:r>
        <w:t>时间：     年     月     日</w:t>
      </w:r>
    </w:p>
    <w:p w14:paraId="0187AA97">
      <w:pPr>
        <w:pStyle w:val="6"/>
        <w:jc w:val="left"/>
      </w:pPr>
      <w:r>
        <w:t xml:space="preserve">签章：                     </w:t>
      </w:r>
    </w:p>
    <w:p w14:paraId="1099D8F7">
      <w:pPr>
        <w:pStyle w:val="6"/>
        <w:jc w:val="left"/>
        <w:outlineLvl w:val="0"/>
      </w:pPr>
      <w:r>
        <w:rPr>
          <w:b/>
          <w:sz w:val="48"/>
        </w:rPr>
        <w:t>投标（响应）报价明细表</w:t>
      </w:r>
    </w:p>
    <w:p w14:paraId="40FA46B3">
      <w:pPr>
        <w:pStyle w:val="6"/>
        <w:jc w:val="left"/>
      </w:pPr>
      <w:r>
        <w:t>公司名称：</w:t>
      </w:r>
    </w:p>
    <w:p w14:paraId="39AD4F80">
      <w:pPr>
        <w:pStyle w:val="6"/>
        <w:jc w:val="left"/>
      </w:pPr>
      <w:r>
        <w:t>包号：3</w:t>
      </w:r>
    </w:p>
    <w:p w14:paraId="72623457">
      <w:pPr>
        <w:pStyle w:val="6"/>
        <w:jc w:val="left"/>
      </w:pPr>
      <w:r>
        <w:t>项目编号：[350001]FJTH[GK]2024028</w:t>
      </w:r>
    </w:p>
    <w:p w14:paraId="54E5BABF">
      <w:pPr>
        <w:pStyle w:val="6"/>
        <w:jc w:val="left"/>
      </w:pPr>
      <w:r>
        <w:t>项目名称：2024年省匹配食品安全监督抽检任务公开招标采购C项目</w:t>
      </w:r>
    </w:p>
    <w:p w14:paraId="00CD1D58">
      <w:pPr>
        <w:pStyle w:val="6"/>
        <w:jc w:val="left"/>
      </w:pPr>
      <w:r>
        <w:t xml:space="preserve"> 2024年省匹配食品安全监督抽检任务公开招标采购C项目合同包3</w:t>
      </w:r>
    </w:p>
    <w:p w14:paraId="421E719E">
      <w:pPr>
        <w:pStyle w:val="6"/>
        <w:jc w:val="center"/>
      </w:pP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53"/>
        <w:gridCol w:w="632"/>
        <w:gridCol w:w="577"/>
        <w:gridCol w:w="577"/>
        <w:gridCol w:w="577"/>
        <w:gridCol w:w="577"/>
        <w:gridCol w:w="1179"/>
        <w:gridCol w:w="577"/>
        <w:gridCol w:w="1079"/>
        <w:gridCol w:w="554"/>
        <w:gridCol w:w="578"/>
        <w:gridCol w:w="578"/>
        <w:gridCol w:w="578"/>
      </w:tblGrid>
      <w:tr w14:paraId="4FCA21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3C741E4D">
            <w:pPr>
              <w:pStyle w:val="6"/>
              <w:jc w:val="left"/>
            </w:pPr>
            <w:r>
              <w:t xml:space="preserve"> 序号</w:t>
            </w:r>
          </w:p>
        </w:tc>
        <w:tc>
          <w:tcPr>
            <w:tcW w:w="639" w:type="dxa"/>
          </w:tcPr>
          <w:p w14:paraId="7F2A57FB">
            <w:pPr>
              <w:pStyle w:val="6"/>
              <w:jc w:val="left"/>
            </w:pPr>
            <w:r>
              <w:t xml:space="preserve"> 服务名称</w:t>
            </w:r>
          </w:p>
        </w:tc>
        <w:tc>
          <w:tcPr>
            <w:tcW w:w="639" w:type="dxa"/>
          </w:tcPr>
          <w:p w14:paraId="30243DD7">
            <w:pPr>
              <w:pStyle w:val="6"/>
              <w:jc w:val="left"/>
            </w:pPr>
            <w:r>
              <w:t xml:space="preserve"> 服务范围</w:t>
            </w:r>
          </w:p>
        </w:tc>
        <w:tc>
          <w:tcPr>
            <w:tcW w:w="639" w:type="dxa"/>
          </w:tcPr>
          <w:p w14:paraId="7AF2D14C">
            <w:pPr>
              <w:pStyle w:val="6"/>
              <w:jc w:val="left"/>
            </w:pPr>
            <w:r>
              <w:t xml:space="preserve"> 服务要求</w:t>
            </w:r>
          </w:p>
        </w:tc>
        <w:tc>
          <w:tcPr>
            <w:tcW w:w="639" w:type="dxa"/>
          </w:tcPr>
          <w:p w14:paraId="0ACE1EB8">
            <w:pPr>
              <w:pStyle w:val="6"/>
              <w:jc w:val="left"/>
            </w:pPr>
            <w:r>
              <w:t xml:space="preserve"> 服务时间</w:t>
            </w:r>
          </w:p>
        </w:tc>
        <w:tc>
          <w:tcPr>
            <w:tcW w:w="639" w:type="dxa"/>
          </w:tcPr>
          <w:p w14:paraId="4B333E54">
            <w:pPr>
              <w:pStyle w:val="6"/>
              <w:jc w:val="left"/>
            </w:pPr>
            <w:r>
              <w:t xml:space="preserve"> 服务标准</w:t>
            </w:r>
          </w:p>
        </w:tc>
        <w:tc>
          <w:tcPr>
            <w:tcW w:w="639" w:type="dxa"/>
          </w:tcPr>
          <w:p w14:paraId="1847821E">
            <w:pPr>
              <w:pStyle w:val="6"/>
              <w:jc w:val="left"/>
            </w:pPr>
            <w:r>
              <w:t xml:space="preserve"> 最高限价</w:t>
            </w:r>
          </w:p>
        </w:tc>
        <w:tc>
          <w:tcPr>
            <w:tcW w:w="639" w:type="dxa"/>
          </w:tcPr>
          <w:p w14:paraId="3E5B8660">
            <w:pPr>
              <w:pStyle w:val="6"/>
              <w:jc w:val="left"/>
            </w:pPr>
            <w:r>
              <w:t xml:space="preserve"> 单价</w:t>
            </w:r>
          </w:p>
        </w:tc>
        <w:tc>
          <w:tcPr>
            <w:tcW w:w="639" w:type="dxa"/>
          </w:tcPr>
          <w:p w14:paraId="4E7418B3">
            <w:pPr>
              <w:pStyle w:val="6"/>
              <w:jc w:val="left"/>
            </w:pPr>
            <w:r>
              <w:t xml:space="preserve"> 数量</w:t>
            </w:r>
          </w:p>
        </w:tc>
        <w:tc>
          <w:tcPr>
            <w:tcW w:w="639" w:type="dxa"/>
          </w:tcPr>
          <w:p w14:paraId="7A553010">
            <w:pPr>
              <w:pStyle w:val="6"/>
              <w:jc w:val="left"/>
            </w:pPr>
            <w:r>
              <w:t xml:space="preserve"> 计量单位</w:t>
            </w:r>
          </w:p>
        </w:tc>
        <w:tc>
          <w:tcPr>
            <w:tcW w:w="639" w:type="dxa"/>
          </w:tcPr>
          <w:p w14:paraId="050D1044">
            <w:pPr>
              <w:pStyle w:val="6"/>
              <w:jc w:val="left"/>
            </w:pPr>
            <w:r>
              <w:t xml:space="preserve"> 是否环境标志产品</w:t>
            </w:r>
          </w:p>
        </w:tc>
        <w:tc>
          <w:tcPr>
            <w:tcW w:w="639" w:type="dxa"/>
          </w:tcPr>
          <w:p w14:paraId="52EC995B">
            <w:pPr>
              <w:pStyle w:val="6"/>
              <w:jc w:val="left"/>
            </w:pPr>
            <w:r>
              <w:t xml:space="preserve"> 是否节能产品</w:t>
            </w:r>
          </w:p>
        </w:tc>
        <w:tc>
          <w:tcPr>
            <w:tcW w:w="639" w:type="dxa"/>
          </w:tcPr>
          <w:p w14:paraId="36357DBF">
            <w:pPr>
              <w:pStyle w:val="6"/>
              <w:jc w:val="left"/>
            </w:pPr>
            <w:r>
              <w:t xml:space="preserve"> 总价</w:t>
            </w:r>
          </w:p>
        </w:tc>
      </w:tr>
      <w:tr w14:paraId="533EA9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5C2461C5">
            <w:pPr>
              <w:pStyle w:val="6"/>
              <w:jc w:val="left"/>
            </w:pPr>
            <w:r>
              <w:t xml:space="preserve"> 1</w:t>
            </w:r>
          </w:p>
        </w:tc>
        <w:tc>
          <w:tcPr>
            <w:tcW w:w="639" w:type="dxa"/>
          </w:tcPr>
          <w:p w14:paraId="228B9EEF">
            <w:pPr>
              <w:pStyle w:val="6"/>
              <w:jc w:val="left"/>
            </w:pPr>
            <w:r>
              <w:t xml:space="preserve"> 2024年省匹配食品安全监督抽检任务公开招标采购C项目合同包3</w:t>
            </w:r>
          </w:p>
        </w:tc>
        <w:tc>
          <w:tcPr>
            <w:tcW w:w="639" w:type="dxa"/>
          </w:tcPr>
          <w:p w14:paraId="64FC758B">
            <w:pPr>
              <w:pStyle w:val="6"/>
              <w:jc w:val="left"/>
            </w:pPr>
            <w:r>
              <w:t xml:space="preserve"> {供应商响应}</w:t>
            </w:r>
          </w:p>
        </w:tc>
        <w:tc>
          <w:tcPr>
            <w:tcW w:w="639" w:type="dxa"/>
          </w:tcPr>
          <w:p w14:paraId="76B03DBB">
            <w:pPr>
              <w:pStyle w:val="6"/>
              <w:jc w:val="left"/>
            </w:pPr>
            <w:r>
              <w:t xml:space="preserve"> {供应商响应}</w:t>
            </w:r>
          </w:p>
        </w:tc>
        <w:tc>
          <w:tcPr>
            <w:tcW w:w="639" w:type="dxa"/>
          </w:tcPr>
          <w:p w14:paraId="5CCA74FE">
            <w:pPr>
              <w:pStyle w:val="6"/>
              <w:jc w:val="left"/>
            </w:pPr>
            <w:r>
              <w:t xml:space="preserve"> {供应商响应}</w:t>
            </w:r>
          </w:p>
        </w:tc>
        <w:tc>
          <w:tcPr>
            <w:tcW w:w="639" w:type="dxa"/>
          </w:tcPr>
          <w:p w14:paraId="1AA44D41">
            <w:pPr>
              <w:pStyle w:val="6"/>
              <w:jc w:val="left"/>
            </w:pPr>
            <w:r>
              <w:t xml:space="preserve"> {供应商响应}</w:t>
            </w:r>
          </w:p>
        </w:tc>
        <w:tc>
          <w:tcPr>
            <w:tcW w:w="639" w:type="dxa"/>
          </w:tcPr>
          <w:p w14:paraId="308C5894">
            <w:pPr>
              <w:pStyle w:val="6"/>
              <w:jc w:val="left"/>
            </w:pPr>
            <w:r>
              <w:t xml:space="preserve"> 2068066.08  元</w:t>
            </w:r>
          </w:p>
        </w:tc>
        <w:tc>
          <w:tcPr>
            <w:tcW w:w="639" w:type="dxa"/>
          </w:tcPr>
          <w:p w14:paraId="7BE915DE">
            <w:pPr>
              <w:pStyle w:val="6"/>
              <w:jc w:val="left"/>
            </w:pPr>
            <w:r>
              <w:t xml:space="preserve"> {=总价/数量}  元</w:t>
            </w:r>
          </w:p>
        </w:tc>
        <w:tc>
          <w:tcPr>
            <w:tcW w:w="639" w:type="dxa"/>
          </w:tcPr>
          <w:p w14:paraId="2B4A4B95">
            <w:pPr>
              <w:pStyle w:val="6"/>
              <w:jc w:val="left"/>
            </w:pPr>
            <w:r>
              <w:t xml:space="preserve"> 1032.0000</w:t>
            </w:r>
          </w:p>
        </w:tc>
        <w:tc>
          <w:tcPr>
            <w:tcW w:w="639" w:type="dxa"/>
          </w:tcPr>
          <w:p w14:paraId="186A2634">
            <w:pPr>
              <w:pStyle w:val="6"/>
              <w:jc w:val="left"/>
            </w:pPr>
            <w:r>
              <w:t xml:space="preserve"> 批次</w:t>
            </w:r>
          </w:p>
        </w:tc>
        <w:tc>
          <w:tcPr>
            <w:tcW w:w="639" w:type="dxa"/>
          </w:tcPr>
          <w:p w14:paraId="1116350F">
            <w:pPr>
              <w:pStyle w:val="6"/>
              <w:jc w:val="left"/>
            </w:pPr>
            <w:r>
              <w:t xml:space="preserve"> {供应商响应}</w:t>
            </w:r>
          </w:p>
        </w:tc>
        <w:tc>
          <w:tcPr>
            <w:tcW w:w="639" w:type="dxa"/>
          </w:tcPr>
          <w:p w14:paraId="602B91D7">
            <w:pPr>
              <w:pStyle w:val="6"/>
              <w:jc w:val="left"/>
            </w:pPr>
            <w:r>
              <w:t xml:space="preserve"> {供应商响应}</w:t>
            </w:r>
          </w:p>
        </w:tc>
        <w:tc>
          <w:tcPr>
            <w:tcW w:w="639" w:type="dxa"/>
          </w:tcPr>
          <w:p w14:paraId="59D94816">
            <w:pPr>
              <w:pStyle w:val="6"/>
              <w:jc w:val="left"/>
            </w:pPr>
            <w:r>
              <w:t xml:space="preserve"> {供应商响应}  元</w:t>
            </w:r>
          </w:p>
        </w:tc>
      </w:tr>
    </w:tbl>
    <w:p w14:paraId="49E25B4A">
      <w:pPr>
        <w:pStyle w:val="6"/>
        <w:jc w:val="left"/>
      </w:pPr>
      <w:r>
        <w:t>合计：</w:t>
      </w:r>
    </w:p>
    <w:p w14:paraId="172ADA92">
      <w:pPr>
        <w:pStyle w:val="6"/>
        <w:jc w:val="left"/>
      </w:pPr>
      <w:r>
        <w:t>备注：无</w:t>
      </w:r>
    </w:p>
    <w:p w14:paraId="743F3888">
      <w:pPr>
        <w:pStyle w:val="6"/>
        <w:jc w:val="left"/>
      </w:pPr>
      <w:r>
        <w:t>时间：     年     月     日</w:t>
      </w:r>
    </w:p>
    <w:p w14:paraId="54035B38">
      <w:pPr>
        <w:pStyle w:val="6"/>
        <w:jc w:val="left"/>
      </w:pPr>
      <w:r>
        <w:t xml:space="preserve">签章：                     </w:t>
      </w:r>
    </w:p>
    <w:p w14:paraId="6BFE4E4D">
      <w:pPr>
        <w:pStyle w:val="6"/>
      </w:pPr>
      <w:r>
        <w:t xml:space="preserve"> </w:t>
      </w:r>
      <w:r>
        <w:br w:type="textWrapping"/>
      </w:r>
      <w:r>
        <w:br w:type="page"/>
      </w:r>
    </w:p>
    <w:p w14:paraId="782A5AA4">
      <w:pPr>
        <w:pStyle w:val="6"/>
        <w:jc w:val="center"/>
        <w:outlineLvl w:val="2"/>
      </w:pPr>
      <w:r>
        <w:rPr>
          <w:b/>
          <w:sz w:val="28"/>
        </w:rPr>
        <w:t>三、招标文件规定的价格扣除证明材料（若有）</w:t>
      </w:r>
    </w:p>
    <w:p w14:paraId="2383D35A">
      <w:pPr>
        <w:pStyle w:val="6"/>
        <w:jc w:val="center"/>
        <w:outlineLvl w:val="3"/>
      </w:pPr>
      <w:r>
        <w:rPr>
          <w:b/>
          <w:sz w:val="24"/>
        </w:rPr>
        <w:t>三-1优先类节能产品、环境标志产品价格扣除证明材料（若有）</w:t>
      </w:r>
    </w:p>
    <w:p w14:paraId="13BBA3BE">
      <w:pPr>
        <w:pStyle w:val="6"/>
        <w:jc w:val="center"/>
        <w:outlineLvl w:val="3"/>
      </w:pPr>
      <w:r>
        <w:rPr>
          <w:b/>
          <w:sz w:val="24"/>
        </w:rPr>
        <w:t>三-1-①优先类节能产品、环境标志产品统计表（价格扣除适用，若有）</w:t>
      </w:r>
    </w:p>
    <w:p w14:paraId="746F0058">
      <w:pPr>
        <w:pStyle w:val="6"/>
        <w:ind w:firstLine="480"/>
        <w:jc w:val="left"/>
      </w:pPr>
      <w:r>
        <w:t>项目编号：</w:t>
      </w:r>
      <w:r>
        <w:rPr>
          <w:u w:val="single"/>
        </w:rPr>
        <w:t>　　　　　　　　</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3561"/>
      </w:tblGrid>
      <w:tr w14:paraId="355E23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40CF9145"/>
        </w:tc>
        <w:tc>
          <w:tcPr>
            <w:tcW w:w="7122" w:type="dxa"/>
            <w:gridSpan w:val="4"/>
          </w:tcPr>
          <w:p w14:paraId="700FD8EA">
            <w:pPr>
              <w:pStyle w:val="6"/>
              <w:jc w:val="center"/>
            </w:pPr>
            <w:r>
              <w:t>本采购包内属于节能、环境标志产品情况</w:t>
            </w:r>
          </w:p>
        </w:tc>
      </w:tr>
      <w:tr w14:paraId="5354AE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trPr>
        <w:tc>
          <w:tcPr>
            <w:tcW w:w="1187" w:type="dxa"/>
          </w:tcPr>
          <w:p w14:paraId="0C9B40AD">
            <w:pPr>
              <w:pStyle w:val="6"/>
              <w:jc w:val="left"/>
            </w:pPr>
            <w:r>
              <w:t>采购包</w:t>
            </w:r>
          </w:p>
        </w:tc>
        <w:tc>
          <w:tcPr>
            <w:tcW w:w="1187" w:type="dxa"/>
          </w:tcPr>
          <w:p w14:paraId="207D2564">
            <w:pPr>
              <w:pStyle w:val="6"/>
              <w:jc w:val="left"/>
            </w:pPr>
            <w:r>
              <w:t>品目号</w:t>
            </w:r>
          </w:p>
        </w:tc>
        <w:tc>
          <w:tcPr>
            <w:tcW w:w="1187" w:type="dxa"/>
          </w:tcPr>
          <w:p w14:paraId="4F322E1F">
            <w:pPr>
              <w:pStyle w:val="6"/>
              <w:jc w:val="left"/>
            </w:pPr>
            <w:r>
              <w:t>产品名称</w:t>
            </w:r>
          </w:p>
        </w:tc>
        <w:tc>
          <w:tcPr>
            <w:tcW w:w="1187" w:type="dxa"/>
          </w:tcPr>
          <w:p w14:paraId="684088FF">
            <w:pPr>
              <w:pStyle w:val="6"/>
              <w:jc w:val="left"/>
            </w:pPr>
            <w:r>
              <w:t>认证种类</w:t>
            </w:r>
          </w:p>
        </w:tc>
      </w:tr>
      <w:tr w14:paraId="3956CC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trPr>
        <w:tc>
          <w:tcPr>
            <w:tcW w:w="1187" w:type="dxa"/>
            <w:vMerge w:val="restart"/>
          </w:tcPr>
          <w:p w14:paraId="5D327B7E">
            <w:pPr>
              <w:pStyle w:val="6"/>
              <w:jc w:val="left"/>
            </w:pPr>
            <w:r>
              <w:t>*</w:t>
            </w:r>
          </w:p>
        </w:tc>
        <w:tc>
          <w:tcPr>
            <w:tcW w:w="1187" w:type="dxa"/>
          </w:tcPr>
          <w:p w14:paraId="709E0692">
            <w:pPr>
              <w:pStyle w:val="6"/>
              <w:jc w:val="left"/>
            </w:pPr>
            <w:r>
              <w:t>*-1</w:t>
            </w:r>
          </w:p>
        </w:tc>
        <w:tc>
          <w:tcPr>
            <w:tcW w:w="1187" w:type="dxa"/>
          </w:tcPr>
          <w:p w14:paraId="7BFE1911"/>
        </w:tc>
        <w:tc>
          <w:tcPr>
            <w:tcW w:w="1187" w:type="dxa"/>
          </w:tcPr>
          <w:p w14:paraId="1A9E1258">
            <w:pPr>
              <w:pStyle w:val="6"/>
              <w:jc w:val="left"/>
            </w:pPr>
            <w:r>
              <w:t>供应商自行填写种类，并上传证明附件以便评审查看</w:t>
            </w:r>
          </w:p>
        </w:tc>
      </w:tr>
      <w:tr w14:paraId="166DC7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trPr>
        <w:tc>
          <w:tcPr>
            <w:tcW w:w="1187" w:type="dxa"/>
            <w:vMerge w:val="continue"/>
          </w:tcPr>
          <w:p w14:paraId="2EC6606B"/>
        </w:tc>
        <w:tc>
          <w:tcPr>
            <w:tcW w:w="1187" w:type="dxa"/>
          </w:tcPr>
          <w:p w14:paraId="2A14832F">
            <w:pPr>
              <w:pStyle w:val="6"/>
              <w:jc w:val="left"/>
            </w:pPr>
            <w:r>
              <w:t>…</w:t>
            </w:r>
          </w:p>
          <w:p w14:paraId="532B57D9">
            <w:pPr>
              <w:pStyle w:val="6"/>
              <w:jc w:val="left"/>
            </w:pPr>
          </w:p>
        </w:tc>
        <w:tc>
          <w:tcPr>
            <w:tcW w:w="1187" w:type="dxa"/>
          </w:tcPr>
          <w:p w14:paraId="7BD8E518"/>
        </w:tc>
        <w:tc>
          <w:tcPr>
            <w:tcW w:w="1187" w:type="dxa"/>
          </w:tcPr>
          <w:p w14:paraId="79794DB2"/>
        </w:tc>
      </w:tr>
      <w:tr w14:paraId="2F6CD3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trPr>
        <w:tc>
          <w:tcPr>
            <w:tcW w:w="1187" w:type="dxa"/>
          </w:tcPr>
          <w:p w14:paraId="42FAC58A">
            <w:pPr>
              <w:pStyle w:val="6"/>
              <w:jc w:val="left"/>
            </w:pPr>
            <w:r>
              <w:t>备注</w:t>
            </w:r>
          </w:p>
        </w:tc>
        <w:tc>
          <w:tcPr>
            <w:tcW w:w="3561" w:type="dxa"/>
            <w:gridSpan w:val="3"/>
          </w:tcPr>
          <w:p w14:paraId="769844CC">
            <w:pPr>
              <w:pStyle w:val="6"/>
              <w:jc w:val="left"/>
            </w:pPr>
          </w:p>
        </w:tc>
      </w:tr>
    </w:tbl>
    <w:p w14:paraId="5EB8A4EA">
      <w:pPr>
        <w:pStyle w:val="6"/>
        <w:jc w:val="left"/>
      </w:pPr>
      <w:r>
        <w:t>※注意：</w:t>
      </w:r>
    </w:p>
    <w:p w14:paraId="7C426F52">
      <w:pPr>
        <w:pStyle w:val="6"/>
        <w:ind w:firstLine="480"/>
        <w:jc w:val="left"/>
      </w:pPr>
      <w:r>
        <w:t>1、对节能、环境标志产品计算价格扣除时，只依据电子投标（响应）文件“投标（响应）报价明细表”以及“优先类节能产品、环境标志产品证明材料（价格扣除适用，若有）。</w:t>
      </w:r>
    </w:p>
    <w:p w14:paraId="74A0ECC1">
      <w:pPr>
        <w:pStyle w:val="6"/>
        <w:ind w:firstLine="480"/>
        <w:jc w:val="left"/>
      </w:pPr>
      <w:r>
        <w:t>2、本表以采购包为单位，不同采购包请分别填写；同一采购包请按照其品目号顺序分别填写。</w:t>
      </w:r>
    </w:p>
    <w:p w14:paraId="27700B75">
      <w:pPr>
        <w:pStyle w:val="6"/>
        <w:ind w:firstLine="480"/>
        <w:jc w:val="left"/>
      </w:pPr>
      <w:r>
        <w:t>3、具体统计、计算：</w:t>
      </w:r>
    </w:p>
    <w:p w14:paraId="21F7121A">
      <w:pPr>
        <w:pStyle w:val="6"/>
        <w:ind w:firstLine="480"/>
        <w:jc w:val="left"/>
      </w:pPr>
      <w:r>
        <w:t>3.1若同一采购包内的单个或多个货物取得或同时取得节能、环境标志产品等两项或多项认证的，均按照单个货物对应一项认证的原则统计、计算1次。</w:t>
      </w:r>
    </w:p>
    <w:p w14:paraId="7ECEDD22">
      <w:pPr>
        <w:pStyle w:val="6"/>
        <w:ind w:firstLine="480"/>
        <w:jc w:val="left"/>
      </w:pPr>
      <w:r>
        <w:t>3.2计算结果若除不尽，可四舍五入保留到小数点后两位。</w:t>
      </w:r>
    </w:p>
    <w:p w14:paraId="2CA0FC12">
      <w:pPr>
        <w:pStyle w:val="6"/>
        <w:ind w:firstLine="480"/>
        <w:jc w:val="left"/>
      </w:pPr>
      <w:r>
        <w:t>3.3投标人(供应商)按照采购文件要求认真统计、计算。</w:t>
      </w:r>
    </w:p>
    <w:p w14:paraId="200BCF47">
      <w:pPr>
        <w:pStyle w:val="6"/>
        <w:ind w:firstLine="480"/>
        <w:jc w:val="left"/>
      </w:pPr>
      <w:r>
        <w:t>3.4若无节能、环境标志产品，不填写本表。</w:t>
      </w:r>
    </w:p>
    <w:p w14:paraId="344E101C">
      <w:pPr>
        <w:pStyle w:val="6"/>
        <w:ind w:firstLine="480"/>
        <w:jc w:val="left"/>
      </w:pPr>
      <w:r>
        <w:t>3.5强制类节能产品不享受价格扣除。</w:t>
      </w:r>
    </w:p>
    <w:p w14:paraId="74EEFFE2">
      <w:pPr>
        <w:pStyle w:val="6"/>
        <w:ind w:firstLine="480"/>
        <w:jc w:val="right"/>
      </w:pPr>
      <w:r>
        <w:t>投标人：</w:t>
      </w:r>
      <w:r>
        <w:rPr>
          <w:u w:val="single"/>
        </w:rPr>
        <w:t>（全称并加盖单位公章）</w:t>
      </w:r>
    </w:p>
    <w:p w14:paraId="0B48982F">
      <w:pPr>
        <w:pStyle w:val="6"/>
        <w:ind w:firstLine="480"/>
        <w:jc w:val="right"/>
      </w:pPr>
      <w:r>
        <w:t>日期：</w:t>
      </w:r>
      <w:r>
        <w:rPr>
          <w:u w:val="single"/>
        </w:rPr>
        <w:t>　　年　　月　　日</w:t>
      </w:r>
    </w:p>
    <w:p w14:paraId="78D5DB5D">
      <w:pPr>
        <w:pStyle w:val="6"/>
        <w:jc w:val="left"/>
      </w:pPr>
      <w:r>
        <w:t xml:space="preserve"> </w:t>
      </w:r>
      <w:r>
        <w:br w:type="textWrapping"/>
      </w:r>
      <w:r>
        <w:br w:type="page"/>
      </w:r>
    </w:p>
    <w:p w14:paraId="40E94F18">
      <w:pPr>
        <w:pStyle w:val="6"/>
        <w:jc w:val="center"/>
        <w:outlineLvl w:val="3"/>
      </w:pPr>
      <w:r>
        <w:rPr>
          <w:b/>
          <w:sz w:val="24"/>
        </w:rPr>
        <w:t>三-1-②优先类节能产品、环境标志产品证明材料（价格扣除适用，若有）</w:t>
      </w:r>
    </w:p>
    <w:p w14:paraId="75B5E1FA">
      <w:pPr>
        <w:pStyle w:val="6"/>
        <w:jc w:val="center"/>
        <w:outlineLvl w:val="3"/>
      </w:pPr>
      <w:r>
        <w:rPr>
          <w:b/>
          <w:sz w:val="24"/>
        </w:rPr>
        <w:t>三-2小型、微型企业产品等价格扣除证明材料（若有）</w:t>
      </w:r>
    </w:p>
    <w:p w14:paraId="39C3335D">
      <w:pPr>
        <w:pStyle w:val="6"/>
        <w:jc w:val="center"/>
        <w:outlineLvl w:val="3"/>
      </w:pPr>
      <w:r>
        <w:rPr>
          <w:b/>
          <w:sz w:val="24"/>
        </w:rPr>
        <w:t>三-2-①中小企业声明函（价格扣除适用，若有）</w:t>
      </w:r>
    </w:p>
    <w:p w14:paraId="1F132483">
      <w:pPr>
        <w:pStyle w:val="6"/>
        <w:jc w:val="center"/>
        <w:outlineLvl w:val="3"/>
      </w:pPr>
      <w:r>
        <w:rPr>
          <w:b/>
          <w:sz w:val="24"/>
        </w:rPr>
        <w:t>中小企业声明函（货物）</w:t>
      </w:r>
    </w:p>
    <w:p w14:paraId="4EA1C7D9">
      <w:pPr>
        <w:pStyle w:val="6"/>
        <w:ind w:firstLine="480"/>
        <w:jc w:val="left"/>
      </w:pPr>
      <w:r>
        <w:t>本公司（联合体）郑重声明，根据《政府采购促进中小企业发展管理办法》（财库﹝2020﹞46 号）的规定，本公司（联合体）参加</w:t>
      </w:r>
      <w:r>
        <w:rPr>
          <w:u w:val="single"/>
        </w:rPr>
        <w:t>（单位名称）</w:t>
      </w:r>
      <w:r>
        <w:t>的</w:t>
      </w:r>
      <w:r>
        <w:rPr>
          <w:u w:val="single"/>
        </w:rPr>
        <w:t>（项目名称）</w:t>
      </w:r>
      <w:r>
        <w:t>采购活动，提供的货物全部由符合政策要求的中小企业制造。相关企业（含联合体中的中小企业、签订分包意向协议的中小企业）的具体情况如下：</w:t>
      </w:r>
    </w:p>
    <w:p w14:paraId="28F9631D">
      <w:pPr>
        <w:pStyle w:val="6"/>
        <w:ind w:firstLine="480"/>
        <w:jc w:val="left"/>
      </w:pPr>
      <w:r>
        <w:t>1.</w:t>
      </w:r>
      <w:r>
        <w:rPr>
          <w:u w:val="single"/>
        </w:rPr>
        <w:t xml:space="preserve"> （标的名称） </w:t>
      </w:r>
      <w:r>
        <w:t>，属于</w:t>
      </w:r>
      <w:r>
        <w:rPr>
          <w:u w:val="single"/>
        </w:rPr>
        <w:t>（采购文件中明确的所属行业）</w:t>
      </w:r>
      <w:r>
        <w:t>行业；制造商为</w:t>
      </w:r>
      <w:r>
        <w:rPr>
          <w:u w:val="single"/>
        </w:rPr>
        <w:t>（企业名称）</w:t>
      </w:r>
      <w:r>
        <w:t>，从业人员</w:t>
      </w:r>
      <w:r>
        <w:rPr>
          <w:u w:val="single"/>
        </w:rPr>
        <w:t>　　　　　</w:t>
      </w:r>
      <w:r>
        <w:t>人，营业收入为</w:t>
      </w:r>
      <w:r>
        <w:rPr>
          <w:u w:val="single"/>
        </w:rPr>
        <w:t>　　　　　</w:t>
      </w:r>
      <w:r>
        <w:t>万元，资产总额为</w:t>
      </w:r>
      <w:r>
        <w:rPr>
          <w:u w:val="single"/>
        </w:rPr>
        <w:t>　　　　　</w:t>
      </w:r>
      <w:r>
        <w:t>万元</w:t>
      </w:r>
      <w:r>
        <w:rPr>
          <w:rFonts w:ascii="宋体" w:hAnsi="宋体" w:eastAsia="宋体" w:cs="宋体"/>
          <w:sz w:val="21"/>
          <w:vertAlign w:val="superscript"/>
        </w:rPr>
        <w:t>1</w:t>
      </w:r>
      <w:r>
        <w:t>，属于</w:t>
      </w:r>
      <w:r>
        <w:rPr>
          <w:u w:val="single"/>
        </w:rPr>
        <w:t>（中型企业、小型企业、微型企业）</w:t>
      </w:r>
      <w:r>
        <w:t>；</w:t>
      </w:r>
    </w:p>
    <w:p w14:paraId="3387360F">
      <w:pPr>
        <w:pStyle w:val="6"/>
        <w:ind w:firstLine="480"/>
        <w:jc w:val="left"/>
      </w:pPr>
      <w:r>
        <w:t>2.</w:t>
      </w:r>
      <w:r>
        <w:rPr>
          <w:u w:val="single"/>
        </w:rPr>
        <w:t xml:space="preserve"> （标的名称） </w:t>
      </w:r>
      <w:r>
        <w:t>，属于</w:t>
      </w:r>
      <w:r>
        <w:rPr>
          <w:u w:val="single"/>
        </w:rPr>
        <w:t>（采购文件中明确的所属行业）</w:t>
      </w:r>
      <w:r>
        <w:t>行业；制造商为</w:t>
      </w:r>
      <w:r>
        <w:rPr>
          <w:u w:val="single"/>
        </w:rPr>
        <w:t>（企业名称）</w:t>
      </w:r>
      <w:r>
        <w:t>，从业人员</w:t>
      </w:r>
      <w:r>
        <w:rPr>
          <w:u w:val="single"/>
        </w:rPr>
        <w:t>　　　　　</w:t>
      </w:r>
      <w:r>
        <w:t>人，营业收入为</w:t>
      </w:r>
      <w:r>
        <w:rPr>
          <w:u w:val="single"/>
        </w:rPr>
        <w:t>　　　　　</w:t>
      </w:r>
      <w:r>
        <w:t>万元，资产总额为</w:t>
      </w:r>
      <w:r>
        <w:rPr>
          <w:u w:val="single"/>
        </w:rPr>
        <w:t>　　　　　</w:t>
      </w:r>
      <w:r>
        <w:t>万元，属于</w:t>
      </w:r>
      <w:r>
        <w:rPr>
          <w:u w:val="single"/>
        </w:rPr>
        <w:t>（中型企业、小型企业、微型企业）</w:t>
      </w:r>
      <w:r>
        <w:t>；</w:t>
      </w:r>
    </w:p>
    <w:p w14:paraId="535111AB">
      <w:pPr>
        <w:pStyle w:val="6"/>
        <w:ind w:firstLine="480"/>
        <w:jc w:val="left"/>
      </w:pPr>
      <w:r>
        <w:t>……</w:t>
      </w:r>
    </w:p>
    <w:p w14:paraId="12129B4F">
      <w:pPr>
        <w:pStyle w:val="6"/>
        <w:ind w:firstLine="480"/>
        <w:jc w:val="left"/>
      </w:pPr>
      <w:r>
        <w:t>以上企业，不属于大企业的分支机构，不存在控股股东为大企业的情形，也不存在与大企业的负责人为同一人的情形。</w:t>
      </w:r>
    </w:p>
    <w:p w14:paraId="0B74A06C">
      <w:pPr>
        <w:pStyle w:val="6"/>
        <w:ind w:firstLine="480"/>
        <w:jc w:val="left"/>
      </w:pPr>
      <w:r>
        <w:t>本企业对上述声明内容的真实性负责。如有虚假，将依法承担相应责任。</w:t>
      </w:r>
    </w:p>
    <w:p w14:paraId="33E64CC3">
      <w:pPr>
        <w:pStyle w:val="6"/>
        <w:ind w:firstLine="480"/>
        <w:jc w:val="right"/>
      </w:pPr>
      <w:r>
        <w:t>投标人：</w:t>
      </w:r>
      <w:r>
        <w:rPr>
          <w:u w:val="single"/>
        </w:rPr>
        <w:t>（全称并加盖单位公章）</w:t>
      </w:r>
    </w:p>
    <w:p w14:paraId="6E509E7F">
      <w:pPr>
        <w:pStyle w:val="6"/>
        <w:ind w:firstLine="480"/>
        <w:jc w:val="right"/>
      </w:pPr>
      <w:r>
        <w:t>日期：</w:t>
      </w:r>
      <w:r>
        <w:rPr>
          <w:u w:val="single"/>
        </w:rPr>
        <w:t>　　年　　月　　日</w:t>
      </w:r>
    </w:p>
    <w:p w14:paraId="748EC053">
      <w:pPr>
        <w:pStyle w:val="6"/>
        <w:ind w:firstLine="480"/>
        <w:jc w:val="left"/>
      </w:pPr>
      <w:r>
        <w:t>※注意：</w:t>
      </w:r>
    </w:p>
    <w:p w14:paraId="10EB4D14">
      <w:pPr>
        <w:pStyle w:val="6"/>
        <w:ind w:firstLine="480"/>
        <w:jc w:val="left"/>
      </w:pPr>
      <w:r>
        <w:t>1、从业人员、营业收入、资产总额填报上一年度数据，无上一年度数据的新成立企业可不填报。</w:t>
      </w:r>
    </w:p>
    <w:p w14:paraId="3D95E541">
      <w:pPr>
        <w:pStyle w:val="6"/>
        <w:ind w:firstLine="480"/>
        <w:jc w:val="left"/>
      </w:pPr>
      <w: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4DC238CE">
      <w:pPr>
        <w:pStyle w:val="6"/>
        <w:ind w:firstLine="480"/>
        <w:jc w:val="left"/>
      </w:pPr>
      <w: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192EBF53">
      <w:pPr>
        <w:pStyle w:val="6"/>
        <w:jc w:val="left"/>
      </w:pPr>
      <w:r>
        <w:t xml:space="preserve"> </w:t>
      </w:r>
      <w:r>
        <w:br w:type="textWrapping"/>
      </w:r>
      <w:r>
        <w:br w:type="page"/>
      </w:r>
    </w:p>
    <w:p w14:paraId="5DD19B37">
      <w:pPr>
        <w:pStyle w:val="6"/>
        <w:jc w:val="center"/>
        <w:outlineLvl w:val="3"/>
      </w:pPr>
      <w:r>
        <w:rPr>
          <w:b/>
          <w:sz w:val="24"/>
        </w:rPr>
        <w:t>中小企业声明函（工程、服务）</w:t>
      </w:r>
    </w:p>
    <w:p w14:paraId="60B931D1">
      <w:pPr>
        <w:pStyle w:val="6"/>
        <w:ind w:firstLine="480"/>
        <w:jc w:val="left"/>
      </w:pPr>
      <w:r>
        <w:t>本公司（联合体）郑重声明，根据《政府采购促进中小企业发展管理办法》（财库﹝2020﹞46 号）的规定，本公司（联合体）参加</w:t>
      </w:r>
      <w:r>
        <w:rPr>
          <w:u w:val="single"/>
        </w:rPr>
        <w:t>（单位名称）</w:t>
      </w:r>
      <w:r>
        <w:t>的</w:t>
      </w:r>
      <w:r>
        <w:rPr>
          <w:u w:val="single"/>
        </w:rPr>
        <w:t>（项目名称）</w:t>
      </w:r>
      <w:r>
        <w:t>采购活动，工程的施工单位全部为符合政策要求的中小企业（或者：服务全部由符合政策要求的中小企业承接）。相关企业（含联合体中的中小企业、签订分包意向协议的中小企业）的具体情况如下：</w:t>
      </w:r>
    </w:p>
    <w:p w14:paraId="10C4629A">
      <w:pPr>
        <w:pStyle w:val="6"/>
        <w:ind w:firstLine="480"/>
        <w:jc w:val="left"/>
      </w:pPr>
      <w:r>
        <w:t>1.</w:t>
      </w:r>
      <w:r>
        <w:rPr>
          <w:u w:val="single"/>
        </w:rPr>
        <w:t>（标的名称）</w:t>
      </w:r>
      <w:r>
        <w:t>，属于</w:t>
      </w:r>
      <w:r>
        <w:rPr>
          <w:u w:val="single"/>
        </w:rPr>
        <w:t>（采购文件中明确的所属行业）</w:t>
      </w:r>
      <w:r>
        <w:t>；承建（承接）企业为</w:t>
      </w:r>
      <w:r>
        <w:rPr>
          <w:u w:val="single"/>
        </w:rPr>
        <w:t>（企业名称）</w:t>
      </w:r>
      <w:r>
        <w:t>，从业人员</w:t>
      </w:r>
      <w:r>
        <w:rPr>
          <w:u w:val="single"/>
        </w:rPr>
        <w:t>　　　　　</w:t>
      </w:r>
      <w:r>
        <w:t>人，营业收入为</w:t>
      </w:r>
      <w:r>
        <w:rPr>
          <w:u w:val="single"/>
        </w:rPr>
        <w:t>　　　　　</w:t>
      </w:r>
      <w:r>
        <w:t>万元，资产总额为</w:t>
      </w:r>
      <w:r>
        <w:rPr>
          <w:u w:val="single"/>
        </w:rPr>
        <w:t>　　　　　</w:t>
      </w:r>
      <w:r>
        <w:t>万元</w:t>
      </w:r>
      <w:r>
        <w:rPr>
          <w:rFonts w:ascii="宋体" w:hAnsi="宋体" w:eastAsia="宋体" w:cs="宋体"/>
          <w:sz w:val="21"/>
          <w:vertAlign w:val="superscript"/>
        </w:rPr>
        <w:t>1</w:t>
      </w:r>
      <w:r>
        <w:t>，属于</w:t>
      </w:r>
      <w:r>
        <w:rPr>
          <w:u w:val="single"/>
        </w:rPr>
        <w:t>（中型企业、小型企业、微型企业）</w:t>
      </w:r>
      <w:r>
        <w:t>；</w:t>
      </w:r>
    </w:p>
    <w:p w14:paraId="0CCC0CA3">
      <w:pPr>
        <w:pStyle w:val="6"/>
        <w:ind w:firstLine="480"/>
        <w:jc w:val="left"/>
      </w:pPr>
      <w:r>
        <w:t>2.</w:t>
      </w:r>
      <w:r>
        <w:rPr>
          <w:u w:val="single"/>
        </w:rPr>
        <w:t>（标的名称）</w:t>
      </w:r>
      <w:r>
        <w:t>，属于</w:t>
      </w:r>
      <w:r>
        <w:rPr>
          <w:u w:val="single"/>
        </w:rPr>
        <w:t>（采购文件中明确的所属行业）</w:t>
      </w:r>
      <w:r>
        <w:t>；承建（承接）企业为</w:t>
      </w:r>
      <w:r>
        <w:rPr>
          <w:u w:val="single"/>
        </w:rPr>
        <w:t>（企业名称）</w:t>
      </w:r>
      <w:r>
        <w:t>，从业人员</w:t>
      </w:r>
      <w:r>
        <w:rPr>
          <w:u w:val="single"/>
        </w:rPr>
        <w:t>　　　　　</w:t>
      </w:r>
      <w:r>
        <w:t>人，营业收入为</w:t>
      </w:r>
      <w:r>
        <w:rPr>
          <w:u w:val="single"/>
        </w:rPr>
        <w:t>　　　　　</w:t>
      </w:r>
      <w:r>
        <w:t>万元，资产总额为</w:t>
      </w:r>
      <w:r>
        <w:rPr>
          <w:u w:val="single"/>
        </w:rPr>
        <w:t>　　　　　</w:t>
      </w:r>
      <w:r>
        <w:t>万元，属于</w:t>
      </w:r>
      <w:r>
        <w:rPr>
          <w:u w:val="single"/>
        </w:rPr>
        <w:t>（中型企业、小型企业、微型企业）</w:t>
      </w:r>
      <w:r>
        <w:t>；</w:t>
      </w:r>
    </w:p>
    <w:p w14:paraId="69143E30">
      <w:pPr>
        <w:pStyle w:val="6"/>
        <w:ind w:firstLine="480"/>
        <w:jc w:val="left"/>
      </w:pPr>
      <w:r>
        <w:t>……</w:t>
      </w:r>
    </w:p>
    <w:p w14:paraId="3DE02C3B">
      <w:pPr>
        <w:pStyle w:val="6"/>
        <w:ind w:firstLine="480"/>
        <w:jc w:val="left"/>
      </w:pPr>
      <w:r>
        <w:t>以上企业，不属于大企业的分支机构，不存在控股股东为大企业的情形，也不存在与大企业的负责人为同一人的情形。</w:t>
      </w:r>
    </w:p>
    <w:p w14:paraId="14A86880">
      <w:pPr>
        <w:pStyle w:val="6"/>
        <w:ind w:firstLine="480"/>
        <w:jc w:val="left"/>
      </w:pPr>
      <w:r>
        <w:t>本企业对上述声明内容的真实性负责。如有虚假，将依法承担相应责任。</w:t>
      </w:r>
    </w:p>
    <w:p w14:paraId="01B6BAD4">
      <w:pPr>
        <w:pStyle w:val="6"/>
        <w:ind w:firstLine="480"/>
        <w:jc w:val="right"/>
      </w:pPr>
      <w:r>
        <w:t>投标人：</w:t>
      </w:r>
      <w:r>
        <w:rPr>
          <w:u w:val="single"/>
        </w:rPr>
        <w:t>（全称并加盖单位公章）</w:t>
      </w:r>
    </w:p>
    <w:p w14:paraId="674E5A2E">
      <w:pPr>
        <w:pStyle w:val="6"/>
        <w:ind w:firstLine="480"/>
        <w:jc w:val="right"/>
      </w:pPr>
      <w:r>
        <w:t>日期：</w:t>
      </w:r>
      <w:r>
        <w:rPr>
          <w:u w:val="single"/>
        </w:rPr>
        <w:t>　　年　　月　　日</w:t>
      </w:r>
    </w:p>
    <w:p w14:paraId="0FBB608C">
      <w:pPr>
        <w:pStyle w:val="6"/>
        <w:ind w:firstLine="480"/>
        <w:jc w:val="left"/>
      </w:pPr>
      <w:r>
        <w:t>※注意：</w:t>
      </w:r>
    </w:p>
    <w:p w14:paraId="605F8783">
      <w:pPr>
        <w:pStyle w:val="6"/>
        <w:ind w:firstLine="480"/>
        <w:jc w:val="left"/>
      </w:pPr>
      <w:r>
        <w:t>1、从业人员、营业收入、资产总额填报上一年度数据，无上一年度数据的新成立企业可不填报。</w:t>
      </w:r>
    </w:p>
    <w:p w14:paraId="3667EF17">
      <w:pPr>
        <w:pStyle w:val="6"/>
        <w:ind w:firstLine="480"/>
        <w:jc w:val="left"/>
      </w:pPr>
      <w: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02961E3E">
      <w:pPr>
        <w:pStyle w:val="6"/>
        <w:ind w:firstLine="480"/>
        <w:jc w:val="left"/>
      </w:pPr>
      <w: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22BAB82E">
      <w:pPr>
        <w:pStyle w:val="6"/>
        <w:jc w:val="left"/>
      </w:pPr>
      <w:r>
        <w:t xml:space="preserve"> </w:t>
      </w:r>
      <w:r>
        <w:br w:type="textWrapping"/>
      </w:r>
      <w:r>
        <w:br w:type="page"/>
      </w:r>
    </w:p>
    <w:p w14:paraId="10F7C5E3">
      <w:pPr>
        <w:pStyle w:val="6"/>
        <w:jc w:val="center"/>
        <w:outlineLvl w:val="3"/>
      </w:pPr>
      <w:r>
        <w:rPr>
          <w:b/>
          <w:sz w:val="24"/>
        </w:rPr>
        <w:t>三-2-②小型、微型企业等证明材料（价格扣除适用，若有）</w:t>
      </w:r>
    </w:p>
    <w:p w14:paraId="10B9751E">
      <w:pPr>
        <w:pStyle w:val="6"/>
        <w:ind w:firstLine="480"/>
        <w:jc w:val="center"/>
      </w:pPr>
      <w:r>
        <w:t>编制说明</w:t>
      </w:r>
    </w:p>
    <w:p w14:paraId="1F39F56A">
      <w:pPr>
        <w:pStyle w:val="6"/>
        <w:ind w:firstLine="480"/>
        <w:jc w:val="left"/>
      </w:pPr>
      <w:r>
        <w:t>1、投标人应按照招标文件要求提供相应证明材料，证明材料应与《中小企业声明函》的内容相一致，否则视为《中小企业声明函》内容不真实。</w:t>
      </w:r>
    </w:p>
    <w:p w14:paraId="1F5A850B">
      <w:pPr>
        <w:pStyle w:val="6"/>
        <w:ind w:firstLine="480"/>
        <w:jc w:val="left"/>
      </w:pPr>
      <w:r>
        <w:t>2、投标人为监狱企业的，根据其提供的由省级以上监狱管理局、戒毒管理局（含新疆生产建设兵团）出具的属于监狱企业的证明文件进行认定，监狱企业视同小型、微型企业。</w:t>
      </w:r>
    </w:p>
    <w:p w14:paraId="413E9F54">
      <w:pPr>
        <w:pStyle w:val="6"/>
        <w:ind w:firstLine="480"/>
        <w:jc w:val="left"/>
      </w:pPr>
      <w:r>
        <w:t>3、投标人为残疾人福利性单位的，根据其提供的《残疾人福利性单位声明函》（格式附后）进行认定，残疾人福利性单位视同小型、微型企业。残疾人福利性单位属于小型、微型企业的，不重复享受政策。</w:t>
      </w:r>
    </w:p>
    <w:p w14:paraId="1A14CC76">
      <w:pPr>
        <w:pStyle w:val="6"/>
        <w:ind w:firstLine="480"/>
        <w:jc w:val="left"/>
      </w:pPr>
      <w:r>
        <w:t>附：</w:t>
      </w:r>
    </w:p>
    <w:p w14:paraId="08A96F5C">
      <w:pPr>
        <w:pStyle w:val="6"/>
        <w:jc w:val="center"/>
        <w:outlineLvl w:val="3"/>
      </w:pPr>
      <w:r>
        <w:rPr>
          <w:b/>
          <w:sz w:val="24"/>
        </w:rPr>
        <w:t>残疾人福利性单位声明函（价格扣除适用，若有）</w:t>
      </w:r>
    </w:p>
    <w:p w14:paraId="43130105">
      <w:pPr>
        <w:pStyle w:val="6"/>
        <w:ind w:firstLine="480"/>
        <w:jc w:val="left"/>
      </w:pPr>
      <w: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7AFD8400">
      <w:pPr>
        <w:pStyle w:val="6"/>
        <w:ind w:firstLine="480"/>
        <w:jc w:val="left"/>
      </w:pPr>
      <w: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7496EB51">
      <w:pPr>
        <w:pStyle w:val="6"/>
        <w:ind w:firstLine="480"/>
        <w:jc w:val="left"/>
      </w:pPr>
      <w:r>
        <w:t>（ ）由本投标人承建的（填写“所投采购包、品目号”）工程</w:t>
      </w:r>
    </w:p>
    <w:p w14:paraId="19293857">
      <w:pPr>
        <w:pStyle w:val="6"/>
        <w:ind w:firstLine="480"/>
        <w:jc w:val="left"/>
      </w:pPr>
      <w:r>
        <w:t>（ ）由本投标人承接的（填写“所投采购包、品目号”）服务；</w:t>
      </w:r>
    </w:p>
    <w:p w14:paraId="4DEFAAE6">
      <w:pPr>
        <w:pStyle w:val="6"/>
        <w:ind w:firstLine="480"/>
        <w:jc w:val="left"/>
      </w:pPr>
      <w:r>
        <w:t>本投标人对上述声明的真实性负责。如有虚假，将依法承担相应责任。</w:t>
      </w:r>
    </w:p>
    <w:p w14:paraId="2E6971FC">
      <w:pPr>
        <w:pStyle w:val="6"/>
        <w:ind w:firstLine="480"/>
        <w:jc w:val="left"/>
      </w:pPr>
      <w:r>
        <w:t>备注：</w:t>
      </w:r>
    </w:p>
    <w:p w14:paraId="5D0B5B58">
      <w:pPr>
        <w:pStyle w:val="6"/>
        <w:ind w:firstLine="480"/>
        <w:jc w:val="left"/>
      </w:pPr>
      <w:r>
        <w:t>1、请投标人按照实际情况编制填写本声明函，并在相应的（）中打“√”。</w:t>
      </w:r>
    </w:p>
    <w:p w14:paraId="45212121">
      <w:pPr>
        <w:pStyle w:val="6"/>
        <w:ind w:firstLine="480"/>
        <w:jc w:val="left"/>
      </w:pPr>
      <w:r>
        <w:t>2、若《残疾人福利性单位声明函》内容不真实，视为提供虚假材料。</w:t>
      </w:r>
    </w:p>
    <w:p w14:paraId="4A5A7635">
      <w:pPr>
        <w:pStyle w:val="6"/>
        <w:ind w:firstLine="480"/>
        <w:jc w:val="right"/>
      </w:pPr>
      <w:r>
        <w:t>投标人：</w:t>
      </w:r>
      <w:r>
        <w:rPr>
          <w:u w:val="single"/>
        </w:rPr>
        <w:t>（全称并加盖单位公章）</w:t>
      </w:r>
    </w:p>
    <w:p w14:paraId="201B2776">
      <w:pPr>
        <w:pStyle w:val="6"/>
        <w:ind w:firstLine="480"/>
        <w:jc w:val="right"/>
      </w:pPr>
      <w:r>
        <w:t>日期：</w:t>
      </w:r>
      <w:r>
        <w:rPr>
          <w:u w:val="single"/>
        </w:rPr>
        <w:t>　　年　　月　　日</w:t>
      </w:r>
    </w:p>
    <w:p w14:paraId="2E807AAA">
      <w:pPr>
        <w:pStyle w:val="6"/>
        <w:jc w:val="left"/>
      </w:pPr>
      <w:r>
        <w:t xml:space="preserve"> </w:t>
      </w:r>
      <w:r>
        <w:br w:type="textWrapping"/>
      </w:r>
      <w:r>
        <w:br w:type="page"/>
      </w:r>
    </w:p>
    <w:p w14:paraId="2F321E53">
      <w:pPr>
        <w:pStyle w:val="6"/>
        <w:ind w:firstLine="480"/>
        <w:jc w:val="left"/>
      </w:pPr>
      <w:r>
        <w:t>附：</w:t>
      </w:r>
    </w:p>
    <w:p w14:paraId="6A7CE8BB">
      <w:pPr>
        <w:pStyle w:val="6"/>
        <w:jc w:val="center"/>
        <w:outlineLvl w:val="3"/>
      </w:pPr>
      <w:r>
        <w:rPr>
          <w:b/>
          <w:sz w:val="24"/>
        </w:rPr>
        <w:t>监狱企业证明材料</w:t>
      </w:r>
    </w:p>
    <w:p w14:paraId="16750999">
      <w:pPr>
        <w:pStyle w:val="6"/>
        <w:ind w:firstLine="480"/>
        <w:jc w:val="left"/>
      </w:pPr>
      <w:r>
        <w:t>投标人为监狱企业，提供本单位制造的货物（承接的服务），并在电子投标文件中提供省级以上监狱管理局、戒毒管理局（含新疆生产建设兵团）出具的属于监狱企业的证明文件。</w:t>
      </w:r>
    </w:p>
    <w:p w14:paraId="63F66CA3">
      <w:pPr>
        <w:pStyle w:val="6"/>
        <w:jc w:val="left"/>
      </w:pPr>
      <w:r>
        <w:t xml:space="preserve"> </w:t>
      </w:r>
      <w:r>
        <w:br w:type="textWrapping"/>
      </w:r>
      <w:r>
        <w:br w:type="page"/>
      </w:r>
    </w:p>
    <w:p w14:paraId="2E69E396">
      <w:pPr>
        <w:pStyle w:val="6"/>
        <w:jc w:val="center"/>
        <w:outlineLvl w:val="3"/>
      </w:pPr>
      <w:r>
        <w:rPr>
          <w:b/>
          <w:sz w:val="24"/>
        </w:rPr>
        <w:t>三-3招标文件规定的其他价格扣除证明材料（若有）</w:t>
      </w:r>
    </w:p>
    <w:p w14:paraId="60B84B77">
      <w:pPr>
        <w:pStyle w:val="6"/>
        <w:ind w:firstLine="480"/>
        <w:jc w:val="center"/>
      </w:pPr>
      <w:r>
        <w:t>编制说明</w:t>
      </w:r>
    </w:p>
    <w:p w14:paraId="064CEE04">
      <w:pPr>
        <w:pStyle w:val="6"/>
        <w:ind w:firstLine="480"/>
        <w:jc w:val="left"/>
      </w:pPr>
      <w:r>
        <w:t>若投标人可享受招标文件规定的除“节能（非强制类）、环境标志产品价格扣除”及“小型、微型企业产品等价格扣除”外的其他价格扣除优惠，则投标人应按照招标文件要求提供相应证明材料。</w:t>
      </w:r>
    </w:p>
    <w:p w14:paraId="59687E59">
      <w:pPr>
        <w:pStyle w:val="6"/>
      </w:pPr>
      <w:r>
        <w:t xml:space="preserve"> </w:t>
      </w:r>
      <w:r>
        <w:br w:type="textWrapping"/>
      </w:r>
      <w:r>
        <w:br w:type="page"/>
      </w:r>
    </w:p>
    <w:p w14:paraId="29AD34BF">
      <w:pPr>
        <w:pStyle w:val="6"/>
        <w:jc w:val="center"/>
        <w:outlineLvl w:val="2"/>
      </w:pPr>
      <w:r>
        <w:rPr>
          <w:b/>
          <w:sz w:val="28"/>
        </w:rPr>
        <w:t>封面格式(技术商务部分)</w:t>
      </w:r>
    </w:p>
    <w:p w14:paraId="615A2E37">
      <w:pPr>
        <w:pStyle w:val="6"/>
        <w:jc w:val="center"/>
        <w:outlineLvl w:val="0"/>
      </w:pPr>
      <w:r>
        <w:rPr>
          <w:b/>
          <w:sz w:val="48"/>
        </w:rPr>
        <w:t>福建省政府采购投标文件</w:t>
      </w:r>
    </w:p>
    <w:p w14:paraId="57A4CFF6">
      <w:pPr>
        <w:pStyle w:val="6"/>
        <w:jc w:val="center"/>
        <w:outlineLvl w:val="0"/>
      </w:pPr>
      <w:r>
        <w:rPr>
          <w:b/>
          <w:sz w:val="48"/>
        </w:rPr>
        <w:t>（技术商务部分）</w:t>
      </w:r>
      <w:r>
        <w:br w:type="textWrapping"/>
      </w:r>
      <w:r>
        <w:br w:type="textWrapping"/>
      </w:r>
      <w:r>
        <w:br w:type="textWrapping"/>
      </w:r>
    </w:p>
    <w:p w14:paraId="7E070CB9">
      <w:pPr>
        <w:pStyle w:val="6"/>
        <w:jc w:val="center"/>
        <w:outlineLvl w:val="1"/>
      </w:pPr>
      <w:r>
        <w:rPr>
          <w:b/>
          <w:sz w:val="36"/>
        </w:rPr>
        <w:t>（填写正本或副本）</w:t>
      </w:r>
      <w:r>
        <w:br w:type="textWrapping"/>
      </w:r>
      <w:r>
        <w:br w:type="textWrapping"/>
      </w:r>
      <w:r>
        <w:br w:type="textWrapping"/>
      </w:r>
      <w:r>
        <w:br w:type="textWrapping"/>
      </w:r>
      <w:r>
        <w:br w:type="textWrapping"/>
      </w:r>
    </w:p>
    <w:p w14:paraId="379A09DB">
      <w:pPr>
        <w:pStyle w:val="6"/>
        <w:jc w:val="center"/>
        <w:outlineLvl w:val="2"/>
      </w:pPr>
      <w:r>
        <w:rPr>
          <w:b/>
          <w:sz w:val="28"/>
        </w:rPr>
        <w:t>（项目名称：（由投标人填写）</w:t>
      </w:r>
    </w:p>
    <w:p w14:paraId="14745678">
      <w:pPr>
        <w:pStyle w:val="6"/>
        <w:jc w:val="center"/>
        <w:outlineLvl w:val="2"/>
      </w:pPr>
      <w:r>
        <w:rPr>
          <w:b/>
          <w:sz w:val="28"/>
        </w:rPr>
        <w:t>（备案编号：（由投标人填写）</w:t>
      </w:r>
    </w:p>
    <w:p w14:paraId="4BDB2255">
      <w:pPr>
        <w:pStyle w:val="6"/>
        <w:jc w:val="center"/>
        <w:outlineLvl w:val="2"/>
      </w:pPr>
      <w:r>
        <w:rPr>
          <w:b/>
          <w:sz w:val="28"/>
        </w:rPr>
        <w:t>（项目编号：（由投标人填写）</w:t>
      </w:r>
    </w:p>
    <w:p w14:paraId="001BA1D0">
      <w:pPr>
        <w:pStyle w:val="6"/>
        <w:jc w:val="center"/>
        <w:outlineLvl w:val="2"/>
      </w:pPr>
      <w:r>
        <w:rPr>
          <w:b/>
          <w:sz w:val="28"/>
        </w:rPr>
        <w:t>（所投采购包：（由投标人填写）</w:t>
      </w:r>
      <w:r>
        <w:br w:type="textWrapping"/>
      </w:r>
      <w:r>
        <w:br w:type="textWrapping"/>
      </w:r>
    </w:p>
    <w:p w14:paraId="397A2D45">
      <w:pPr>
        <w:pStyle w:val="6"/>
        <w:jc w:val="center"/>
        <w:outlineLvl w:val="2"/>
      </w:pPr>
      <w:r>
        <w:rPr>
          <w:b/>
          <w:sz w:val="28"/>
        </w:rPr>
        <w:t>投标人：（填写“全称”）</w:t>
      </w:r>
    </w:p>
    <w:p w14:paraId="1B82C933">
      <w:pPr>
        <w:pStyle w:val="6"/>
        <w:jc w:val="center"/>
        <w:outlineLvl w:val="2"/>
      </w:pPr>
      <w:r>
        <w:rPr>
          <w:b/>
          <w:sz w:val="28"/>
        </w:rPr>
        <w:t>（由投标人填写）年（由投标人填写）月</w:t>
      </w:r>
    </w:p>
    <w:p w14:paraId="1ABE155E">
      <w:pPr>
        <w:pStyle w:val="6"/>
      </w:pPr>
      <w:r>
        <w:t xml:space="preserve"> </w:t>
      </w:r>
      <w:r>
        <w:br w:type="textWrapping"/>
      </w:r>
      <w:r>
        <w:br w:type="page"/>
      </w:r>
    </w:p>
    <w:p w14:paraId="383D6BA6">
      <w:pPr>
        <w:pStyle w:val="6"/>
        <w:jc w:val="center"/>
        <w:outlineLvl w:val="2"/>
      </w:pPr>
      <w:r>
        <w:rPr>
          <w:b/>
          <w:sz w:val="28"/>
        </w:rPr>
        <w:t>索引</w:t>
      </w:r>
    </w:p>
    <w:p w14:paraId="05D1AB99">
      <w:pPr>
        <w:pStyle w:val="6"/>
        <w:ind w:firstLine="480"/>
        <w:jc w:val="left"/>
      </w:pPr>
      <w:r>
        <w:t>一、标的说明一览表</w:t>
      </w:r>
    </w:p>
    <w:p w14:paraId="0852E077">
      <w:pPr>
        <w:pStyle w:val="6"/>
        <w:ind w:firstLine="480"/>
        <w:jc w:val="left"/>
      </w:pPr>
      <w:r>
        <w:t>二、技术和服务要求响应表</w:t>
      </w:r>
    </w:p>
    <w:p w14:paraId="3740225E">
      <w:pPr>
        <w:pStyle w:val="6"/>
        <w:ind w:firstLine="480"/>
        <w:jc w:val="left"/>
      </w:pPr>
      <w:r>
        <w:t>三、商务条件响应表</w:t>
      </w:r>
    </w:p>
    <w:p w14:paraId="6A79F21B">
      <w:pPr>
        <w:pStyle w:val="6"/>
        <w:ind w:firstLine="480"/>
        <w:jc w:val="left"/>
      </w:pPr>
      <w:r>
        <w:t>四、投标人提交的其他资料（若有）</w:t>
      </w:r>
    </w:p>
    <w:p w14:paraId="5EDDCC83">
      <w:pPr>
        <w:pStyle w:val="6"/>
        <w:ind w:firstLine="480"/>
        <w:jc w:val="left"/>
      </w:pPr>
      <w:r>
        <w:t>※注意</w:t>
      </w:r>
    </w:p>
    <w:p w14:paraId="652FCD83">
      <w:pPr>
        <w:pStyle w:val="6"/>
        <w:ind w:firstLine="480"/>
        <w:jc w:val="left"/>
      </w:pPr>
      <w:r>
        <w:t>技术商务部分中不得出现报价部分的全部或部分的投标报价信息（或组成资料），否则符合性审查不合格。</w:t>
      </w:r>
    </w:p>
    <w:p w14:paraId="7F8DFA03">
      <w:pPr>
        <w:pStyle w:val="6"/>
      </w:pPr>
      <w:r>
        <w:t xml:space="preserve"> </w:t>
      </w:r>
      <w:r>
        <w:br w:type="textWrapping"/>
      </w:r>
      <w:r>
        <w:br w:type="page"/>
      </w:r>
    </w:p>
    <w:p w14:paraId="43B8B9AD">
      <w:pPr>
        <w:pStyle w:val="6"/>
        <w:jc w:val="center"/>
        <w:outlineLvl w:val="2"/>
      </w:pPr>
      <w:r>
        <w:rPr>
          <w:b/>
          <w:sz w:val="28"/>
        </w:rPr>
        <w:t>一、标的说明一览表</w:t>
      </w:r>
    </w:p>
    <w:p w14:paraId="6F219603">
      <w:pPr>
        <w:pStyle w:val="6"/>
        <w:ind w:firstLine="480"/>
        <w:jc w:val="left"/>
      </w:pPr>
      <w:r>
        <w:t>项目编号：</w:t>
      </w:r>
      <w:r>
        <w:rPr>
          <w:u w:val="single"/>
        </w:rPr>
        <w:t>　　　　　　　　</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14:paraId="18BCB0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572DBC26">
            <w:pPr>
              <w:pStyle w:val="6"/>
              <w:jc w:val="left"/>
            </w:pPr>
            <w:r>
              <w:t>采购包</w:t>
            </w:r>
          </w:p>
        </w:tc>
        <w:tc>
          <w:tcPr>
            <w:tcW w:w="1187" w:type="dxa"/>
          </w:tcPr>
          <w:p w14:paraId="2FA76F9A">
            <w:pPr>
              <w:pStyle w:val="6"/>
              <w:jc w:val="left"/>
            </w:pPr>
            <w:r>
              <w:t>品目号</w:t>
            </w:r>
          </w:p>
        </w:tc>
        <w:tc>
          <w:tcPr>
            <w:tcW w:w="1187" w:type="dxa"/>
          </w:tcPr>
          <w:p w14:paraId="2E73E38B">
            <w:pPr>
              <w:pStyle w:val="6"/>
              <w:jc w:val="left"/>
            </w:pPr>
            <w:r>
              <w:t>投标标的</w:t>
            </w:r>
          </w:p>
        </w:tc>
        <w:tc>
          <w:tcPr>
            <w:tcW w:w="1187" w:type="dxa"/>
          </w:tcPr>
          <w:p w14:paraId="44EFB73F">
            <w:pPr>
              <w:pStyle w:val="6"/>
              <w:jc w:val="left"/>
            </w:pPr>
            <w:r>
              <w:t>数量</w:t>
            </w:r>
          </w:p>
        </w:tc>
        <w:tc>
          <w:tcPr>
            <w:tcW w:w="1187" w:type="dxa"/>
          </w:tcPr>
          <w:p w14:paraId="090D8241">
            <w:pPr>
              <w:pStyle w:val="6"/>
              <w:jc w:val="left"/>
            </w:pPr>
            <w:r>
              <w:t>规格</w:t>
            </w:r>
          </w:p>
        </w:tc>
        <w:tc>
          <w:tcPr>
            <w:tcW w:w="1187" w:type="dxa"/>
          </w:tcPr>
          <w:p w14:paraId="01122C45">
            <w:pPr>
              <w:pStyle w:val="6"/>
              <w:jc w:val="left"/>
            </w:pPr>
            <w:r>
              <w:t>来源地</w:t>
            </w:r>
          </w:p>
        </w:tc>
        <w:tc>
          <w:tcPr>
            <w:tcW w:w="1187" w:type="dxa"/>
          </w:tcPr>
          <w:p w14:paraId="08C10248">
            <w:pPr>
              <w:pStyle w:val="6"/>
              <w:jc w:val="left"/>
            </w:pPr>
            <w:r>
              <w:t>备注</w:t>
            </w:r>
          </w:p>
        </w:tc>
      </w:tr>
      <w:tr w14:paraId="38CE2D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trPr>
        <w:tc>
          <w:tcPr>
            <w:tcW w:w="1187" w:type="dxa"/>
            <w:vMerge w:val="restart"/>
          </w:tcPr>
          <w:p w14:paraId="21B47053">
            <w:pPr>
              <w:pStyle w:val="6"/>
              <w:jc w:val="left"/>
            </w:pPr>
            <w:r>
              <w:t>*</w:t>
            </w:r>
          </w:p>
        </w:tc>
        <w:tc>
          <w:tcPr>
            <w:tcW w:w="1187" w:type="dxa"/>
          </w:tcPr>
          <w:p w14:paraId="017BE738">
            <w:pPr>
              <w:pStyle w:val="6"/>
              <w:jc w:val="left"/>
            </w:pPr>
            <w:r>
              <w:t>*-1</w:t>
            </w:r>
          </w:p>
        </w:tc>
        <w:tc>
          <w:tcPr>
            <w:tcW w:w="1187" w:type="dxa"/>
          </w:tcPr>
          <w:p w14:paraId="56352684"/>
        </w:tc>
        <w:tc>
          <w:tcPr>
            <w:tcW w:w="1187" w:type="dxa"/>
          </w:tcPr>
          <w:p w14:paraId="172D3A82"/>
        </w:tc>
        <w:tc>
          <w:tcPr>
            <w:tcW w:w="1187" w:type="dxa"/>
          </w:tcPr>
          <w:p w14:paraId="491525A8"/>
        </w:tc>
        <w:tc>
          <w:tcPr>
            <w:tcW w:w="1187" w:type="dxa"/>
          </w:tcPr>
          <w:p w14:paraId="0F7B14A4"/>
        </w:tc>
      </w:tr>
      <w:tr w14:paraId="3BFA6B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trPr>
        <w:tc>
          <w:tcPr>
            <w:tcW w:w="1187" w:type="dxa"/>
            <w:vMerge w:val="continue"/>
          </w:tcPr>
          <w:p w14:paraId="3E385B40"/>
        </w:tc>
        <w:tc>
          <w:tcPr>
            <w:tcW w:w="1187" w:type="dxa"/>
          </w:tcPr>
          <w:p w14:paraId="24FEEA0D">
            <w:pPr>
              <w:pStyle w:val="6"/>
              <w:jc w:val="left"/>
            </w:pPr>
            <w:r>
              <w:t>…</w:t>
            </w:r>
          </w:p>
        </w:tc>
        <w:tc>
          <w:tcPr>
            <w:tcW w:w="1187" w:type="dxa"/>
          </w:tcPr>
          <w:p w14:paraId="2417B50C"/>
        </w:tc>
        <w:tc>
          <w:tcPr>
            <w:tcW w:w="1187" w:type="dxa"/>
          </w:tcPr>
          <w:p w14:paraId="6BE87A32"/>
        </w:tc>
        <w:tc>
          <w:tcPr>
            <w:tcW w:w="1187" w:type="dxa"/>
          </w:tcPr>
          <w:p w14:paraId="54ED2946"/>
        </w:tc>
        <w:tc>
          <w:tcPr>
            <w:tcW w:w="1187" w:type="dxa"/>
          </w:tcPr>
          <w:p w14:paraId="6EEC9D6F"/>
        </w:tc>
      </w:tr>
      <w:tr w14:paraId="0DD71A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trPr>
        <w:tc>
          <w:tcPr>
            <w:tcW w:w="1187" w:type="dxa"/>
          </w:tcPr>
          <w:p w14:paraId="0937F7BB">
            <w:pPr>
              <w:pStyle w:val="6"/>
              <w:jc w:val="left"/>
            </w:pPr>
            <w:r>
              <w:t>…</w:t>
            </w:r>
          </w:p>
        </w:tc>
        <w:tc>
          <w:tcPr>
            <w:tcW w:w="1187" w:type="dxa"/>
          </w:tcPr>
          <w:p w14:paraId="582C6B58"/>
        </w:tc>
        <w:tc>
          <w:tcPr>
            <w:tcW w:w="1187" w:type="dxa"/>
          </w:tcPr>
          <w:p w14:paraId="33067289"/>
        </w:tc>
        <w:tc>
          <w:tcPr>
            <w:tcW w:w="1187" w:type="dxa"/>
          </w:tcPr>
          <w:p w14:paraId="02E19483"/>
        </w:tc>
        <w:tc>
          <w:tcPr>
            <w:tcW w:w="1187" w:type="dxa"/>
          </w:tcPr>
          <w:p w14:paraId="11964721"/>
        </w:tc>
        <w:tc>
          <w:tcPr>
            <w:tcW w:w="1187" w:type="dxa"/>
          </w:tcPr>
          <w:p w14:paraId="6FEBEF7B"/>
        </w:tc>
      </w:tr>
    </w:tbl>
    <w:p w14:paraId="4CA907BC">
      <w:pPr>
        <w:pStyle w:val="6"/>
        <w:ind w:firstLine="480"/>
        <w:jc w:val="left"/>
      </w:pPr>
      <w:r>
        <w:t>※注意：</w:t>
      </w:r>
    </w:p>
    <w:p w14:paraId="18DD90B3">
      <w:pPr>
        <w:pStyle w:val="6"/>
        <w:ind w:firstLine="480"/>
        <w:jc w:val="left"/>
      </w:pPr>
      <w:r>
        <w:t>1、本表应按照下列规定填写：</w:t>
      </w:r>
    </w:p>
    <w:p w14:paraId="47DC1373">
      <w:pPr>
        <w:pStyle w:val="6"/>
        <w:ind w:firstLine="480"/>
        <w:jc w:val="left"/>
      </w:pPr>
      <w:r>
        <w:t>1.1“采购包”、“品目号”、“投标标的”及“数量”应与招标文件《采购标的一览表》中的有关内容（“采购包”、“品目号”、“采购标的”及“数量”）保持一致。</w:t>
      </w:r>
    </w:p>
    <w:p w14:paraId="2DA66D03">
      <w:pPr>
        <w:pStyle w:val="6"/>
        <w:ind w:firstLine="480"/>
        <w:jc w:val="left"/>
      </w:pPr>
      <w: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14:paraId="11D4ED3A">
      <w:pPr>
        <w:pStyle w:val="6"/>
        <w:ind w:firstLine="480"/>
        <w:jc w:val="left"/>
      </w:pPr>
      <w:r>
        <w:t>1.3“投标标的”为服务的：“规格”项下应填写服务提供者提供的服务标准及品牌（若有）。“来源地”应填写服务提供者的所在地。“备注”项下应填写关于服务标准所涵盖的具体项目或内容的说明等。</w:t>
      </w:r>
    </w:p>
    <w:p w14:paraId="31034CB6">
      <w:pPr>
        <w:pStyle w:val="6"/>
        <w:ind w:firstLine="480"/>
        <w:jc w:val="left"/>
      </w:pPr>
      <w:r>
        <w:t>2、投标人需要说明的内容若需特殊表达，应先在本表中进行相应说明，再另页应答，但应做好标注说明，方便评委查阅评审。未标注说明可能导致的不利的评审后果由投标人自行承担。</w:t>
      </w:r>
    </w:p>
    <w:p w14:paraId="100ECB0E">
      <w:pPr>
        <w:pStyle w:val="6"/>
        <w:ind w:firstLine="480"/>
        <w:jc w:val="left"/>
      </w:pPr>
      <w:r>
        <w:t>3、电子投标文件中涉及“投标标的”、“数量”、“规格”、“来源地”的内容若不一致，应以本表为准。</w:t>
      </w:r>
    </w:p>
    <w:p w14:paraId="11898A7C">
      <w:pPr>
        <w:pStyle w:val="6"/>
        <w:ind w:firstLine="480"/>
        <w:jc w:val="right"/>
      </w:pPr>
      <w:r>
        <w:t>投标人：</w:t>
      </w:r>
      <w:r>
        <w:rPr>
          <w:u w:val="single"/>
        </w:rPr>
        <w:t>（全称并加盖单位公章）</w:t>
      </w:r>
    </w:p>
    <w:p w14:paraId="2CA247A8">
      <w:pPr>
        <w:pStyle w:val="6"/>
        <w:ind w:firstLine="480"/>
        <w:jc w:val="right"/>
      </w:pPr>
      <w:r>
        <w:t>日期：</w:t>
      </w:r>
      <w:r>
        <w:rPr>
          <w:u w:val="single"/>
        </w:rPr>
        <w:t>　　年　　月　　日</w:t>
      </w:r>
    </w:p>
    <w:p w14:paraId="76AC5726">
      <w:pPr>
        <w:pStyle w:val="6"/>
      </w:pPr>
      <w:r>
        <w:t xml:space="preserve"> </w:t>
      </w:r>
      <w:r>
        <w:br w:type="textWrapping"/>
      </w:r>
      <w:r>
        <w:br w:type="page"/>
      </w:r>
    </w:p>
    <w:p w14:paraId="60269567">
      <w:pPr>
        <w:pStyle w:val="6"/>
        <w:jc w:val="center"/>
        <w:outlineLvl w:val="2"/>
      </w:pPr>
      <w:r>
        <w:rPr>
          <w:b/>
          <w:sz w:val="28"/>
        </w:rPr>
        <w:t>二、技术和服务要求响应表</w:t>
      </w:r>
    </w:p>
    <w:p w14:paraId="3A8BEE7A">
      <w:pPr>
        <w:pStyle w:val="6"/>
        <w:ind w:firstLine="480"/>
        <w:jc w:val="left"/>
      </w:pPr>
      <w:r>
        <w:t>项目编号：</w:t>
      </w:r>
      <w:r>
        <w:rPr>
          <w:u w:val="single"/>
        </w:rPr>
        <w:t>　　　　　　　　</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1B02D4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338EB997">
            <w:pPr>
              <w:pStyle w:val="6"/>
              <w:jc w:val="left"/>
            </w:pPr>
            <w:r>
              <w:t>采购包</w:t>
            </w:r>
          </w:p>
        </w:tc>
        <w:tc>
          <w:tcPr>
            <w:tcW w:w="1661" w:type="dxa"/>
          </w:tcPr>
          <w:p w14:paraId="0221360A">
            <w:pPr>
              <w:pStyle w:val="6"/>
              <w:jc w:val="left"/>
            </w:pPr>
            <w:r>
              <w:t>品目号</w:t>
            </w:r>
          </w:p>
        </w:tc>
        <w:tc>
          <w:tcPr>
            <w:tcW w:w="1661" w:type="dxa"/>
          </w:tcPr>
          <w:p w14:paraId="018638C5">
            <w:pPr>
              <w:pStyle w:val="6"/>
              <w:jc w:val="left"/>
            </w:pPr>
            <w:r>
              <w:t>技术和服务要求</w:t>
            </w:r>
          </w:p>
        </w:tc>
        <w:tc>
          <w:tcPr>
            <w:tcW w:w="1661" w:type="dxa"/>
          </w:tcPr>
          <w:p w14:paraId="04CB8C31">
            <w:pPr>
              <w:pStyle w:val="6"/>
              <w:jc w:val="left"/>
            </w:pPr>
            <w:r>
              <w:t>投标响应</w:t>
            </w:r>
          </w:p>
        </w:tc>
        <w:tc>
          <w:tcPr>
            <w:tcW w:w="1661" w:type="dxa"/>
          </w:tcPr>
          <w:p w14:paraId="2AE7A854">
            <w:pPr>
              <w:pStyle w:val="6"/>
              <w:jc w:val="left"/>
            </w:pPr>
            <w:r>
              <w:t>是否偏离及说明</w:t>
            </w:r>
          </w:p>
        </w:tc>
      </w:tr>
      <w:tr w14:paraId="45A26C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1952E65C">
            <w:pPr>
              <w:pStyle w:val="6"/>
              <w:jc w:val="left"/>
            </w:pPr>
            <w:r>
              <w:t>*</w:t>
            </w:r>
          </w:p>
        </w:tc>
        <w:tc>
          <w:tcPr>
            <w:tcW w:w="1661" w:type="dxa"/>
          </w:tcPr>
          <w:p w14:paraId="6D393D08">
            <w:pPr>
              <w:pStyle w:val="6"/>
              <w:jc w:val="left"/>
            </w:pPr>
            <w:r>
              <w:t>*-1</w:t>
            </w:r>
          </w:p>
        </w:tc>
        <w:tc>
          <w:tcPr>
            <w:tcW w:w="1661" w:type="dxa"/>
          </w:tcPr>
          <w:p w14:paraId="0C2364AD"/>
        </w:tc>
        <w:tc>
          <w:tcPr>
            <w:tcW w:w="1661" w:type="dxa"/>
          </w:tcPr>
          <w:p w14:paraId="46C81814"/>
        </w:tc>
        <w:tc>
          <w:tcPr>
            <w:tcW w:w="1661" w:type="dxa"/>
          </w:tcPr>
          <w:p w14:paraId="3E0FEF56"/>
        </w:tc>
      </w:tr>
      <w:tr w14:paraId="5BBF36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39959B42"/>
        </w:tc>
        <w:tc>
          <w:tcPr>
            <w:tcW w:w="1661" w:type="dxa"/>
          </w:tcPr>
          <w:p w14:paraId="2F98BC0A">
            <w:pPr>
              <w:pStyle w:val="6"/>
              <w:jc w:val="left"/>
            </w:pPr>
            <w:r>
              <w:t>…</w:t>
            </w:r>
          </w:p>
        </w:tc>
        <w:tc>
          <w:tcPr>
            <w:tcW w:w="1661" w:type="dxa"/>
          </w:tcPr>
          <w:p w14:paraId="55CC6F86"/>
        </w:tc>
        <w:tc>
          <w:tcPr>
            <w:tcW w:w="1661" w:type="dxa"/>
          </w:tcPr>
          <w:p w14:paraId="24364481"/>
        </w:tc>
        <w:tc>
          <w:tcPr>
            <w:tcW w:w="1661" w:type="dxa"/>
          </w:tcPr>
          <w:p w14:paraId="0D1BAEFD"/>
        </w:tc>
      </w:tr>
      <w:tr w14:paraId="7F11E8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1DA9A58F">
            <w:pPr>
              <w:pStyle w:val="6"/>
              <w:jc w:val="left"/>
            </w:pPr>
            <w:r>
              <w:t>…</w:t>
            </w:r>
          </w:p>
        </w:tc>
        <w:tc>
          <w:tcPr>
            <w:tcW w:w="1661" w:type="dxa"/>
          </w:tcPr>
          <w:p w14:paraId="638AAA92"/>
        </w:tc>
        <w:tc>
          <w:tcPr>
            <w:tcW w:w="1661" w:type="dxa"/>
          </w:tcPr>
          <w:p w14:paraId="0C8FA40D"/>
        </w:tc>
        <w:tc>
          <w:tcPr>
            <w:tcW w:w="1661" w:type="dxa"/>
          </w:tcPr>
          <w:p w14:paraId="24067307"/>
        </w:tc>
        <w:tc>
          <w:tcPr>
            <w:tcW w:w="1661" w:type="dxa"/>
          </w:tcPr>
          <w:p w14:paraId="10C9F7FD"/>
        </w:tc>
      </w:tr>
    </w:tbl>
    <w:p w14:paraId="6937A416">
      <w:pPr>
        <w:pStyle w:val="6"/>
        <w:ind w:firstLine="480"/>
        <w:jc w:val="left"/>
      </w:pPr>
      <w:r>
        <w:t>※注意：</w:t>
      </w:r>
    </w:p>
    <w:p w14:paraId="75EA4E19">
      <w:pPr>
        <w:pStyle w:val="6"/>
        <w:ind w:firstLine="480"/>
        <w:jc w:val="left"/>
      </w:pPr>
      <w:r>
        <w:t>1、本表应按照下列规定填写：</w:t>
      </w:r>
    </w:p>
    <w:p w14:paraId="71B9153E">
      <w:pPr>
        <w:pStyle w:val="6"/>
        <w:ind w:firstLine="480"/>
        <w:jc w:val="left"/>
      </w:pPr>
      <w:r>
        <w:t>1.1“技术和服务要求”项下填写的内容应与招标文件第五章“技术和服务要求”的内容保持一致。</w:t>
      </w:r>
    </w:p>
    <w:p w14:paraId="26D40692">
      <w:pPr>
        <w:pStyle w:val="6"/>
        <w:ind w:firstLine="480"/>
        <w:jc w:val="left"/>
      </w:pPr>
      <w: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14:paraId="71CC7D63">
      <w:pPr>
        <w:pStyle w:val="6"/>
        <w:ind w:firstLine="480"/>
        <w:jc w:val="left"/>
      </w:pPr>
      <w:r>
        <w:t>1.3“是否偏离及说明”项下应按下列规定填写：优于的，填写“正偏离”；符合的，填写“无偏离”；低于的，填写“负偏离”。</w:t>
      </w:r>
    </w:p>
    <w:p w14:paraId="31C42EFF">
      <w:pPr>
        <w:pStyle w:val="6"/>
        <w:ind w:firstLine="480"/>
        <w:jc w:val="left"/>
      </w:pPr>
      <w:r>
        <w:t>2、投标人需要说明的内容若需特殊表达，应先在本表中进行相应说明，再另页应答，但应做好标注说明，方便评委查阅评审。未标注说明可能导致的不利的评审后果由投标人自行承担。</w:t>
      </w:r>
    </w:p>
    <w:p w14:paraId="56EF07A3">
      <w:pPr>
        <w:pStyle w:val="6"/>
        <w:ind w:firstLine="480"/>
        <w:jc w:val="right"/>
      </w:pPr>
      <w:r>
        <w:t>投标人：</w:t>
      </w:r>
      <w:r>
        <w:rPr>
          <w:u w:val="single"/>
        </w:rPr>
        <w:t>（全称并加盖单位公章）</w:t>
      </w:r>
    </w:p>
    <w:p w14:paraId="13B810D4">
      <w:pPr>
        <w:pStyle w:val="6"/>
        <w:ind w:firstLine="480"/>
        <w:jc w:val="right"/>
      </w:pPr>
      <w:r>
        <w:t>日期：</w:t>
      </w:r>
      <w:r>
        <w:rPr>
          <w:u w:val="single"/>
        </w:rPr>
        <w:t>　　年　　月　　日</w:t>
      </w:r>
    </w:p>
    <w:p w14:paraId="0027E395">
      <w:pPr>
        <w:pStyle w:val="6"/>
      </w:pPr>
      <w:r>
        <w:t xml:space="preserve"> </w:t>
      </w:r>
      <w:r>
        <w:br w:type="textWrapping"/>
      </w:r>
      <w:r>
        <w:br w:type="page"/>
      </w:r>
    </w:p>
    <w:p w14:paraId="3E84BE04">
      <w:pPr>
        <w:pStyle w:val="6"/>
        <w:jc w:val="center"/>
        <w:outlineLvl w:val="2"/>
      </w:pPr>
      <w:r>
        <w:rPr>
          <w:b/>
          <w:sz w:val="28"/>
        </w:rPr>
        <w:t>三、商务条件响应表</w:t>
      </w:r>
    </w:p>
    <w:p w14:paraId="26172D00">
      <w:pPr>
        <w:pStyle w:val="6"/>
        <w:ind w:firstLine="480"/>
        <w:jc w:val="left"/>
      </w:pPr>
      <w:r>
        <w:t>项目编号：</w:t>
      </w:r>
      <w:r>
        <w:rPr>
          <w:u w:val="single"/>
        </w:rPr>
        <w:t>　　　　　　　　</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56AD35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354811CA">
            <w:pPr>
              <w:pStyle w:val="6"/>
              <w:jc w:val="left"/>
            </w:pPr>
            <w:r>
              <w:t>采购包</w:t>
            </w:r>
          </w:p>
        </w:tc>
        <w:tc>
          <w:tcPr>
            <w:tcW w:w="1661" w:type="dxa"/>
          </w:tcPr>
          <w:p w14:paraId="697371E1">
            <w:pPr>
              <w:pStyle w:val="6"/>
              <w:jc w:val="left"/>
            </w:pPr>
            <w:r>
              <w:t>品目号</w:t>
            </w:r>
          </w:p>
        </w:tc>
        <w:tc>
          <w:tcPr>
            <w:tcW w:w="1661" w:type="dxa"/>
          </w:tcPr>
          <w:p w14:paraId="0A5C6B16">
            <w:pPr>
              <w:pStyle w:val="6"/>
              <w:jc w:val="left"/>
            </w:pPr>
            <w:r>
              <w:t>商务条件</w:t>
            </w:r>
          </w:p>
        </w:tc>
        <w:tc>
          <w:tcPr>
            <w:tcW w:w="1661" w:type="dxa"/>
          </w:tcPr>
          <w:p w14:paraId="2F738C1B">
            <w:pPr>
              <w:pStyle w:val="6"/>
              <w:jc w:val="left"/>
            </w:pPr>
            <w:r>
              <w:t>投标响应</w:t>
            </w:r>
          </w:p>
        </w:tc>
        <w:tc>
          <w:tcPr>
            <w:tcW w:w="1661" w:type="dxa"/>
          </w:tcPr>
          <w:p w14:paraId="3CF7DAD3">
            <w:pPr>
              <w:pStyle w:val="6"/>
              <w:jc w:val="left"/>
            </w:pPr>
            <w:r>
              <w:t>是否偏离及说明</w:t>
            </w:r>
          </w:p>
        </w:tc>
      </w:tr>
      <w:tr w14:paraId="01A7D8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2D48DDBF">
            <w:pPr>
              <w:pStyle w:val="6"/>
              <w:jc w:val="left"/>
            </w:pPr>
            <w:r>
              <w:t>*</w:t>
            </w:r>
          </w:p>
        </w:tc>
        <w:tc>
          <w:tcPr>
            <w:tcW w:w="1661" w:type="dxa"/>
          </w:tcPr>
          <w:p w14:paraId="50B35C71">
            <w:pPr>
              <w:pStyle w:val="6"/>
              <w:jc w:val="left"/>
            </w:pPr>
            <w:r>
              <w:t>*-1</w:t>
            </w:r>
          </w:p>
        </w:tc>
        <w:tc>
          <w:tcPr>
            <w:tcW w:w="1661" w:type="dxa"/>
          </w:tcPr>
          <w:p w14:paraId="67711155"/>
        </w:tc>
        <w:tc>
          <w:tcPr>
            <w:tcW w:w="1661" w:type="dxa"/>
          </w:tcPr>
          <w:p w14:paraId="28722CAB"/>
        </w:tc>
        <w:tc>
          <w:tcPr>
            <w:tcW w:w="1661" w:type="dxa"/>
          </w:tcPr>
          <w:p w14:paraId="4E621B1D"/>
        </w:tc>
      </w:tr>
      <w:tr w14:paraId="55A637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39392768"/>
        </w:tc>
        <w:tc>
          <w:tcPr>
            <w:tcW w:w="1661" w:type="dxa"/>
          </w:tcPr>
          <w:p w14:paraId="09F0D585">
            <w:pPr>
              <w:pStyle w:val="6"/>
              <w:jc w:val="left"/>
            </w:pPr>
            <w:r>
              <w:t>…</w:t>
            </w:r>
          </w:p>
        </w:tc>
        <w:tc>
          <w:tcPr>
            <w:tcW w:w="1661" w:type="dxa"/>
          </w:tcPr>
          <w:p w14:paraId="0A1ED869"/>
        </w:tc>
        <w:tc>
          <w:tcPr>
            <w:tcW w:w="1661" w:type="dxa"/>
          </w:tcPr>
          <w:p w14:paraId="1E499E96"/>
        </w:tc>
        <w:tc>
          <w:tcPr>
            <w:tcW w:w="1661" w:type="dxa"/>
          </w:tcPr>
          <w:p w14:paraId="46BB478D"/>
        </w:tc>
      </w:tr>
      <w:tr w14:paraId="05E776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521222B4">
            <w:pPr>
              <w:pStyle w:val="6"/>
              <w:jc w:val="left"/>
            </w:pPr>
            <w:r>
              <w:t>…</w:t>
            </w:r>
          </w:p>
        </w:tc>
        <w:tc>
          <w:tcPr>
            <w:tcW w:w="1661" w:type="dxa"/>
          </w:tcPr>
          <w:p w14:paraId="237C0E36"/>
        </w:tc>
        <w:tc>
          <w:tcPr>
            <w:tcW w:w="1661" w:type="dxa"/>
          </w:tcPr>
          <w:p w14:paraId="2235CCBE"/>
        </w:tc>
        <w:tc>
          <w:tcPr>
            <w:tcW w:w="1661" w:type="dxa"/>
          </w:tcPr>
          <w:p w14:paraId="7D21FB90"/>
        </w:tc>
        <w:tc>
          <w:tcPr>
            <w:tcW w:w="1661" w:type="dxa"/>
          </w:tcPr>
          <w:p w14:paraId="278C481B"/>
        </w:tc>
      </w:tr>
    </w:tbl>
    <w:p w14:paraId="2B54C53C">
      <w:pPr>
        <w:pStyle w:val="6"/>
        <w:ind w:firstLine="480"/>
        <w:jc w:val="left"/>
      </w:pPr>
      <w:r>
        <w:t>※注意：</w:t>
      </w:r>
    </w:p>
    <w:p w14:paraId="265DC7DF">
      <w:pPr>
        <w:pStyle w:val="6"/>
        <w:ind w:firstLine="480"/>
        <w:jc w:val="left"/>
      </w:pPr>
      <w:r>
        <w:t>1、本表应按照下列规定填写：</w:t>
      </w:r>
    </w:p>
    <w:p w14:paraId="61B39E1B">
      <w:pPr>
        <w:pStyle w:val="6"/>
        <w:ind w:firstLine="480"/>
        <w:jc w:val="left"/>
      </w:pPr>
      <w:r>
        <w:t>1.1“商务条件”项下填写的内容应与招标文件第五章“商务条件”的内容保持一致。</w:t>
      </w:r>
    </w:p>
    <w:p w14:paraId="138E3444">
      <w:pPr>
        <w:pStyle w:val="6"/>
        <w:ind w:firstLine="480"/>
        <w:jc w:val="left"/>
      </w:pPr>
      <w:r>
        <w:t>1.2“投标响应”项下应填写具体的响应内容并与“商务条件”项下填写的内容逐项对应；对“商务条件”项下涉及“≥或＞”、“≤或＜”及某个区间值范围内的内容，应填写具体的数值。</w:t>
      </w:r>
    </w:p>
    <w:p w14:paraId="213C6E85">
      <w:pPr>
        <w:pStyle w:val="6"/>
        <w:ind w:firstLine="480"/>
        <w:jc w:val="left"/>
      </w:pPr>
      <w:r>
        <w:t>1.3“是否偏离及说明”项下应按下列规定填写：优于的，填写“正偏离”；符合的，填写“无偏离”；低于的，填写“负偏离”。</w:t>
      </w:r>
    </w:p>
    <w:p w14:paraId="7FC65793">
      <w:pPr>
        <w:pStyle w:val="6"/>
        <w:ind w:firstLine="480"/>
        <w:jc w:val="left"/>
      </w:pPr>
      <w:r>
        <w:t>2、投标人需要说明的内容若需特殊表达，应先在本表中进行相应说明，再另页应答，但应做好标注说明，方便评委查阅评审。未标注说明可能导致的不利的评审后果由投标人自行承担。</w:t>
      </w:r>
    </w:p>
    <w:p w14:paraId="14ED2CE7">
      <w:pPr>
        <w:pStyle w:val="6"/>
        <w:ind w:firstLine="480"/>
        <w:jc w:val="right"/>
      </w:pPr>
      <w:r>
        <w:t>投标人：</w:t>
      </w:r>
      <w:r>
        <w:rPr>
          <w:u w:val="single"/>
        </w:rPr>
        <w:t>（全称并加盖单位公章）</w:t>
      </w:r>
    </w:p>
    <w:p w14:paraId="6E97DBF0">
      <w:pPr>
        <w:pStyle w:val="6"/>
        <w:ind w:firstLine="480"/>
        <w:jc w:val="right"/>
      </w:pPr>
      <w:r>
        <w:t>日期：</w:t>
      </w:r>
      <w:r>
        <w:rPr>
          <w:u w:val="single"/>
        </w:rPr>
        <w:t>　　年　　月　　日</w:t>
      </w:r>
    </w:p>
    <w:p w14:paraId="5077D9C4">
      <w:pPr>
        <w:pStyle w:val="6"/>
      </w:pPr>
      <w:r>
        <w:t xml:space="preserve"> </w:t>
      </w:r>
      <w:r>
        <w:br w:type="textWrapping"/>
      </w:r>
      <w:r>
        <w:br w:type="page"/>
      </w:r>
    </w:p>
    <w:p w14:paraId="2828AA48">
      <w:pPr>
        <w:pStyle w:val="6"/>
        <w:jc w:val="center"/>
        <w:outlineLvl w:val="2"/>
      </w:pPr>
      <w:r>
        <w:rPr>
          <w:b/>
          <w:sz w:val="28"/>
        </w:rPr>
        <w:t>四、投标人提交的其他资料（若有）</w:t>
      </w:r>
    </w:p>
    <w:p w14:paraId="0129C1BB">
      <w:pPr>
        <w:pStyle w:val="6"/>
        <w:ind w:firstLine="480"/>
        <w:jc w:val="center"/>
      </w:pPr>
      <w:r>
        <w:t>编制说明</w:t>
      </w:r>
    </w:p>
    <w:p w14:paraId="1E5144CB">
      <w:pPr>
        <w:pStyle w:val="6"/>
        <w:ind w:firstLine="480"/>
        <w:jc w:val="left"/>
      </w:pPr>
      <w:r>
        <w:t>1、招标文件要求提交的除“资格及资信证明部分”、“报价部分”外的其他证明材料或资料加盖投标人的单位公章后应在此项下提交。</w:t>
      </w:r>
    </w:p>
    <w:p w14:paraId="4C06AE7A">
      <w:pPr>
        <w:pStyle w:val="6"/>
        <w:ind w:firstLine="480"/>
        <w:jc w:val="left"/>
      </w:pPr>
      <w:r>
        <w:t>2、招标文件要求投标人提供方案（包括但不限于：组织、实施、技术、服务方案等）的，投标人应在此项下提交。</w:t>
      </w:r>
    </w:p>
    <w:p w14:paraId="6A70C84B">
      <w:pPr>
        <w:pStyle w:val="6"/>
        <w:ind w:firstLine="480"/>
        <w:jc w:val="left"/>
      </w:pPr>
      <w:r>
        <w:t>3、除招标文件另有规定外，投标人认为需要提交的其他证明材料或资料加盖投标人的单位公章后应在此项下提交。</w:t>
      </w:r>
    </w:p>
    <w:p w14:paraId="4B885FBC">
      <w:pPr>
        <w:pStyle w:val="6"/>
        <w:rPr>
          <w:rFonts w:hint="eastAsia"/>
          <w:lang w:val="en-US" w:eastAsia="zh-Hans"/>
        </w:rPr>
      </w:pPr>
    </w:p>
    <w:sectPr>
      <w:footerReference r:id="rId4" w:type="default"/>
      <w:pgSz w:w="11906" w:h="16838"/>
      <w:pgMar w:top="1440" w:right="170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imes new roman, times, serif">
    <w:altName w:val="Segoe Print"/>
    <w:panose1 w:val="00000000000000000000"/>
    <w:charset w:val="00"/>
    <w:family w:val="auto"/>
    <w:pitch w:val="default"/>
    <w:sig w:usb0="00000000" w:usb1="00000000" w:usb2="00000000" w:usb3="00000000" w:csb0="00000000" w:csb1="00000000"/>
  </w:font>
  <w:font w:name="&quot;times new roman&quot;">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38E832">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434EAD3">
                          <w:pPr>
                            <w:pStyle w:val="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0434EAD3">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CAA9D5">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0C6691E">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00C6691E">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hODQxYzIzY2I4YmYwOGMwMjllZjY0OGE5Y2EzYWUifQ=="/>
  </w:docVars>
  <w:rsids>
    <w:rsidRoot w:val="53B52B8D"/>
    <w:rsid w:val="00CB5A10"/>
    <w:rsid w:val="01F3521E"/>
    <w:rsid w:val="02702D13"/>
    <w:rsid w:val="03280EF8"/>
    <w:rsid w:val="04A40A52"/>
    <w:rsid w:val="04BD1B14"/>
    <w:rsid w:val="09A01D59"/>
    <w:rsid w:val="0DC857B1"/>
    <w:rsid w:val="0F9F6E71"/>
    <w:rsid w:val="1609105D"/>
    <w:rsid w:val="17127A9D"/>
    <w:rsid w:val="177F50ED"/>
    <w:rsid w:val="190D49C0"/>
    <w:rsid w:val="193957B5"/>
    <w:rsid w:val="1C9A0C60"/>
    <w:rsid w:val="21B24356"/>
    <w:rsid w:val="23BB5AB4"/>
    <w:rsid w:val="2A2658E2"/>
    <w:rsid w:val="2BC453B2"/>
    <w:rsid w:val="2C35005E"/>
    <w:rsid w:val="2FD47B8E"/>
    <w:rsid w:val="3045283A"/>
    <w:rsid w:val="384F0C8B"/>
    <w:rsid w:val="3B20012B"/>
    <w:rsid w:val="3F8F587F"/>
    <w:rsid w:val="44F3065E"/>
    <w:rsid w:val="48AC1250"/>
    <w:rsid w:val="4E7B594C"/>
    <w:rsid w:val="53B52B8D"/>
    <w:rsid w:val="54B43966"/>
    <w:rsid w:val="570D1A54"/>
    <w:rsid w:val="5C5F065B"/>
    <w:rsid w:val="614B7400"/>
    <w:rsid w:val="67F500C6"/>
    <w:rsid w:val="700D4656"/>
    <w:rsid w:val="7238752D"/>
    <w:rsid w:val="732D4BB8"/>
    <w:rsid w:val="77F79321"/>
    <w:rsid w:val="7A480529"/>
    <w:rsid w:val="7D7D2BE0"/>
    <w:rsid w:val="7F2D5F40"/>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null3"/>
    <w:hidden/>
    <w:uiPriority w:val="0"/>
    <w:rPr>
      <w:rFonts w:hint="eastAsia" w:asciiTheme="minorHAnsi" w:hAnsiTheme="minorHAnsi" w:eastAsiaTheme="minorEastAsia" w:cstheme="minorBidi"/>
      <w:lang w:val="en-US" w:eastAsia="zh-Hans"/>
    </w:rPr>
  </w:style>
  <w:style w:type="character" w:customStyle="1" w:styleId="7">
    <w:name w:val="font01"/>
    <w:basedOn w:val="5"/>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112</Pages>
  <Words>76609</Words>
  <Characters>80272</Characters>
  <Lines>0</Lines>
  <Paragraphs>0</Paragraphs>
  <TotalTime>2</TotalTime>
  <ScaleCrop>false</ScaleCrop>
  <LinksUpToDate>false</LinksUpToDate>
  <CharactersWithSpaces>81613</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administrator</dc:creator>
  <cp:lastModifiedBy>筱籁</cp:lastModifiedBy>
  <dcterms:modified xsi:type="dcterms:W3CDTF">2024-08-05T08:16:10Z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1DF11BE3B0614F7593793AC4C15C213C_12</vt:lpwstr>
  </property>
</Properties>
</file>