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5ADDF">
      <w:pPr>
        <w:pStyle w:val="11"/>
        <w:jc w:val="center"/>
        <w:outlineLvl w:val="0"/>
        <w:rPr>
          <w:rFonts w:hint="default" w:ascii="方正小标宋简体" w:eastAsia="方正小标宋简体"/>
          <w:spacing w:val="-20"/>
          <w:sz w:val="72"/>
          <w:szCs w:val="72"/>
        </w:rPr>
      </w:pPr>
    </w:p>
    <w:p w14:paraId="619FB335">
      <w:pPr>
        <w:pStyle w:val="11"/>
        <w:jc w:val="center"/>
        <w:outlineLvl w:val="0"/>
        <w:rPr>
          <w:rFonts w:hint="eastAsia" w:ascii="方正小标宋简体" w:eastAsia="方正小标宋简体"/>
          <w:spacing w:val="-20"/>
          <w:sz w:val="72"/>
          <w:szCs w:val="72"/>
        </w:rPr>
      </w:pPr>
      <w:r>
        <w:rPr>
          <w:rFonts w:hint="eastAsia" w:ascii="方正小标宋简体" w:eastAsia="方正小标宋简体"/>
          <w:spacing w:val="-20"/>
          <w:sz w:val="72"/>
          <w:szCs w:val="72"/>
        </w:rPr>
        <w:t>2024年福建省市场监管局</w:t>
      </w:r>
    </w:p>
    <w:p w14:paraId="1148FED2">
      <w:pPr>
        <w:pStyle w:val="11"/>
        <w:jc w:val="center"/>
        <w:outlineLvl w:val="0"/>
        <w:rPr>
          <w:rFonts w:hint="default" w:ascii="方正小标宋简体" w:eastAsia="方正小标宋简体"/>
          <w:b/>
          <w:spacing w:val="-20"/>
          <w:sz w:val="72"/>
          <w:szCs w:val="72"/>
        </w:rPr>
      </w:pPr>
      <w:r>
        <w:rPr>
          <w:rFonts w:hint="eastAsia" w:ascii="方正小标宋简体" w:eastAsia="方正小标宋简体"/>
          <w:spacing w:val="-20"/>
          <w:sz w:val="72"/>
          <w:szCs w:val="72"/>
        </w:rPr>
        <w:t>原省工商一体化平台</w:t>
      </w:r>
      <w:r>
        <w:rPr>
          <w:rFonts w:ascii="方正小标宋简体" w:eastAsia="方正小标宋简体"/>
          <w:spacing w:val="-20"/>
          <w:sz w:val="72"/>
          <w:szCs w:val="72"/>
        </w:rPr>
        <w:t>运维</w:t>
      </w:r>
    </w:p>
    <w:p w14:paraId="6C54C7ED">
      <w:pPr>
        <w:jc w:val="center"/>
        <w:rPr>
          <w:rFonts w:ascii="方正小标宋简体" w:eastAsia="方正小标宋简体"/>
          <w:sz w:val="24"/>
        </w:rPr>
      </w:pPr>
    </w:p>
    <w:p w14:paraId="75ADFDB5">
      <w:pPr>
        <w:jc w:val="center"/>
        <w:rPr>
          <w:rFonts w:ascii="方正小标宋简体" w:eastAsia="方正小标宋简体"/>
          <w:sz w:val="84"/>
          <w:szCs w:val="84"/>
        </w:rPr>
      </w:pPr>
      <w:r>
        <w:rPr>
          <w:rFonts w:hint="eastAsia" w:ascii="方正小标宋简体" w:eastAsia="方正小标宋简体"/>
          <w:sz w:val="84"/>
          <w:szCs w:val="84"/>
        </w:rPr>
        <w:t>项</w:t>
      </w:r>
    </w:p>
    <w:p w14:paraId="1CAE2635">
      <w:pPr>
        <w:jc w:val="center"/>
        <w:rPr>
          <w:rFonts w:ascii="方正小标宋简体" w:eastAsia="方正小标宋简体"/>
          <w:sz w:val="84"/>
          <w:szCs w:val="84"/>
        </w:rPr>
      </w:pPr>
      <w:r>
        <w:rPr>
          <w:rFonts w:hint="eastAsia" w:ascii="方正小标宋简体" w:eastAsia="方正小标宋简体"/>
          <w:sz w:val="84"/>
          <w:szCs w:val="84"/>
        </w:rPr>
        <w:t>目</w:t>
      </w:r>
    </w:p>
    <w:p w14:paraId="2C888576">
      <w:pPr>
        <w:jc w:val="center"/>
        <w:rPr>
          <w:rFonts w:ascii="方正小标宋简体" w:eastAsia="方正小标宋简体"/>
          <w:sz w:val="84"/>
          <w:szCs w:val="84"/>
        </w:rPr>
      </w:pPr>
      <w:r>
        <w:rPr>
          <w:rFonts w:hint="eastAsia" w:ascii="方正小标宋简体" w:eastAsia="方正小标宋简体"/>
          <w:sz w:val="84"/>
          <w:szCs w:val="84"/>
        </w:rPr>
        <w:t>采</w:t>
      </w:r>
    </w:p>
    <w:p w14:paraId="1F74C515">
      <w:pPr>
        <w:jc w:val="center"/>
        <w:rPr>
          <w:rFonts w:ascii="方正小标宋简体" w:eastAsia="方正小标宋简体"/>
          <w:sz w:val="84"/>
          <w:szCs w:val="84"/>
        </w:rPr>
      </w:pPr>
      <w:r>
        <w:rPr>
          <w:rFonts w:hint="eastAsia" w:ascii="方正小标宋简体" w:eastAsia="方正小标宋简体"/>
          <w:sz w:val="84"/>
          <w:szCs w:val="84"/>
        </w:rPr>
        <w:t>购</w:t>
      </w:r>
    </w:p>
    <w:p w14:paraId="52476297">
      <w:pPr>
        <w:jc w:val="center"/>
        <w:rPr>
          <w:rFonts w:ascii="方正小标宋简体" w:eastAsia="方正小标宋简体"/>
          <w:sz w:val="84"/>
          <w:szCs w:val="84"/>
        </w:rPr>
      </w:pPr>
      <w:r>
        <w:rPr>
          <w:rFonts w:hint="eastAsia" w:ascii="方正小标宋简体" w:eastAsia="方正小标宋简体"/>
          <w:sz w:val="84"/>
          <w:szCs w:val="84"/>
        </w:rPr>
        <w:t>文</w:t>
      </w:r>
    </w:p>
    <w:p w14:paraId="24A7ACF4">
      <w:pPr>
        <w:jc w:val="center"/>
        <w:rPr>
          <w:rFonts w:ascii="方正小标宋简体" w:eastAsia="方正小标宋简体"/>
          <w:sz w:val="84"/>
          <w:szCs w:val="84"/>
        </w:rPr>
      </w:pPr>
      <w:r>
        <w:rPr>
          <w:rFonts w:hint="eastAsia" w:ascii="方正小标宋简体" w:eastAsia="方正小标宋简体"/>
          <w:sz w:val="84"/>
          <w:szCs w:val="84"/>
        </w:rPr>
        <w:t>件</w:t>
      </w:r>
    </w:p>
    <w:p w14:paraId="72A8D4F7">
      <w:pPr>
        <w:pStyle w:val="11"/>
        <w:jc w:val="center"/>
        <w:outlineLvl w:val="0"/>
        <w:rPr>
          <w:rFonts w:hint="default" w:ascii="方正小标宋简体" w:eastAsia="方正小标宋简体"/>
          <w:sz w:val="84"/>
          <w:szCs w:val="84"/>
        </w:rPr>
      </w:pPr>
    </w:p>
    <w:p w14:paraId="5415A621">
      <w:pPr>
        <w:widowControl/>
        <w:jc w:val="center"/>
        <w:rPr>
          <w:rFonts w:ascii="方正小标宋简体" w:eastAsia="方正小标宋简体"/>
          <w:kern w:val="0"/>
          <w:sz w:val="32"/>
          <w:szCs w:val="32"/>
        </w:rPr>
      </w:pPr>
      <w:r>
        <w:rPr>
          <w:rFonts w:hint="eastAsia" w:ascii="方正小标宋简体" w:eastAsia="方正小标宋简体"/>
          <w:kern w:val="0"/>
          <w:sz w:val="32"/>
          <w:szCs w:val="32"/>
        </w:rPr>
        <w:t>福建省市场监督管理局行政服务中心</w:t>
      </w:r>
    </w:p>
    <w:p w14:paraId="7E0A97C8">
      <w:pPr>
        <w:widowControl/>
        <w:jc w:val="center"/>
        <w:rPr>
          <w:rFonts w:eastAsia="黑体" w:cs="黑体"/>
          <w:sz w:val="24"/>
        </w:rPr>
      </w:pPr>
      <w:r>
        <w:rPr>
          <w:rFonts w:hint="eastAsia" w:ascii="方正小标宋简体" w:eastAsia="方正小标宋简体"/>
          <w:kern w:val="0"/>
          <w:sz w:val="32"/>
          <w:szCs w:val="32"/>
        </w:rPr>
        <w:t>2024年</w:t>
      </w:r>
      <w:r>
        <w:rPr>
          <w:rFonts w:hint="eastAsia" w:ascii="方正小标宋简体" w:eastAsia="方正小标宋简体"/>
          <w:kern w:val="0"/>
          <w:sz w:val="32"/>
          <w:szCs w:val="32"/>
          <w:lang w:val="en-US" w:eastAsia="zh-CN"/>
        </w:rPr>
        <w:t>7</w:t>
      </w:r>
      <w:r>
        <w:rPr>
          <w:rFonts w:hint="eastAsia" w:ascii="方正小标宋简体" w:eastAsia="方正小标宋简体"/>
          <w:kern w:val="0"/>
          <w:sz w:val="32"/>
          <w:szCs w:val="32"/>
        </w:rPr>
        <w:t>月</w:t>
      </w:r>
    </w:p>
    <w:p w14:paraId="6FA7998C">
      <w:pPr>
        <w:widowControl/>
        <w:jc w:val="left"/>
        <w:rPr>
          <w:rFonts w:eastAsia="黑体" w:cs="黑体"/>
          <w:szCs w:val="32"/>
        </w:rPr>
      </w:pPr>
      <w:r>
        <w:rPr>
          <w:rFonts w:eastAsia="黑体" w:cs="黑体"/>
          <w:szCs w:val="32"/>
        </w:rPr>
        <w:br w:type="page"/>
      </w:r>
    </w:p>
    <w:p w14:paraId="45E3D8E0">
      <w:pPr>
        <w:spacing w:line="560" w:lineRule="exact"/>
        <w:jc w:val="center"/>
        <w:rPr>
          <w:rFonts w:ascii="仿宋_GB2312" w:hAnsi="黑体" w:eastAsia="仿宋_GB2312" w:cs="黑体"/>
          <w:b/>
          <w:sz w:val="32"/>
          <w:szCs w:val="32"/>
        </w:rPr>
      </w:pPr>
      <w:r>
        <w:rPr>
          <w:rFonts w:hint="eastAsia" w:ascii="仿宋_GB2312" w:hAnsi="黑体" w:eastAsia="仿宋_GB2312" w:cs="黑体"/>
          <w:b/>
          <w:sz w:val="32"/>
          <w:szCs w:val="32"/>
        </w:rPr>
        <w:t>第一章 项目说明</w:t>
      </w:r>
    </w:p>
    <w:p w14:paraId="0872E01E">
      <w:pPr>
        <w:spacing w:line="560" w:lineRule="exact"/>
        <w:ind w:firstLine="643" w:firstLineChars="200"/>
        <w:jc w:val="center"/>
        <w:rPr>
          <w:rFonts w:ascii="仿宋_GB2312" w:hAnsi="黑体" w:eastAsia="仿宋_GB2312" w:cs="黑体"/>
          <w:b/>
          <w:sz w:val="32"/>
          <w:szCs w:val="32"/>
        </w:rPr>
      </w:pPr>
    </w:p>
    <w:p w14:paraId="5CA1A037">
      <w:pPr>
        <w:pStyle w:val="1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ascii="仿宋_GB2312" w:hAnsi="楷体" w:eastAsia="仿宋_GB2312" w:cs="楷体"/>
          <w:b/>
          <w:bCs/>
          <w:sz w:val="32"/>
          <w:szCs w:val="32"/>
        </w:rPr>
      </w:pPr>
      <w:r>
        <w:rPr>
          <w:rFonts w:hint="eastAsia" w:ascii="仿宋_GB2312" w:hAnsi="楷体" w:eastAsia="仿宋_GB2312" w:cs="楷体"/>
          <w:b/>
          <w:bCs/>
          <w:sz w:val="32"/>
          <w:szCs w:val="32"/>
          <w:lang w:val="en-US" w:eastAsia="zh-CN"/>
        </w:rPr>
        <w:t>一、</w:t>
      </w:r>
      <w:r>
        <w:rPr>
          <w:rFonts w:hint="eastAsia" w:ascii="仿宋_GB2312" w:hAnsi="楷体" w:eastAsia="仿宋_GB2312" w:cs="楷体"/>
          <w:b/>
          <w:bCs/>
          <w:sz w:val="32"/>
          <w:szCs w:val="32"/>
        </w:rPr>
        <w:t>项目名称</w:t>
      </w:r>
    </w:p>
    <w:p w14:paraId="68E081D1">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2024年福建省市场监管局原省工商一体化平台</w:t>
      </w:r>
      <w:r>
        <w:rPr>
          <w:rFonts w:hint="eastAsia" w:ascii="仿宋_GB2312" w:hAnsi="仿宋" w:eastAsia="仿宋_GB2312" w:cs="仿宋_GB2312"/>
          <w:sz w:val="32"/>
          <w:szCs w:val="32"/>
          <w:lang w:val="en-US" w:eastAsia="zh-CN"/>
        </w:rPr>
        <w:t>运维项目</w:t>
      </w:r>
    </w:p>
    <w:p w14:paraId="5A872AA9">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ascii="仿宋_GB2312" w:hAnsi="楷体" w:eastAsia="仿宋_GB2312" w:cs="楷体"/>
          <w:b/>
          <w:bCs/>
          <w:sz w:val="32"/>
          <w:szCs w:val="32"/>
        </w:rPr>
      </w:pPr>
      <w:bookmarkStart w:id="0" w:name="_Toc498001358"/>
      <w:bookmarkStart w:id="1" w:name="_Toc498001259"/>
      <w:r>
        <w:rPr>
          <w:rFonts w:hint="eastAsia" w:ascii="仿宋_GB2312" w:hAnsi="楷体" w:eastAsia="仿宋_GB2312" w:cs="楷体"/>
          <w:b/>
          <w:bCs/>
          <w:sz w:val="32"/>
          <w:szCs w:val="32"/>
        </w:rPr>
        <w:t>二、资格要求</w:t>
      </w:r>
      <w:bookmarkEnd w:id="0"/>
      <w:bookmarkEnd w:id="1"/>
    </w:p>
    <w:p w14:paraId="0EE692DB">
      <w:pPr>
        <w:pStyle w:val="11"/>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eastAsia="仿宋_GB2312"/>
          <w:sz w:val="32"/>
          <w:szCs w:val="32"/>
        </w:rPr>
      </w:pPr>
      <w:r>
        <w:rPr>
          <w:rFonts w:ascii="仿宋_GB2312" w:eastAsia="仿宋_GB2312"/>
          <w:sz w:val="32"/>
          <w:szCs w:val="32"/>
        </w:rPr>
        <w:t>1.法定条件</w:t>
      </w:r>
    </w:p>
    <w:p w14:paraId="3795CC5E">
      <w:pPr>
        <w:pStyle w:val="11"/>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 w:eastAsia="仿宋_GB2312" w:cs="仿宋_GB2312"/>
          <w:sz w:val="32"/>
          <w:szCs w:val="32"/>
        </w:rPr>
      </w:pPr>
      <w:r>
        <w:rPr>
          <w:rFonts w:ascii="仿宋_GB2312" w:eastAsia="仿宋_GB2312"/>
          <w:sz w:val="32"/>
          <w:szCs w:val="32"/>
        </w:rPr>
        <w:t>符合政府采购法第二十二条规定的条件</w:t>
      </w:r>
      <w:r>
        <w:rPr>
          <w:rFonts w:ascii="仿宋_GB2312" w:hAnsi="仿宋" w:eastAsia="仿宋_GB2312" w:cs="仿宋_GB2312"/>
          <w:sz w:val="32"/>
          <w:szCs w:val="32"/>
        </w:rPr>
        <w:t>。</w:t>
      </w:r>
    </w:p>
    <w:p w14:paraId="65FE4C0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2.特定条件</w:t>
      </w:r>
    </w:p>
    <w:p w14:paraId="424904F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本项目属于专门面向中小企业采购，投标人应为中型或小型或微型企业。</w:t>
      </w:r>
    </w:p>
    <w:p w14:paraId="2B7A219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1）投标人须提供《中小企业声明函》（工程、服务类），并声明投标人为中型或小型或微型企业。本采购标的对应的中小企业划分标准所属行业为软件和信息技术服务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w:t>
      </w:r>
    </w:p>
    <w:p w14:paraId="1BA0A1C1">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hAnsi="楷体" w:eastAsia="仿宋_GB2312" w:cs="楷体"/>
          <w:b/>
          <w:bCs/>
          <w:sz w:val="32"/>
          <w:szCs w:val="32"/>
        </w:rPr>
      </w:pPr>
      <w:r>
        <w:rPr>
          <w:rFonts w:hint="eastAsia" w:ascii="仿宋_GB2312" w:eastAsia="仿宋_GB2312"/>
          <w:sz w:val="32"/>
          <w:szCs w:val="32"/>
        </w:rPr>
        <w:t>（2）监狱企业、残疾人福利性单位视同小型、微型企业。</w:t>
      </w:r>
    </w:p>
    <w:p w14:paraId="362D239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3.本项目不接受下列供应商：</w:t>
      </w:r>
    </w:p>
    <w:p w14:paraId="61A9D8D1">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（1）联合体形式的供应商。</w:t>
      </w:r>
    </w:p>
    <w:p w14:paraId="5DBAB56A">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（2）供应商被“信用中国”网站（www.creditchina.gov.cn）、“中国政府采购网”</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www.ccgp.gov.cn</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列入失信被执行人、重大税收违法案件当事人名单、政府采购严重违法失信行为记录名单。</w:t>
      </w:r>
    </w:p>
    <w:p w14:paraId="1352E9F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（3）供应商存在其他失信情况的。</w:t>
      </w:r>
    </w:p>
    <w:p w14:paraId="6F97DA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cs="楷体"/>
          <w:b/>
          <w:bCs/>
          <w:sz w:val="32"/>
          <w:szCs w:val="32"/>
        </w:rPr>
      </w:pPr>
      <w:bookmarkStart w:id="2" w:name="_Toc498001359"/>
      <w:bookmarkStart w:id="3" w:name="_Toc498001260"/>
      <w:r>
        <w:rPr>
          <w:rFonts w:hint="eastAsia" w:ascii="仿宋_GB2312" w:hAnsi="楷体" w:eastAsia="仿宋_GB2312" w:cs="楷体"/>
          <w:b/>
          <w:bCs/>
          <w:sz w:val="32"/>
          <w:szCs w:val="32"/>
        </w:rPr>
        <w:t>三、投标须知</w:t>
      </w:r>
      <w:bookmarkEnd w:id="2"/>
      <w:bookmarkEnd w:id="3"/>
    </w:p>
    <w:p w14:paraId="322E4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1.投标人填列价格以人民币为单位，须包括完成本项目所涉及的一切费用。</w:t>
      </w:r>
    </w:p>
    <w:p w14:paraId="18AD8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w:t>
      </w:r>
      <w:bookmarkStart w:id="4" w:name="_Toc498001360"/>
      <w:bookmarkStart w:id="5" w:name="_Toc498001261"/>
      <w:r>
        <w:rPr>
          <w:rFonts w:hint="eastAsia" w:ascii="仿宋_GB2312" w:hAnsi="仿宋" w:eastAsia="仿宋_GB2312" w:cs="仿宋_GB2312"/>
          <w:sz w:val="32"/>
          <w:szCs w:val="32"/>
        </w:rPr>
        <w:t>本项目最高限价</w:t>
      </w:r>
      <w:r>
        <w:rPr>
          <w:rFonts w:hint="eastAsia" w:ascii="仿宋_GB2312" w:hAnsi="仿宋" w:eastAsia="仿宋_GB2312" w:cs="仿宋_GB2312"/>
          <w:sz w:val="32"/>
          <w:szCs w:val="32"/>
          <w:u w:val="single"/>
          <w:lang w:val="en-US" w:eastAsia="zh-CN"/>
        </w:rPr>
        <w:t>46</w:t>
      </w:r>
      <w:r>
        <w:rPr>
          <w:rFonts w:hint="eastAsia" w:ascii="仿宋_GB2312" w:hAnsi="仿宋" w:eastAsia="仿宋_GB2312" w:cs="仿宋_GB2312"/>
          <w:sz w:val="32"/>
          <w:szCs w:val="32"/>
        </w:rPr>
        <w:t>万元。</w:t>
      </w:r>
    </w:p>
    <w:p w14:paraId="22C9E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3.本项目按最低评标价法评定。</w:t>
      </w:r>
    </w:p>
    <w:p w14:paraId="0AC46E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楷体" w:eastAsia="仿宋_GB2312" w:cs="楷体"/>
          <w:b/>
          <w:bCs/>
          <w:sz w:val="32"/>
          <w:szCs w:val="32"/>
        </w:rPr>
        <w:t>四、投标</w:t>
      </w:r>
      <w:bookmarkEnd w:id="4"/>
      <w:bookmarkEnd w:id="5"/>
      <w:r>
        <w:rPr>
          <w:rFonts w:hint="eastAsia" w:ascii="仿宋_GB2312" w:hAnsi="楷体" w:eastAsia="仿宋_GB2312" w:cs="楷体"/>
          <w:b/>
          <w:bCs/>
          <w:sz w:val="32"/>
          <w:szCs w:val="32"/>
        </w:rPr>
        <w:t>要求</w:t>
      </w:r>
    </w:p>
    <w:p w14:paraId="3B83C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14:paraId="6AA7E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1.商务文件：</w:t>
      </w:r>
    </w:p>
    <w:p w14:paraId="453E7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1）报价单。</w:t>
      </w:r>
    </w:p>
    <w:p w14:paraId="7E9A4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（2）单位授权书。</w:t>
      </w:r>
    </w:p>
    <w:p w14:paraId="2F58E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a.</w:t>
      </w:r>
      <w:r>
        <w:rPr>
          <w:rFonts w:hint="eastAsia" w:ascii="仿宋_GB2312" w:hAnsi="仿宋" w:eastAsia="仿宋_GB2312" w:cs="仿宋_GB2312"/>
          <w:sz w:val="32"/>
          <w:szCs w:val="32"/>
        </w:rPr>
        <w:t>投标人（自然人除外）：若投标人代表为单位授权的委托代理人，应提供本授权书；若投标人代表为单位负责人，应在此项下提交其身份证正反面复印件，可不提供本授权书。</w:t>
      </w:r>
    </w:p>
    <w:p w14:paraId="59826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b.</w:t>
      </w:r>
      <w:r>
        <w:rPr>
          <w:rFonts w:hint="eastAsia" w:ascii="仿宋_GB2312" w:hAnsi="仿宋" w:eastAsia="仿宋_GB2312" w:cs="仿宋_GB2312"/>
          <w:sz w:val="32"/>
          <w:szCs w:val="32"/>
        </w:rPr>
        <w:t>投标人为自然人的，可不提供本授权书。</w:t>
      </w:r>
    </w:p>
    <w:p w14:paraId="52B25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（3）营业执照等证明文件。</w:t>
      </w:r>
    </w:p>
    <w:p w14:paraId="58C57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A26E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（4）提供财务状况报告</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财务报告或资信证明</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t>
      </w:r>
    </w:p>
    <w:p w14:paraId="263CB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投标人提供的财务报告复印件（成立年限按照投标截止时间推算）应符合下列规定：</w:t>
      </w:r>
    </w:p>
    <w:p w14:paraId="43809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a.成立年限满1年及以上的投标人，提供经审计的上一年度的年度财务报告。</w:t>
      </w:r>
    </w:p>
    <w:p w14:paraId="7EF69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b.成立年限满半年但不足1年的投标人，提供该半年度中任一季度的季度财务报告或该半年度的半年度财务报告。</w:t>
      </w:r>
    </w:p>
    <w:p w14:paraId="76AC3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c.无法按照以上a、b项规定提供财务报告复印件的投标人（包括但不限于：成立年限满1年及以上的投标人、成立年限满半年但不足1年的投标人、成立年限不足半年的投标人），应选择提供资信证明复印件。</w:t>
      </w:r>
    </w:p>
    <w:p w14:paraId="4AE1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（5）依法缴纳税收证明材料。</w:t>
      </w:r>
    </w:p>
    <w:p w14:paraId="49B4C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投标人提供的税收缴纳凭据复印件应符合下列规定：</w:t>
      </w:r>
    </w:p>
    <w:p w14:paraId="5E411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a.投标截止时间前（不含投标截止时间的当月）已依法缴纳税收的投标人，提供投标截止时间前六个月（不含投标截止时间的当月）中任一月份的税收缴纳凭据复印件。</w:t>
      </w:r>
    </w:p>
    <w:p w14:paraId="5314F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b.投标截止时间的当月成立的投标人，视同满足本项资格条件要求。</w:t>
      </w:r>
    </w:p>
    <w:p w14:paraId="610DC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c.若为依法免税范围的投标人，提供依法免税证明材料的，视同满足本项资格条件要求。</w:t>
      </w:r>
    </w:p>
    <w:p w14:paraId="0FDC7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（6）依法缴纳社会保障资金证明材料。</w:t>
      </w:r>
    </w:p>
    <w:p w14:paraId="1B5C1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投标人提供的社会保障资金缴纳凭据复印件应符合下列规定：</w:t>
      </w:r>
    </w:p>
    <w:p w14:paraId="282D0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a.投标截止时间前（不含投标截止时间的当月）已依法缴纳社会保障资金的投标人，提供投标截止时间前六个月（不含投标截止时间的当月）中任一月份的社会保障资金缴纳凭据复印件。</w:t>
      </w:r>
    </w:p>
    <w:p w14:paraId="74CCF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b.投标截止时间的当月成立的投标人，视同满足本项资格条件要求。</w:t>
      </w:r>
    </w:p>
    <w:p w14:paraId="3840F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c.若为依法不需要缴纳或暂缓缴纳社会保障资金的投标人，提供依法不需要缴纳或暂缓缴纳社会保障资金证明材料的，视同满足本项资格条件要求。</w:t>
      </w:r>
    </w:p>
    <w:p w14:paraId="5E904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（7）具备履行合同所必需设备和专业技术能力的声明函。</w:t>
      </w:r>
    </w:p>
    <w:p w14:paraId="52056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（8）参加采购活动前三年内在经营活动中没有重大违法记录的声明。</w:t>
      </w:r>
    </w:p>
    <w:p w14:paraId="2B56B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24FF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（9）信用记录查询结果。</w:t>
      </w:r>
    </w:p>
    <w:p w14:paraId="31392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a.</w:t>
      </w:r>
      <w:r>
        <w:rPr>
          <w:rFonts w:hint="eastAsia" w:ascii="仿宋_GB2312" w:hAnsi="仿宋" w:eastAsia="仿宋_GB2312" w:cs="仿宋_GB2312"/>
          <w:sz w:val="32"/>
          <w:szCs w:val="32"/>
        </w:rPr>
        <w:t>信用记录查询的截止时点：信用记录查询的截止时点为本项目投标截止当日。</w:t>
      </w:r>
    </w:p>
    <w:p w14:paraId="2619A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b.</w:t>
      </w:r>
      <w:r>
        <w:rPr>
          <w:rFonts w:hint="eastAsia" w:ascii="仿宋_GB2312" w:hAnsi="仿宋" w:eastAsia="仿宋_GB2312" w:cs="仿宋_GB2312"/>
          <w:sz w:val="32"/>
          <w:szCs w:val="32"/>
        </w:rPr>
        <w:t>信用记录查询渠道：信用中国（www.creditchina.gov.cn）、中国政府采购网（www.ccgp.gov.cn）。</w:t>
      </w:r>
    </w:p>
    <w:p w14:paraId="18376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（10）中小企业声明函。</w:t>
      </w:r>
    </w:p>
    <w:p w14:paraId="26073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a.</w:t>
      </w:r>
      <w:r>
        <w:rPr>
          <w:rFonts w:hint="eastAsia" w:ascii="仿宋_GB2312" w:hAnsi="仿宋" w:eastAsia="仿宋_GB2312" w:cs="仿宋_GB2312"/>
          <w:sz w:val="32"/>
          <w:szCs w:val="32"/>
        </w:rPr>
        <w:t>投标人为监狱企业的，可不填写本声明函，根据其提供的由省级以上监狱管理局、戒毒管理局（含新疆生产建设兵团）出具的属于监狱企业的证明文件进行认定，监狱企业视同小型、微型企业。</w:t>
      </w:r>
    </w:p>
    <w:p w14:paraId="7B8F04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b.</w:t>
      </w:r>
      <w:r>
        <w:rPr>
          <w:rFonts w:hint="eastAsia" w:ascii="仿宋_GB2312" w:hAnsi="仿宋" w:eastAsia="仿宋_GB2312" w:cs="仿宋_GB2312"/>
          <w:sz w:val="32"/>
          <w:szCs w:val="32"/>
        </w:rPr>
        <w:t>投标人为残疾人福利性单位的，可不填写本声明函，根据其提供的《残疾人福利性单位声明函》进行认定，残疾人福利性单位视同小型、微型企业。</w:t>
      </w:r>
    </w:p>
    <w:p w14:paraId="52F28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2.技术文件：</w:t>
      </w:r>
    </w:p>
    <w:p w14:paraId="1F41C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（1）提交项目整体服务方案和项目实施计划，对本采购文件“第二章 项目内容和要求”进行回应。</w:t>
      </w:r>
    </w:p>
    <w:p w14:paraId="5310AA68">
      <w:pPr>
        <w:spacing w:line="560" w:lineRule="exact"/>
        <w:ind w:firstLine="640" w:firstLineChars="200"/>
        <w:rPr>
          <w:rFonts w:ascii="仿宋_GB2312" w:hAnsi="仿宋" w:eastAsia="仿宋_GB2312" w:cs="微软雅黑"/>
          <w:sz w:val="32"/>
          <w:szCs w:val="32"/>
        </w:rPr>
      </w:pPr>
      <w:r>
        <w:rPr>
          <w:rFonts w:hint="eastAsia" w:ascii="仿宋_GB2312" w:hAnsi="仿宋" w:eastAsia="仿宋_GB2312" w:cs="微软雅黑"/>
          <w:sz w:val="32"/>
          <w:szCs w:val="32"/>
        </w:rPr>
        <w:t>（2）供应商认为应提交的其他文件。</w:t>
      </w:r>
    </w:p>
    <w:p w14:paraId="7868E9D0">
      <w:pPr>
        <w:spacing w:line="514" w:lineRule="exact"/>
        <w:ind w:firstLine="640" w:firstLineChars="200"/>
        <w:rPr>
          <w:rFonts w:ascii="仿宋_GB2312" w:hAnsi="仿宋_GB2312" w:eastAsia="仿宋_GB2312" w:cs="仿宋_GB2312"/>
          <w:sz w:val="32"/>
          <w:szCs w:val="32"/>
        </w:rPr>
        <w:sectPr>
          <w:footerReference r:id="rId3" w:type="default"/>
          <w:pgSz w:w="11906" w:h="16838"/>
          <w:pgMar w:top="1985" w:right="1418" w:bottom="1418" w:left="1418" w:header="850" w:footer="850" w:gutter="0"/>
          <w:cols w:space="720" w:num="1"/>
          <w:titlePg/>
          <w:docGrid w:linePitch="435" w:charSpace="0"/>
        </w:sectPr>
      </w:pPr>
    </w:p>
    <w:p w14:paraId="59B95174">
      <w:pPr>
        <w:spacing w:line="514" w:lineRule="exact"/>
        <w:jc w:val="center"/>
        <w:rPr>
          <w:rFonts w:ascii="仿宋_GB2312" w:eastAsia="仿宋_GB2312"/>
          <w:b/>
          <w:sz w:val="32"/>
          <w:szCs w:val="32"/>
        </w:rPr>
      </w:pPr>
      <w:bookmarkStart w:id="6" w:name="_Toc498001362"/>
      <w:bookmarkStart w:id="7" w:name="_Toc498001263"/>
      <w:r>
        <w:rPr>
          <w:rFonts w:hint="eastAsia" w:ascii="仿宋_GB2312" w:eastAsia="仿宋_GB2312" w:cs="黑体"/>
          <w:b/>
          <w:sz w:val="32"/>
          <w:szCs w:val="32"/>
        </w:rPr>
        <w:t>第二章 项目内容和要求</w:t>
      </w:r>
      <w:bookmarkEnd w:id="6"/>
      <w:bookmarkEnd w:id="7"/>
      <w:bookmarkStart w:id="8" w:name="_Toc498001364"/>
      <w:bookmarkStart w:id="9" w:name="_Toc351982587"/>
      <w:bookmarkStart w:id="10" w:name="_Toc362425411"/>
      <w:bookmarkStart w:id="11" w:name="_Toc498001265"/>
      <w:bookmarkStart w:id="12" w:name="_Toc363110617"/>
    </w:p>
    <w:bookmarkEnd w:id="8"/>
    <w:bookmarkEnd w:id="9"/>
    <w:bookmarkEnd w:id="10"/>
    <w:bookmarkEnd w:id="11"/>
    <w:bookmarkEnd w:id="12"/>
    <w:p w14:paraId="744E94B5">
      <w:pPr>
        <w:spacing w:line="360" w:lineRule="auto"/>
        <w:ind w:firstLine="643" w:firstLineChars="200"/>
        <w:outlineLvl w:val="0"/>
        <w:rPr>
          <w:rFonts w:ascii="仿宋_GB2312" w:hAnsi="宋体" w:eastAsia="仿宋_GB2312"/>
          <w:b/>
          <w:sz w:val="32"/>
          <w:szCs w:val="32"/>
        </w:rPr>
      </w:pPr>
    </w:p>
    <w:p w14:paraId="6095DE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ascii="仿宋_GB2312" w:hAnsi="宋体" w:eastAsia="仿宋_GB2312"/>
          <w:b/>
          <w:sz w:val="32"/>
          <w:szCs w:val="32"/>
        </w:rPr>
      </w:pPr>
      <w:r>
        <w:rPr>
          <w:rFonts w:hint="eastAsia" w:ascii="仿宋_GB2312" w:hAnsi="宋体" w:eastAsia="仿宋_GB2312"/>
          <w:b/>
          <w:sz w:val="32"/>
          <w:szCs w:val="32"/>
        </w:rPr>
        <w:t>一、项目概况</w:t>
      </w:r>
    </w:p>
    <w:p w14:paraId="3F54A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宋体" w:eastAsia="仿宋_GB2312" w:cs="宋体"/>
          <w:bCs/>
          <w:kern w:val="0"/>
          <w:sz w:val="32"/>
          <w:szCs w:val="32"/>
          <w:shd w:val="clear" w:color="auto" w:fill="FFFFFF"/>
        </w:rPr>
      </w:pPr>
      <w:r>
        <w:rPr>
          <w:rFonts w:hint="eastAsia" w:ascii="仿宋_GB2312" w:hAnsi="宋体" w:eastAsia="仿宋_GB2312" w:cs="宋体"/>
          <w:bCs/>
          <w:kern w:val="0"/>
          <w:sz w:val="32"/>
          <w:szCs w:val="32"/>
          <w:shd w:val="clear" w:color="auto" w:fill="FFFFFF"/>
        </w:rPr>
        <w:t>原省工商一体化平台于2013年上线运行，目前仅保留OA功能为市县市场监管部门继续提供服务（因省数字办统建OA未覆盖市县级），其它功能均已纳入智慧应用一体化平台或依职能调整而停用。为确保福建省市场监管局原省工商一体化平台平稳、安全、可靠运行，现向社会公开采购2024年运维服务。</w:t>
      </w:r>
    </w:p>
    <w:p w14:paraId="5AA415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ascii="仿宋_GB2312" w:hAnsi="宋体" w:eastAsia="仿宋_GB2312"/>
          <w:b/>
          <w:sz w:val="32"/>
          <w:szCs w:val="32"/>
        </w:rPr>
      </w:pPr>
      <w:r>
        <w:rPr>
          <w:rFonts w:hint="eastAsia" w:ascii="仿宋_GB2312" w:hAnsi="宋体" w:eastAsia="仿宋_GB2312"/>
          <w:b/>
          <w:sz w:val="32"/>
          <w:szCs w:val="32"/>
        </w:rPr>
        <w:t>二、服务内容和要求</w:t>
      </w:r>
    </w:p>
    <w:p w14:paraId="3E1A7B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（一）服务内容</w:t>
      </w:r>
    </w:p>
    <w:p w14:paraId="5FD72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为福建省市场监管局以及各设区市、县（区）、所等基层单位提供原省工商一体化平台运维服务，主要包括系统运行维护、系统数据维护、网络安全保障和系统应用支持等内容。</w:t>
      </w:r>
    </w:p>
    <w:p w14:paraId="570B4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运维服务的范围为原省工商一体化平台公文管理系统、人事教育管理系统、签报管理系统、通知管理系统、工作值班管理系统、信访管理平台、绩效管理系统、信息公开管理系统、会议服务平台、后勤管理系统、机关党建管理系统、离退休管理系统、线上教育培训服务平台、应用支撑管理系统、传送邮件管理系统等15个应用系统。</w:t>
      </w:r>
    </w:p>
    <w:p w14:paraId="04664D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1.系统运行维护</w:t>
      </w:r>
    </w:p>
    <w:p w14:paraId="3AA19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（1）系统日常维护</w:t>
      </w:r>
    </w:p>
    <w:p w14:paraId="7A0AC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对系统进行改正性、适应性、完善性和预防性维护，并开展系统日常巡检，及时处置发现的问题和故障，保障系统整体平稳运行。</w:t>
      </w:r>
    </w:p>
    <w:p w14:paraId="2EDDB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（2）性能优化和调试</w:t>
      </w:r>
    </w:p>
    <w:p w14:paraId="0DF2B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对系统运行情况进行监控，确保系统资源占用情况得到合理控制，必要时进行性能调优，以提高系统的响应速度和吞吐量。</w:t>
      </w:r>
    </w:p>
    <w:p w14:paraId="68127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（3）软件更新和维护</w:t>
      </w:r>
    </w:p>
    <w:p w14:paraId="6FBD2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对操作系统、数据库、中间件等软件进行更新和维护工作，确保其处于最新或最适用的版本。</w:t>
      </w:r>
    </w:p>
    <w:p w14:paraId="7B0EF5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2.系统数据维护</w:t>
      </w:r>
    </w:p>
    <w:p w14:paraId="5081F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（1）数据汇总服务</w:t>
      </w:r>
    </w:p>
    <w:p w14:paraId="66FA3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汇总各地市、基层部门的协同办公管理数据，每日监控汇总情况，对问题数据进行分析和处理。</w:t>
      </w:r>
    </w:p>
    <w:p w14:paraId="3295B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（2）数据共享导出和统计分析服务</w:t>
      </w:r>
    </w:p>
    <w:p w14:paraId="5D5B1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各地市、基层部门向省局请示的协同办公简易类数据共享导出和统计分析需求，省局明确详细口径后，按照需求组织处理。</w:t>
      </w:r>
    </w:p>
    <w:p w14:paraId="06776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（3）日常数据服务</w:t>
      </w:r>
    </w:p>
    <w:p w14:paraId="37D7D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向各地市、基层部门提供系统办理数据追溯服务；配合各地市、基层部门，提供定期的或临时的、随机性和灵活度较大的查询统计数据清单。</w:t>
      </w:r>
    </w:p>
    <w:p w14:paraId="48FF9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（4）数据备份和恢复服务</w:t>
      </w:r>
    </w:p>
    <w:p w14:paraId="16B72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制定备份策略，并按策略要求进行数据备份，同时不定期开展数据恢复测试。</w:t>
      </w:r>
    </w:p>
    <w:p w14:paraId="695B1C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bookmarkStart w:id="13" w:name="OLE_LINK1"/>
      <w:r>
        <w:rPr>
          <w:rFonts w:hint="eastAsia" w:ascii="仿宋_GB2312" w:hAnsi="仿宋_GB2312" w:eastAsia="仿宋_GB2312" w:cs="仿宋_GB2312"/>
          <w:b/>
          <w:sz w:val="32"/>
          <w:szCs w:val="32"/>
        </w:rPr>
        <w:t>3.网络安全保障</w:t>
      </w:r>
    </w:p>
    <w:p w14:paraId="264B8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系统日常网络安全保障，包括但不仅限于用户权限管理、访问控制、网络安全等方面。同时中标人须无条件配合采购人根据网络安全主管部门通报、等级保护测评以及日常安全巡检等发现的安全漏洞对系统进行整改（包括但不仅限于应用、源代码、主机等各方面）。</w:t>
      </w:r>
    </w:p>
    <w:bookmarkEnd w:id="13"/>
    <w:p w14:paraId="3CF013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4.系统应用支持</w:t>
      </w:r>
    </w:p>
    <w:p w14:paraId="1EEAC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（1）日常应用支持</w:t>
      </w:r>
    </w:p>
    <w:p w14:paraId="3FBD3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备专人，通过电话、网络等多种方式，对各地市、基层人员在系统应用过程中所碰到的系统使用问题进行处置和解答反馈，包括解答用户对应用软件功能的疑问、处理并回复用户对应用软件提出的问题等；并定期对日常问题进行分类汇总、分析，制定改进措施。</w:t>
      </w:r>
    </w:p>
    <w:p w14:paraId="0640A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（2）专项任务支持</w:t>
      </w:r>
    </w:p>
    <w:p w14:paraId="1F66F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sz w:val="32"/>
          <w:szCs w:val="32"/>
        </w:rPr>
        <w:t>中标人须无条件配合采购人根据国家市场监管总局、</w:t>
      </w:r>
      <w:r>
        <w:rPr>
          <w:rFonts w:hint="eastAsia" w:ascii="仿宋_GB2312" w:hAnsi="仿宋_GB2312" w:eastAsia="仿宋_GB2312" w:cs="仿宋_GB2312"/>
          <w:bCs/>
          <w:kern w:val="0"/>
          <w:sz w:val="32"/>
          <w:szCs w:val="32"/>
          <w:shd w:val="clear" w:color="auto" w:fill="FFFFFF"/>
        </w:rPr>
        <w:t>福建省电子政务绩效考核等有关要求，完成系统技术支撑和保障任务。</w:t>
      </w:r>
    </w:p>
    <w:p w14:paraId="684B0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（3）其他应用支持</w:t>
      </w:r>
    </w:p>
    <w:p w14:paraId="4559A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要求，完成采购人交办的任务，包括软件功能故障诊断、控件安装和操作指导等；完成各地市、基层部门的支持服务工作；为各地市、基层部门用户提供使用培训、软件文档制作等服务；完成各地市、基层部门交办的关于协同办公管理应用软件的其他工作任务。</w:t>
      </w:r>
    </w:p>
    <w:p w14:paraId="2D0A2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提供应急预案和应急处置服务，以应对各种突发意外事件，例如系统软件瘫痪、硬件问题导致的系统突发故障等。</w:t>
      </w:r>
    </w:p>
    <w:p w14:paraId="2BCE85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（二）服务要求</w:t>
      </w:r>
    </w:p>
    <w:p w14:paraId="43C54C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1.服务期</w:t>
      </w:r>
    </w:p>
    <w:p w14:paraId="5728F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自合同签订之日起365日。</w:t>
      </w:r>
    </w:p>
    <w:p w14:paraId="2CA14B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2.中标人职责</w:t>
      </w:r>
    </w:p>
    <w:p w14:paraId="66CD2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项目中，中标人作为整体运维服务的提供方，承担运维服务的技术管理、实施和协调工作。中标人应当具备专业的支持服务管理机构，严密的管理流程、可靠的服务保障体系和完善的质量保证体系。同时，应该采用通用的规范化的项目管理方法，全面监控和管理项目实施过程，并确保项目进度得到有效控制。</w:t>
      </w:r>
    </w:p>
    <w:p w14:paraId="1115A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其职责主要包括：</w:t>
      </w:r>
    </w:p>
    <w:p w14:paraId="427A0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（1）遵守采购人的管理制度要求，提供系统运维服务；</w:t>
      </w:r>
    </w:p>
    <w:p w14:paraId="68EE2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（2）为本项目提供符合要求的技术人员，通过中标人的管理机制体系，保证项目的顺利实施；</w:t>
      </w:r>
    </w:p>
    <w:p w14:paraId="7AF9C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（3）提供完整的技术文档资料、完整的测试、调优、维护服务与建议；</w:t>
      </w:r>
    </w:p>
    <w:p w14:paraId="05800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（4）在服务期内持续进行系统的优化和符合本项目要求的技术支持；</w:t>
      </w:r>
    </w:p>
    <w:p w14:paraId="75186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（5）配合采购人进行本项目相关软件的安装、测试、升级和调优等工作；</w:t>
      </w:r>
    </w:p>
    <w:p w14:paraId="15322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（6）在服务期内，若系统发生突发事件，及时恢复系统运行；</w:t>
      </w:r>
    </w:p>
    <w:p w14:paraId="6563A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（7）根据资源开销、性能下降等现象，对运行环境进行必要的风险评估，向采购人发起设备更新替代相关建议；</w:t>
      </w:r>
    </w:p>
    <w:p w14:paraId="2C5BA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（8）提供必要的知识管理，相关知识管理内容包括且不限于各类手册、巡检记录、Case处理记录、故障处理记录等。</w:t>
      </w:r>
    </w:p>
    <w:p w14:paraId="49D96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在提供服务过程中若出现需要原系统承建单位配合开展的事务，由中标人负责与原系统承建单位协调，且产生的费用全部由中标人承担。</w:t>
      </w:r>
    </w:p>
    <w:p w14:paraId="3D21C3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3.运维要求</w:t>
      </w:r>
    </w:p>
    <w:p w14:paraId="7FEF6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（1）计划方案</w:t>
      </w:r>
    </w:p>
    <w:p w14:paraId="1D089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在合同签订后10日内，</w:t>
      </w:r>
      <w:r>
        <w:rPr>
          <w:rFonts w:hint="eastAsia" w:ascii="仿宋_GB2312" w:hAnsi="仿宋_GB2312" w:eastAsia="仿宋_GB2312" w:cs="仿宋_GB2312"/>
          <w:sz w:val="32"/>
          <w:szCs w:val="32"/>
        </w:rPr>
        <w:t>中标人须</w:t>
      </w:r>
      <w:r>
        <w:rPr>
          <w:rFonts w:hint="eastAsia" w:ascii="仿宋_GB2312" w:hAnsi="仿宋_GB2312" w:eastAsia="仿宋_GB2312" w:cs="仿宋_GB2312"/>
          <w:bCs/>
          <w:kern w:val="0"/>
          <w:sz w:val="32"/>
          <w:szCs w:val="32"/>
          <w:shd w:val="clear" w:color="auto" w:fill="FFFFFF"/>
        </w:rPr>
        <w:t>向采购人书面提交实施计划和运维方案。实施计划和运维方案必须</w:t>
      </w:r>
      <w:r>
        <w:rPr>
          <w:rFonts w:hint="eastAsia" w:ascii="仿宋_GB2312" w:hAnsi="仿宋_GB2312" w:eastAsia="仿宋_GB2312" w:cs="仿宋_GB2312"/>
          <w:sz w:val="32"/>
          <w:szCs w:val="32"/>
        </w:rPr>
        <w:t>针对运维服务的重点难点进行分析，</w:t>
      </w:r>
      <w:r>
        <w:rPr>
          <w:rFonts w:hint="eastAsia" w:ascii="仿宋_GB2312" w:hAnsi="仿宋_GB2312" w:eastAsia="仿宋_GB2312" w:cs="仿宋_GB2312"/>
          <w:bCs/>
          <w:kern w:val="0"/>
          <w:sz w:val="32"/>
          <w:szCs w:val="32"/>
          <w:shd w:val="clear" w:color="auto" w:fill="FFFFFF"/>
        </w:rPr>
        <w:t>密切贴合系统日常维护需求，其中至少包括运维项目内容（含数据库表清单）、重点难点、详细指标、实施周期、服务团队人员等内容，并提供</w:t>
      </w:r>
      <w:r>
        <w:rPr>
          <w:rFonts w:hint="eastAsia" w:ascii="仿宋_GB2312" w:hAnsi="仿宋_GB2312" w:eastAsia="仿宋_GB2312" w:cs="仿宋_GB2312"/>
          <w:sz w:val="32"/>
          <w:szCs w:val="32"/>
        </w:rPr>
        <w:t>巡检记录、故障记录</w:t>
      </w:r>
      <w:r>
        <w:rPr>
          <w:rFonts w:hint="eastAsia" w:ascii="仿宋_GB2312" w:hAnsi="仿宋_GB2312" w:eastAsia="仿宋_GB2312" w:cs="仿宋_GB2312"/>
          <w:bCs/>
          <w:kern w:val="0"/>
          <w:sz w:val="32"/>
          <w:szCs w:val="32"/>
          <w:shd w:val="clear" w:color="auto" w:fill="FFFFFF"/>
        </w:rPr>
        <w:t>等相应配套的表单，否则视为无法履行本次合同，采购人有权单方面解除合同并要求</w:t>
      </w:r>
      <w:r>
        <w:rPr>
          <w:rFonts w:hint="eastAsia" w:ascii="仿宋_GB2312" w:hAnsi="仿宋_GB2312" w:eastAsia="仿宋_GB2312" w:cs="仿宋_GB2312"/>
          <w:sz w:val="32"/>
          <w:szCs w:val="32"/>
        </w:rPr>
        <w:t>中标人</w:t>
      </w:r>
      <w:r>
        <w:rPr>
          <w:rFonts w:hint="eastAsia" w:ascii="仿宋_GB2312" w:hAnsi="仿宋_GB2312" w:eastAsia="仿宋_GB2312" w:cs="仿宋_GB2312"/>
          <w:bCs/>
          <w:kern w:val="0"/>
          <w:sz w:val="32"/>
          <w:szCs w:val="32"/>
          <w:shd w:val="clear" w:color="auto" w:fill="FFFFFF"/>
        </w:rPr>
        <w:t>支付违约金及追究相应的法律责任。</w:t>
      </w:r>
    </w:p>
    <w:p w14:paraId="4F8D5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（2）日常巡检</w:t>
      </w:r>
    </w:p>
    <w:p w14:paraId="4DFD9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中标人应按照运维方案要求，每</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日各进行1次系统巡检，包括应用程序、网络、服务器等方面，并填写巡检记录相关表单。巡检过程中发现问题和故障应及时报告并如实记录。其中：</w:t>
      </w:r>
    </w:p>
    <w:p w14:paraId="64AA3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应用程序巡检：对关键服务进行可用性、响应速度、稳定性等方面的巡检；对核心、重要业务功能进行巡检，验证其可用性。</w:t>
      </w:r>
    </w:p>
    <w:p w14:paraId="626D2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服务器巡检：对涉及</w:t>
      </w:r>
      <w:bookmarkStart w:id="14" w:name="_GoBack"/>
      <w:bookmarkEnd w:id="14"/>
      <w:r>
        <w:rPr>
          <w:rFonts w:hint="eastAsia" w:ascii="仿宋_GB2312" w:hAnsi="仿宋_GB2312" w:eastAsia="仿宋_GB2312" w:cs="仿宋_GB2312"/>
          <w:sz w:val="32"/>
          <w:szCs w:val="32"/>
        </w:rPr>
        <w:t>的服务器的CPU、内存、硬盘等使用情况进行日常巡检等。</w:t>
      </w:r>
    </w:p>
    <w:p w14:paraId="755BA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（3）故障处置</w:t>
      </w:r>
    </w:p>
    <w:p w14:paraId="392CE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中标人的运维人员在处理故障后，应在2个工作日内提交故障处理报告。在必须进行系统重启等重大操作时，须经采购人相关负责人批准后方可实施。</w:t>
      </w:r>
    </w:p>
    <w:p w14:paraId="60BE5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（4）响应时间</w:t>
      </w:r>
    </w:p>
    <w:p w14:paraId="7CA06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中标人须</w:t>
      </w:r>
      <w:r>
        <w:rPr>
          <w:rFonts w:hint="eastAsia" w:ascii="仿宋_GB2312" w:hAnsi="仿宋_GB2312" w:eastAsia="仿宋_GB2312" w:cs="仿宋_GB2312"/>
          <w:bCs/>
          <w:kern w:val="0"/>
          <w:sz w:val="32"/>
          <w:szCs w:val="32"/>
          <w:shd w:val="clear" w:color="auto" w:fill="FFFFFF"/>
        </w:rPr>
        <w:t>提供全年7×24小时服务。</w:t>
      </w:r>
      <w:r>
        <w:rPr>
          <w:rFonts w:hint="eastAsia" w:ascii="仿宋_GB2312" w:hAnsi="仿宋_GB2312" w:eastAsia="仿宋_GB2312" w:cs="仿宋_GB2312"/>
          <w:sz w:val="32"/>
          <w:szCs w:val="32"/>
        </w:rPr>
        <w:t>远程支持服务响应时间为30分钟内，</w:t>
      </w:r>
      <w:r>
        <w:rPr>
          <w:rFonts w:hint="eastAsia" w:ascii="仿宋_GB2312" w:hAnsi="仿宋_GB2312" w:eastAsia="仿宋_GB2312" w:cs="仿宋_GB2312"/>
          <w:bCs/>
          <w:kern w:val="0"/>
          <w:sz w:val="32"/>
          <w:szCs w:val="32"/>
          <w:shd w:val="clear" w:color="auto" w:fill="FFFFFF"/>
        </w:rPr>
        <w:t>对系统发生故障的维修、技术支援的时间不超过4小时；如需</w:t>
      </w:r>
      <w:r>
        <w:rPr>
          <w:rFonts w:hint="eastAsia" w:ascii="仿宋_GB2312" w:hAnsi="仿宋_GB2312" w:eastAsia="仿宋_GB2312" w:cs="仿宋_GB2312"/>
          <w:sz w:val="32"/>
          <w:szCs w:val="32"/>
        </w:rPr>
        <w:t>现场支持服务</w:t>
      </w:r>
      <w:r>
        <w:rPr>
          <w:rFonts w:hint="eastAsia" w:ascii="仿宋_GB2312" w:hAnsi="仿宋_GB2312" w:eastAsia="仿宋_GB2312" w:cs="仿宋_GB2312"/>
          <w:bCs/>
          <w:kern w:val="0"/>
          <w:sz w:val="32"/>
          <w:szCs w:val="32"/>
          <w:shd w:val="clear" w:color="auto" w:fill="FFFFFF"/>
        </w:rPr>
        <w:t>，则应在</w:t>
      </w:r>
      <w:r>
        <w:rPr>
          <w:rFonts w:hint="eastAsia" w:ascii="仿宋_GB2312" w:hAnsi="仿宋_GB2312" w:eastAsia="仿宋_GB2312" w:cs="仿宋_GB2312"/>
          <w:sz w:val="32"/>
          <w:szCs w:val="32"/>
        </w:rPr>
        <w:t>2小时内到达现场，在24小时内提供故障解决方案并解决故障。</w:t>
      </w:r>
    </w:p>
    <w:p w14:paraId="5325D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故障紧急程度和响应恢复时间：</w:t>
      </w:r>
    </w:p>
    <w:p w14:paraId="25D5C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紧急：系统瘫痪，完全不能运转；报修后30分钟内响应，2小时内恢复。</w:t>
      </w:r>
    </w:p>
    <w:p w14:paraId="19A05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—般：系统部分出现故障，系统仍能运转；报修后30分钟内响应，4小时内恢复。</w:t>
      </w:r>
    </w:p>
    <w:p w14:paraId="522BD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轻微：初步诊断为系统问题，系统可运转但性能下降；报修后30分钟内响应，24小时内恢复。</w:t>
      </w:r>
    </w:p>
    <w:p w14:paraId="29EF8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（5）其他要求</w:t>
      </w:r>
    </w:p>
    <w:p w14:paraId="00D74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中标人在进行相关系统软件补丁升级、版本升级或性能调优前，须进行相应的联调测试，确保系统运行和使用不受影响。</w:t>
      </w:r>
    </w:p>
    <w:p w14:paraId="7D8EEA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4.人员要求</w:t>
      </w:r>
    </w:p>
    <w:p w14:paraId="79F6D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须组建不少于2人的运维服务团队，并指定负责人。维护服务人员要有良好的沟通能力和保密意识，在操作系统、网络通信、数据库管理、安全防护等方面具备丰富的专业知识和技能，同时应拥有省级及以上业务系统及协同办公类相关信息化系统运行维护经验。</w:t>
      </w:r>
    </w:p>
    <w:p w14:paraId="2259E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服务期内原则上不允许更换运维服务团队</w:t>
      </w:r>
      <w:r>
        <w:rPr>
          <w:rFonts w:hint="eastAsia" w:ascii="仿宋_GB2312" w:hAnsi="仿宋_GB2312" w:eastAsia="仿宋_GB2312" w:cs="仿宋_GB2312"/>
          <w:bCs/>
          <w:kern w:val="0"/>
          <w:sz w:val="32"/>
          <w:szCs w:val="32"/>
          <w:shd w:val="clear" w:color="auto" w:fill="FFFFFF"/>
        </w:rPr>
        <w:t>人员</w:t>
      </w:r>
      <w:r>
        <w:rPr>
          <w:rFonts w:hint="eastAsia" w:ascii="仿宋_GB2312" w:hAnsi="仿宋_GB2312" w:eastAsia="仿宋_GB2312" w:cs="仿宋_GB2312"/>
          <w:sz w:val="32"/>
          <w:szCs w:val="32"/>
        </w:rPr>
        <w:t>。确因客观原因需要调整人员的，应配备同资质人员，并取得采购人书面同意。</w:t>
      </w:r>
    </w:p>
    <w:p w14:paraId="6E0FC0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5.安全与保密要求</w:t>
      </w:r>
    </w:p>
    <w:p w14:paraId="2DE38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必须服从采购人对安全管理规定和要求，建立网络安全、信息安全、数据安全管理制度，严格落实安全责任和义务，全面保障本项目过程中的网络、信息和数据安全。此外，中标人还必须严格保密采购人的相关信息，包括但不仅限于本项目维护服务内容及因本项目而接触到的采购人的各类技术类信息、管理类信息、知识产权类信息及其他不宜外泄的信息等，在合同履行期间，未经采购人书面同意，中标人不得留存、拷贝、使用、传递，不得用于其他任何项目及用途，不以任何方式泄露、传播及对外公布。否则由此引起的一切后果由中标人承担。</w:t>
      </w:r>
    </w:p>
    <w:p w14:paraId="619800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6.服务质量考核</w:t>
      </w:r>
    </w:p>
    <w:p w14:paraId="3BC79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sz w:val="24"/>
        </w:rPr>
        <w:sectPr>
          <w:footerReference r:id="rId4"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采购人按照系统运维服务情况考核表的要求对中标人进行服务质量考核，若出现月考核分数低于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分的，采购人有权不予支付当月服务金额（按合同总金额的8%计）；若因中标人原因造成的网络安全、数据安全和保密事故的，采购人除不予支付当月服务金额（按合同总金额的8%计）外，还将视情况要求中标人赔偿同等金额的违约金并追究相应的法律责任。</w:t>
      </w:r>
    </w:p>
    <w:p w14:paraId="301C8C20">
      <w:pPr>
        <w:pStyle w:val="11"/>
        <w:ind w:firstLine="720"/>
        <w:jc w:val="center"/>
        <w:rPr>
          <w:rFonts w:hint="default" w:ascii="方正小标宋简体" w:hAnsi="宋体" w:eastAsia="方正小标宋简体" w:cs="方正小标宋简体"/>
          <w:sz w:val="36"/>
          <w:szCs w:val="36"/>
        </w:rPr>
      </w:pPr>
      <w:r>
        <w:rPr>
          <w:rFonts w:ascii="方正小标宋简体" w:hAnsi="宋体" w:eastAsia="方正小标宋简体" w:cs="方正小标宋简体"/>
          <w:sz w:val="36"/>
          <w:szCs w:val="36"/>
        </w:rPr>
        <w:t>运维服务质量考核评分表</w:t>
      </w:r>
    </w:p>
    <w:tbl>
      <w:tblPr>
        <w:tblStyle w:val="7"/>
        <w:tblW w:w="151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780"/>
        <w:gridCol w:w="6870"/>
        <w:gridCol w:w="935"/>
        <w:gridCol w:w="3250"/>
        <w:gridCol w:w="960"/>
        <w:gridCol w:w="720"/>
        <w:gridCol w:w="840"/>
      </w:tblGrid>
      <w:tr w14:paraId="168FD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1" w:type="dxa"/>
            <w:tcBorders>
              <w:tl2br w:val="nil"/>
              <w:tr2bl w:val="nil"/>
            </w:tcBorders>
            <w:tcMar>
              <w:top w:w="0" w:type="dxa"/>
              <w:left w:w="105" w:type="dxa"/>
              <w:bottom w:w="0" w:type="dxa"/>
              <w:right w:w="105" w:type="dxa"/>
            </w:tcMar>
            <w:vAlign w:val="center"/>
          </w:tcPr>
          <w:p w14:paraId="02F39530">
            <w:pPr>
              <w:pStyle w:val="11"/>
              <w:spacing w:line="360" w:lineRule="exact"/>
              <w:jc w:val="center"/>
              <w:rPr>
                <w:rFonts w:hint="default" w:ascii="宋体" w:hAnsi="宋体"/>
                <w:sz w:val="21"/>
                <w:szCs w:val="21"/>
              </w:rPr>
            </w:pPr>
            <w:r>
              <w:rPr>
                <w:rFonts w:ascii="宋体" w:hAnsi="宋体" w:cs="宋体"/>
                <w:sz w:val="21"/>
                <w:szCs w:val="21"/>
              </w:rPr>
              <w:t>项目名称</w:t>
            </w:r>
          </w:p>
        </w:tc>
        <w:tc>
          <w:tcPr>
            <w:tcW w:w="14355" w:type="dxa"/>
            <w:gridSpan w:val="7"/>
            <w:tcBorders>
              <w:tl2br w:val="nil"/>
              <w:tr2bl w:val="nil"/>
            </w:tcBorders>
            <w:tcMar>
              <w:top w:w="0" w:type="dxa"/>
              <w:left w:w="105" w:type="dxa"/>
              <w:bottom w:w="0" w:type="dxa"/>
              <w:right w:w="105" w:type="dxa"/>
            </w:tcMar>
            <w:vAlign w:val="center"/>
          </w:tcPr>
          <w:p w14:paraId="02F6A7C7">
            <w:pPr>
              <w:pStyle w:val="11"/>
              <w:spacing w:line="360" w:lineRule="exact"/>
              <w:jc w:val="center"/>
              <w:rPr>
                <w:rFonts w:hint="default" w:ascii="宋体" w:hAnsi="宋体"/>
                <w:sz w:val="21"/>
                <w:szCs w:val="21"/>
              </w:rPr>
            </w:pPr>
          </w:p>
        </w:tc>
      </w:tr>
      <w:tr w14:paraId="016F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7EBE3501">
            <w:pPr>
              <w:pStyle w:val="11"/>
              <w:spacing w:line="360" w:lineRule="exact"/>
              <w:jc w:val="center"/>
              <w:rPr>
                <w:rFonts w:hint="default" w:ascii="宋体" w:hAnsi="宋体"/>
                <w:sz w:val="21"/>
                <w:szCs w:val="21"/>
              </w:rPr>
            </w:pPr>
            <w:r>
              <w:rPr>
                <w:rFonts w:ascii="宋体" w:hAnsi="宋体" w:cs="宋体"/>
                <w:sz w:val="21"/>
                <w:szCs w:val="21"/>
              </w:rPr>
              <w:t>总体要求</w:t>
            </w:r>
          </w:p>
        </w:tc>
        <w:tc>
          <w:tcPr>
            <w:tcW w:w="14355" w:type="dxa"/>
            <w:gridSpan w:val="7"/>
            <w:tcBorders>
              <w:tl2br w:val="nil"/>
              <w:tr2bl w:val="nil"/>
            </w:tcBorders>
            <w:tcMar>
              <w:top w:w="0" w:type="dxa"/>
              <w:left w:w="105" w:type="dxa"/>
              <w:bottom w:w="0" w:type="dxa"/>
              <w:right w:w="105" w:type="dxa"/>
            </w:tcMar>
            <w:vAlign w:val="center"/>
          </w:tcPr>
          <w:p w14:paraId="3B102232">
            <w:pPr>
              <w:pStyle w:val="11"/>
              <w:spacing w:line="360" w:lineRule="exact"/>
              <w:rPr>
                <w:rFonts w:hint="default" w:ascii="宋体" w:hAnsi="宋体"/>
                <w:sz w:val="21"/>
                <w:szCs w:val="21"/>
              </w:rPr>
            </w:pPr>
            <w:r>
              <w:rPr>
                <w:rFonts w:ascii="宋体" w:hAnsi="宋体" w:cs="宋体"/>
                <w:sz w:val="21"/>
                <w:szCs w:val="21"/>
              </w:rPr>
              <w:t>每</w:t>
            </w:r>
            <w:r>
              <w:rPr>
                <w:rFonts w:ascii="宋体" w:hAnsi="宋体" w:cs="宋体"/>
                <w:sz w:val="21"/>
                <w:szCs w:val="21"/>
                <w:u w:val="single"/>
              </w:rPr>
              <w:t xml:space="preserve">        （月、季度等）</w:t>
            </w:r>
            <w:r>
              <w:rPr>
                <w:rFonts w:ascii="宋体" w:hAnsi="宋体" w:cs="宋体"/>
                <w:sz w:val="21"/>
                <w:szCs w:val="21"/>
              </w:rPr>
              <w:t>考核一次。按照项目招投标文件及合同要求，对运维服务单位提供的运维服务质量情况进行考核。</w:t>
            </w:r>
          </w:p>
        </w:tc>
      </w:tr>
      <w:tr w14:paraId="4427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5D4A80FA">
            <w:pPr>
              <w:pStyle w:val="11"/>
              <w:spacing w:line="360" w:lineRule="exact"/>
              <w:jc w:val="center"/>
              <w:rPr>
                <w:rFonts w:hint="default" w:ascii="宋体" w:hAnsi="宋体"/>
                <w:sz w:val="21"/>
                <w:szCs w:val="21"/>
              </w:rPr>
            </w:pPr>
            <w:r>
              <w:rPr>
                <w:rFonts w:ascii="宋体" w:hAnsi="宋体" w:cs="宋体"/>
                <w:sz w:val="21"/>
                <w:szCs w:val="21"/>
              </w:rPr>
              <w:t>考核时间</w:t>
            </w:r>
          </w:p>
        </w:tc>
        <w:tc>
          <w:tcPr>
            <w:tcW w:w="14355" w:type="dxa"/>
            <w:gridSpan w:val="7"/>
            <w:tcBorders>
              <w:tl2br w:val="nil"/>
              <w:tr2bl w:val="nil"/>
            </w:tcBorders>
            <w:tcMar>
              <w:top w:w="0" w:type="dxa"/>
              <w:left w:w="105" w:type="dxa"/>
              <w:bottom w:w="0" w:type="dxa"/>
              <w:right w:w="105" w:type="dxa"/>
            </w:tcMar>
            <w:vAlign w:val="center"/>
          </w:tcPr>
          <w:p w14:paraId="16CB4CCE">
            <w:pPr>
              <w:pStyle w:val="11"/>
              <w:spacing w:line="360" w:lineRule="exact"/>
              <w:jc w:val="center"/>
              <w:rPr>
                <w:rFonts w:hint="default" w:ascii="宋体" w:hAnsi="宋体"/>
                <w:sz w:val="21"/>
                <w:szCs w:val="21"/>
              </w:rPr>
            </w:pPr>
            <w:r>
              <w:rPr>
                <w:rFonts w:ascii="宋体" w:hAnsi="宋体" w:cs="宋体"/>
                <w:sz w:val="21"/>
                <w:szCs w:val="21"/>
                <w:u w:val="single"/>
              </w:rPr>
              <w:t xml:space="preserve">        </w:t>
            </w:r>
            <w:r>
              <w:rPr>
                <w:rFonts w:ascii="宋体" w:hAnsi="宋体" w:cs="宋体"/>
                <w:sz w:val="21"/>
                <w:szCs w:val="21"/>
              </w:rPr>
              <w:t>年</w:t>
            </w:r>
            <w:r>
              <w:rPr>
                <w:rFonts w:ascii="宋体" w:hAnsi="宋体" w:cs="宋体"/>
                <w:sz w:val="21"/>
                <w:szCs w:val="21"/>
                <w:u w:val="single"/>
              </w:rPr>
              <w:t xml:space="preserve">      </w:t>
            </w:r>
            <w:r>
              <w:rPr>
                <w:rFonts w:ascii="宋体" w:hAnsi="宋体" w:cs="宋体"/>
                <w:sz w:val="21"/>
                <w:szCs w:val="21"/>
              </w:rPr>
              <w:t xml:space="preserve">月 至 </w:t>
            </w:r>
            <w:r>
              <w:rPr>
                <w:rFonts w:ascii="宋体" w:hAnsi="宋体" w:cs="宋体"/>
                <w:sz w:val="21"/>
                <w:szCs w:val="21"/>
                <w:u w:val="single"/>
              </w:rPr>
              <w:t xml:space="preserve">        </w:t>
            </w:r>
            <w:r>
              <w:rPr>
                <w:rFonts w:ascii="宋体" w:hAnsi="宋体" w:cs="宋体"/>
                <w:sz w:val="21"/>
                <w:szCs w:val="21"/>
              </w:rPr>
              <w:t>年</w:t>
            </w:r>
            <w:r>
              <w:rPr>
                <w:rFonts w:ascii="宋体" w:hAnsi="宋体" w:cs="宋体"/>
                <w:sz w:val="21"/>
                <w:szCs w:val="21"/>
                <w:u w:val="single"/>
              </w:rPr>
              <w:t xml:space="preserve">      </w:t>
            </w:r>
            <w:r>
              <w:rPr>
                <w:rFonts w:ascii="宋体" w:hAnsi="宋体" w:cs="宋体"/>
                <w:sz w:val="21"/>
                <w:szCs w:val="21"/>
              </w:rPr>
              <w:t>月</w:t>
            </w:r>
          </w:p>
        </w:tc>
      </w:tr>
      <w:tr w14:paraId="4DD72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320D386D">
            <w:pPr>
              <w:pStyle w:val="11"/>
              <w:jc w:val="center"/>
              <w:rPr>
                <w:rFonts w:hint="default" w:ascii="宋体" w:hAnsi="宋体"/>
                <w:sz w:val="21"/>
                <w:szCs w:val="21"/>
              </w:rPr>
            </w:pPr>
            <w:r>
              <w:rPr>
                <w:rFonts w:ascii="宋体" w:hAnsi="宋体" w:cs="宋体"/>
                <w:sz w:val="21"/>
                <w:szCs w:val="21"/>
              </w:rPr>
              <w:t>序号</w:t>
            </w:r>
          </w:p>
        </w:tc>
        <w:tc>
          <w:tcPr>
            <w:tcW w:w="780" w:type="dxa"/>
            <w:tcBorders>
              <w:tl2br w:val="nil"/>
              <w:tr2bl w:val="nil"/>
            </w:tcBorders>
            <w:tcMar>
              <w:top w:w="0" w:type="dxa"/>
              <w:left w:w="105" w:type="dxa"/>
              <w:bottom w:w="0" w:type="dxa"/>
              <w:right w:w="105" w:type="dxa"/>
            </w:tcMar>
            <w:vAlign w:val="center"/>
          </w:tcPr>
          <w:p w14:paraId="09ABD1DA">
            <w:pPr>
              <w:pStyle w:val="11"/>
              <w:jc w:val="center"/>
              <w:rPr>
                <w:rFonts w:hint="default" w:ascii="宋体" w:hAnsi="宋体"/>
                <w:sz w:val="21"/>
                <w:szCs w:val="21"/>
              </w:rPr>
            </w:pPr>
            <w:r>
              <w:rPr>
                <w:rFonts w:ascii="宋体" w:hAnsi="宋体" w:cs="宋体"/>
                <w:sz w:val="21"/>
                <w:szCs w:val="21"/>
              </w:rPr>
              <w:t>考核指标</w:t>
            </w:r>
          </w:p>
        </w:tc>
        <w:tc>
          <w:tcPr>
            <w:tcW w:w="6870" w:type="dxa"/>
            <w:tcBorders>
              <w:tl2br w:val="nil"/>
              <w:tr2bl w:val="nil"/>
            </w:tcBorders>
            <w:tcMar>
              <w:top w:w="0" w:type="dxa"/>
              <w:left w:w="105" w:type="dxa"/>
              <w:bottom w:w="0" w:type="dxa"/>
              <w:right w:w="105" w:type="dxa"/>
            </w:tcMar>
            <w:vAlign w:val="center"/>
          </w:tcPr>
          <w:p w14:paraId="51844124">
            <w:pPr>
              <w:pStyle w:val="11"/>
              <w:jc w:val="center"/>
              <w:rPr>
                <w:rFonts w:hint="default" w:ascii="宋体" w:hAnsi="宋体"/>
                <w:sz w:val="21"/>
                <w:szCs w:val="21"/>
              </w:rPr>
            </w:pPr>
            <w:r>
              <w:rPr>
                <w:rFonts w:ascii="宋体" w:hAnsi="宋体" w:cs="宋体"/>
                <w:sz w:val="21"/>
                <w:szCs w:val="21"/>
              </w:rPr>
              <w:t>指标要求</w:t>
            </w:r>
          </w:p>
        </w:tc>
        <w:tc>
          <w:tcPr>
            <w:tcW w:w="4185" w:type="dxa"/>
            <w:gridSpan w:val="2"/>
            <w:tcBorders>
              <w:tl2br w:val="nil"/>
              <w:tr2bl w:val="nil"/>
            </w:tcBorders>
            <w:tcMar>
              <w:top w:w="0" w:type="dxa"/>
              <w:left w:w="105" w:type="dxa"/>
              <w:bottom w:w="0" w:type="dxa"/>
              <w:right w:w="105" w:type="dxa"/>
            </w:tcMar>
            <w:vAlign w:val="center"/>
          </w:tcPr>
          <w:p w14:paraId="18B92E96">
            <w:pPr>
              <w:pStyle w:val="11"/>
              <w:jc w:val="center"/>
              <w:rPr>
                <w:rFonts w:hint="default" w:ascii="宋体" w:hAnsi="宋体"/>
                <w:sz w:val="21"/>
                <w:szCs w:val="21"/>
              </w:rPr>
            </w:pPr>
            <w:r>
              <w:rPr>
                <w:rFonts w:ascii="宋体" w:hAnsi="宋体" w:cs="宋体"/>
                <w:sz w:val="21"/>
                <w:szCs w:val="21"/>
              </w:rPr>
              <w:t>评分标准</w:t>
            </w:r>
          </w:p>
        </w:tc>
        <w:tc>
          <w:tcPr>
            <w:tcW w:w="960" w:type="dxa"/>
            <w:tcBorders>
              <w:tl2br w:val="nil"/>
              <w:tr2bl w:val="nil"/>
            </w:tcBorders>
            <w:tcMar>
              <w:top w:w="0" w:type="dxa"/>
              <w:left w:w="105" w:type="dxa"/>
              <w:bottom w:w="0" w:type="dxa"/>
              <w:right w:w="105" w:type="dxa"/>
            </w:tcMar>
            <w:vAlign w:val="center"/>
          </w:tcPr>
          <w:p w14:paraId="790A6763">
            <w:pPr>
              <w:pStyle w:val="11"/>
              <w:jc w:val="center"/>
              <w:rPr>
                <w:rFonts w:hint="default" w:ascii="宋体" w:hAnsi="宋体"/>
                <w:sz w:val="21"/>
                <w:szCs w:val="21"/>
              </w:rPr>
            </w:pPr>
            <w:r>
              <w:rPr>
                <w:rFonts w:ascii="宋体" w:hAnsi="宋体"/>
                <w:sz w:val="21"/>
                <w:szCs w:val="21"/>
              </w:rPr>
              <w:t>服务方</w:t>
            </w:r>
          </w:p>
          <w:p w14:paraId="0ED2BE28">
            <w:pPr>
              <w:pStyle w:val="11"/>
              <w:jc w:val="center"/>
              <w:rPr>
                <w:rFonts w:hint="default" w:ascii="宋体" w:hAnsi="宋体"/>
                <w:sz w:val="21"/>
                <w:szCs w:val="21"/>
              </w:rPr>
            </w:pPr>
            <w:r>
              <w:rPr>
                <w:rFonts w:ascii="宋体" w:hAnsi="宋体"/>
                <w:sz w:val="21"/>
                <w:szCs w:val="21"/>
              </w:rPr>
              <w:t>自评分</w:t>
            </w:r>
          </w:p>
        </w:tc>
        <w:tc>
          <w:tcPr>
            <w:tcW w:w="720" w:type="dxa"/>
            <w:tcBorders>
              <w:tl2br w:val="nil"/>
              <w:tr2bl w:val="nil"/>
            </w:tcBorders>
            <w:vAlign w:val="center"/>
          </w:tcPr>
          <w:p w14:paraId="5B289F85">
            <w:pPr>
              <w:pStyle w:val="11"/>
              <w:jc w:val="center"/>
              <w:rPr>
                <w:rFonts w:hint="default" w:ascii="宋体" w:hAnsi="宋体"/>
                <w:sz w:val="21"/>
                <w:szCs w:val="21"/>
              </w:rPr>
            </w:pPr>
            <w:r>
              <w:rPr>
                <w:rFonts w:ascii="宋体" w:hAnsi="宋体"/>
                <w:sz w:val="21"/>
                <w:szCs w:val="21"/>
              </w:rPr>
              <w:t>中心</w:t>
            </w:r>
            <w:r>
              <w:rPr>
                <w:rFonts w:hint="default" w:ascii="宋体" w:hAnsi="宋体"/>
                <w:sz w:val="21"/>
                <w:szCs w:val="21"/>
              </w:rPr>
              <w:t>评分</w:t>
            </w:r>
          </w:p>
        </w:tc>
        <w:tc>
          <w:tcPr>
            <w:tcW w:w="840" w:type="dxa"/>
            <w:tcBorders>
              <w:tl2br w:val="nil"/>
              <w:tr2bl w:val="nil"/>
            </w:tcBorders>
            <w:vAlign w:val="center"/>
          </w:tcPr>
          <w:p w14:paraId="51DAEB9B">
            <w:pPr>
              <w:pStyle w:val="11"/>
              <w:jc w:val="center"/>
              <w:rPr>
                <w:rFonts w:hint="eastAsia" w:ascii="宋体" w:hAnsi="宋体" w:eastAsiaTheme="minorEastAsia"/>
                <w:sz w:val="21"/>
                <w:szCs w:val="21"/>
                <w:lang w:eastAsia="zh-CN"/>
              </w:rPr>
            </w:pPr>
            <w:r>
              <w:rPr>
                <w:rFonts w:hint="default" w:ascii="宋体" w:hAnsi="宋体"/>
                <w:sz w:val="21"/>
                <w:szCs w:val="21"/>
              </w:rPr>
              <w:t>扣分</w:t>
            </w:r>
          </w:p>
          <w:p w14:paraId="05BC919E">
            <w:pPr>
              <w:pStyle w:val="11"/>
              <w:jc w:val="center"/>
              <w:rPr>
                <w:rFonts w:hint="default" w:ascii="宋体" w:hAnsi="宋体"/>
                <w:sz w:val="21"/>
                <w:szCs w:val="21"/>
              </w:rPr>
            </w:pPr>
            <w:r>
              <w:rPr>
                <w:rFonts w:hint="default" w:ascii="宋体" w:hAnsi="宋体"/>
                <w:sz w:val="21"/>
                <w:szCs w:val="21"/>
              </w:rPr>
              <w:t>说明</w:t>
            </w:r>
          </w:p>
        </w:tc>
      </w:tr>
      <w:tr w14:paraId="157B0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0" w:hRule="atLeast"/>
          <w:jc w:val="center"/>
        </w:trPr>
        <w:tc>
          <w:tcPr>
            <w:tcW w:w="751" w:type="dxa"/>
            <w:tcBorders>
              <w:tl2br w:val="nil"/>
              <w:tr2bl w:val="nil"/>
            </w:tcBorders>
            <w:tcMar>
              <w:top w:w="0" w:type="dxa"/>
              <w:left w:w="105" w:type="dxa"/>
              <w:bottom w:w="0" w:type="dxa"/>
              <w:right w:w="105" w:type="dxa"/>
            </w:tcMar>
            <w:vAlign w:val="center"/>
          </w:tcPr>
          <w:p w14:paraId="45CF4FE7">
            <w:pPr>
              <w:pStyle w:val="11"/>
              <w:spacing w:line="360" w:lineRule="exact"/>
              <w:jc w:val="center"/>
              <w:rPr>
                <w:rFonts w:hint="default" w:ascii="宋体" w:hAnsi="宋体"/>
                <w:sz w:val="21"/>
                <w:szCs w:val="21"/>
              </w:rPr>
            </w:pPr>
            <w:r>
              <w:rPr>
                <w:rFonts w:ascii="宋体" w:hAnsi="宋体" w:cs="宋体"/>
                <w:sz w:val="21"/>
                <w:szCs w:val="21"/>
              </w:rPr>
              <w:t>1</w:t>
            </w:r>
          </w:p>
        </w:tc>
        <w:tc>
          <w:tcPr>
            <w:tcW w:w="780" w:type="dxa"/>
            <w:tcBorders>
              <w:tl2br w:val="nil"/>
              <w:tr2bl w:val="nil"/>
            </w:tcBorders>
            <w:tcMar>
              <w:top w:w="0" w:type="dxa"/>
              <w:left w:w="105" w:type="dxa"/>
              <w:bottom w:w="0" w:type="dxa"/>
              <w:right w:w="105" w:type="dxa"/>
            </w:tcMar>
            <w:vAlign w:val="center"/>
          </w:tcPr>
          <w:p w14:paraId="02E1B4E1">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服务团队</w:t>
            </w:r>
          </w:p>
          <w:p w14:paraId="29B14FCF">
            <w:pPr>
              <w:pStyle w:val="11"/>
              <w:spacing w:line="360" w:lineRule="exact"/>
              <w:jc w:val="center"/>
              <w:rPr>
                <w:rFonts w:hint="default" w:ascii="宋体" w:hAnsi="宋体"/>
                <w:sz w:val="21"/>
                <w:szCs w:val="21"/>
              </w:rPr>
            </w:pPr>
            <w:r>
              <w:rPr>
                <w:rFonts w:ascii="宋体" w:hAnsi="宋体" w:cs="宋体"/>
                <w:sz w:val="21"/>
                <w:szCs w:val="21"/>
              </w:rPr>
              <w:t>（15分）</w:t>
            </w:r>
          </w:p>
        </w:tc>
        <w:tc>
          <w:tcPr>
            <w:tcW w:w="6870" w:type="dxa"/>
            <w:tcBorders>
              <w:tl2br w:val="nil"/>
              <w:tr2bl w:val="nil"/>
            </w:tcBorders>
            <w:tcMar>
              <w:top w:w="0" w:type="dxa"/>
              <w:left w:w="105" w:type="dxa"/>
              <w:bottom w:w="0" w:type="dxa"/>
              <w:right w:w="105" w:type="dxa"/>
            </w:tcMar>
            <w:vAlign w:val="center"/>
          </w:tcPr>
          <w:p w14:paraId="46C2F4DF">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1.根据信息化项目的特点组建服务团队，明确团队人员的岗位和职责分工，其中现场驻点负责人须经中心同意。</w:t>
            </w:r>
          </w:p>
          <w:p w14:paraId="35F820F2">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2.应保证服务团队人员稳定，原则上不得更换现场驻点负责人，确因员工离职等原因造成人员变动的，须配置同等能力人员并经中心书面同意，完成工作交接后方可更换。</w:t>
            </w:r>
          </w:p>
          <w:p w14:paraId="0C81532C">
            <w:pPr>
              <w:pStyle w:val="11"/>
              <w:spacing w:line="360" w:lineRule="exact"/>
              <w:rPr>
                <w:rFonts w:hint="default" w:ascii="宋体" w:hAnsi="宋体"/>
                <w:sz w:val="21"/>
                <w:szCs w:val="21"/>
              </w:rPr>
            </w:pPr>
            <w:r>
              <w:rPr>
                <w:rFonts w:ascii="宋体" w:hAnsi="宋体" w:cs="宋体"/>
                <w:sz w:val="21"/>
                <w:szCs w:val="21"/>
              </w:rPr>
              <w:t>3.现场驻点人员须严格遵守中心日常工作纪律，与中心工作时间保持一致，不得无故迟到、早退、旷工，现场驻点负责人请假须经中心同意。</w:t>
            </w:r>
          </w:p>
        </w:tc>
        <w:tc>
          <w:tcPr>
            <w:tcW w:w="4185" w:type="dxa"/>
            <w:gridSpan w:val="2"/>
            <w:tcBorders>
              <w:tl2br w:val="nil"/>
              <w:tr2bl w:val="nil"/>
            </w:tcBorders>
            <w:tcMar>
              <w:top w:w="0" w:type="dxa"/>
              <w:left w:w="105" w:type="dxa"/>
              <w:bottom w:w="0" w:type="dxa"/>
              <w:right w:w="105" w:type="dxa"/>
            </w:tcMar>
            <w:vAlign w:val="center"/>
          </w:tcPr>
          <w:p w14:paraId="64C8AA09">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1.更换现场驻点负责人的，每次扣5分；更换服务团队其他现场驻点人员的，每人次扣1分；未取得中心书面同意或未配备同资质人员的，本项不得分。</w:t>
            </w:r>
          </w:p>
          <w:p w14:paraId="7733B194">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2.现场驻点负责人请假未经中心批准的本项不得分；现场其他驻点人员未遵守中心日常工作纪律，旷工的，每人次扣2分；迟到、早退的，每人次扣0.5分。</w:t>
            </w:r>
          </w:p>
          <w:p w14:paraId="5ECE1475">
            <w:pPr>
              <w:pStyle w:val="11"/>
              <w:spacing w:line="360" w:lineRule="exact"/>
              <w:rPr>
                <w:rFonts w:hint="default" w:ascii="宋体" w:hAnsi="宋体"/>
                <w:sz w:val="21"/>
                <w:szCs w:val="21"/>
              </w:rPr>
            </w:pPr>
            <w:r>
              <w:rPr>
                <w:rFonts w:ascii="宋体" w:hAnsi="宋体" w:cs="宋体"/>
                <w:sz w:val="21"/>
                <w:szCs w:val="21"/>
              </w:rPr>
              <w:t>3.运维人员因服务态度不佳被用户投诉的，每次扣2分；因此产生效能投诉的，本项不得分。</w:t>
            </w:r>
          </w:p>
        </w:tc>
        <w:tc>
          <w:tcPr>
            <w:tcW w:w="960" w:type="dxa"/>
            <w:tcBorders>
              <w:tl2br w:val="nil"/>
              <w:tr2bl w:val="nil"/>
            </w:tcBorders>
            <w:tcMar>
              <w:top w:w="0" w:type="dxa"/>
              <w:left w:w="105" w:type="dxa"/>
              <w:bottom w:w="0" w:type="dxa"/>
              <w:right w:w="105" w:type="dxa"/>
            </w:tcMar>
            <w:vAlign w:val="center"/>
          </w:tcPr>
          <w:p w14:paraId="6FF5E4AC">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5D0D030F">
            <w:pPr>
              <w:pStyle w:val="11"/>
              <w:spacing w:line="360" w:lineRule="exact"/>
              <w:jc w:val="center"/>
              <w:rPr>
                <w:rFonts w:hint="default" w:ascii="宋体" w:hAnsi="宋体" w:cs="宋体"/>
                <w:sz w:val="21"/>
                <w:szCs w:val="21"/>
              </w:rPr>
            </w:pPr>
          </w:p>
        </w:tc>
        <w:tc>
          <w:tcPr>
            <w:tcW w:w="840" w:type="dxa"/>
            <w:tcBorders>
              <w:tl2br w:val="nil"/>
              <w:tr2bl w:val="nil"/>
            </w:tcBorders>
            <w:vAlign w:val="center"/>
          </w:tcPr>
          <w:p w14:paraId="0D18050E">
            <w:pPr>
              <w:pStyle w:val="11"/>
              <w:spacing w:line="360" w:lineRule="exact"/>
              <w:jc w:val="center"/>
              <w:rPr>
                <w:rFonts w:hint="default" w:ascii="宋体" w:hAnsi="宋体" w:cs="宋体"/>
                <w:sz w:val="21"/>
                <w:szCs w:val="21"/>
              </w:rPr>
            </w:pPr>
          </w:p>
        </w:tc>
      </w:tr>
      <w:tr w14:paraId="2EBC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0" w:hRule="atLeast"/>
          <w:jc w:val="center"/>
        </w:trPr>
        <w:tc>
          <w:tcPr>
            <w:tcW w:w="751" w:type="dxa"/>
            <w:tcBorders>
              <w:tl2br w:val="nil"/>
              <w:tr2bl w:val="nil"/>
            </w:tcBorders>
            <w:tcMar>
              <w:top w:w="0" w:type="dxa"/>
              <w:left w:w="105" w:type="dxa"/>
              <w:bottom w:w="0" w:type="dxa"/>
              <w:right w:w="105" w:type="dxa"/>
            </w:tcMar>
            <w:vAlign w:val="center"/>
          </w:tcPr>
          <w:p w14:paraId="56EAA10A">
            <w:pPr>
              <w:pStyle w:val="11"/>
              <w:spacing w:line="360" w:lineRule="exact"/>
              <w:jc w:val="center"/>
              <w:rPr>
                <w:rFonts w:hint="default" w:ascii="宋体" w:hAnsi="宋体"/>
                <w:sz w:val="21"/>
                <w:szCs w:val="21"/>
              </w:rPr>
            </w:pPr>
            <w:r>
              <w:rPr>
                <w:rFonts w:ascii="宋体" w:hAnsi="宋体" w:cs="宋体"/>
                <w:sz w:val="21"/>
                <w:szCs w:val="21"/>
              </w:rPr>
              <w:t>2</w:t>
            </w:r>
          </w:p>
        </w:tc>
        <w:tc>
          <w:tcPr>
            <w:tcW w:w="780" w:type="dxa"/>
            <w:tcBorders>
              <w:tl2br w:val="nil"/>
              <w:tr2bl w:val="nil"/>
            </w:tcBorders>
            <w:tcMar>
              <w:top w:w="0" w:type="dxa"/>
              <w:left w:w="105" w:type="dxa"/>
              <w:bottom w:w="0" w:type="dxa"/>
              <w:right w:w="105" w:type="dxa"/>
            </w:tcMar>
            <w:vAlign w:val="center"/>
          </w:tcPr>
          <w:p w14:paraId="4B53A427">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技术服务</w:t>
            </w:r>
          </w:p>
          <w:p w14:paraId="4156873C">
            <w:pPr>
              <w:pStyle w:val="11"/>
              <w:spacing w:line="360" w:lineRule="exact"/>
              <w:jc w:val="center"/>
              <w:rPr>
                <w:rFonts w:hint="default" w:ascii="宋体" w:hAnsi="宋体"/>
                <w:sz w:val="21"/>
                <w:szCs w:val="21"/>
              </w:rPr>
            </w:pPr>
            <w:r>
              <w:rPr>
                <w:rFonts w:ascii="宋体" w:hAnsi="宋体" w:cs="宋体"/>
                <w:sz w:val="21"/>
                <w:szCs w:val="21"/>
              </w:rPr>
              <w:t>（30分）</w:t>
            </w:r>
          </w:p>
        </w:tc>
        <w:tc>
          <w:tcPr>
            <w:tcW w:w="6870" w:type="dxa"/>
            <w:tcBorders>
              <w:tl2br w:val="nil"/>
              <w:tr2bl w:val="nil"/>
            </w:tcBorders>
            <w:tcMar>
              <w:top w:w="0" w:type="dxa"/>
              <w:left w:w="105" w:type="dxa"/>
              <w:bottom w:w="0" w:type="dxa"/>
              <w:right w:w="105" w:type="dxa"/>
            </w:tcMar>
            <w:vAlign w:val="center"/>
          </w:tcPr>
          <w:p w14:paraId="242AC6CB">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1.根据运维服务项目招投标文件和合同等要求，制定实施方案，并按照实施方案完成全部服务项目。</w:t>
            </w:r>
          </w:p>
          <w:p w14:paraId="173BB5B6">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2.按照约定周期做好信息化项目软、硬件和数据的日常监测巡检，如实记录结果，如发现异常情况，应及时向中心报告并采取相应处置措施。</w:t>
            </w:r>
          </w:p>
          <w:p w14:paraId="40C018F4">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3.</w:t>
            </w:r>
            <w:r>
              <w:t xml:space="preserve"> </w:t>
            </w:r>
            <w:r>
              <w:rPr>
                <w:rFonts w:ascii="宋体" w:hAnsi="宋体" w:cs="宋体"/>
                <w:sz w:val="21"/>
                <w:szCs w:val="21"/>
              </w:rPr>
              <w:t>接收到故障信息后，运维服务单位应根据故障等级的响应时间要求进行故障处理，一般故障的响应时间应小于2小时，重大故障的响应时间应小于30分钟。</w:t>
            </w:r>
          </w:p>
          <w:p w14:paraId="12541A25">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4.按规范开展应用程序、数据库和服务器设备维护，不得在生产环境中擅自关停或重启应用程序、数据库和服务器设备等。对应用程序或数据库更新维护前，应做好相关备份，并在测试环境中进行充分测试后实施，且更新维护完成后在生产环境中再次检验。重大更新维护应将维护方案报中心同意后进行。</w:t>
            </w:r>
          </w:p>
          <w:p w14:paraId="7BDD796A">
            <w:pPr>
              <w:pStyle w:val="11"/>
              <w:spacing w:line="360" w:lineRule="exact"/>
              <w:jc w:val="both"/>
              <w:rPr>
                <w:rFonts w:hint="default" w:ascii="宋体" w:hAnsi="宋体"/>
                <w:sz w:val="21"/>
                <w:szCs w:val="21"/>
              </w:rPr>
            </w:pPr>
            <w:r>
              <w:rPr>
                <w:rFonts w:ascii="宋体" w:hAnsi="宋体" w:cs="宋体"/>
                <w:sz w:val="21"/>
                <w:szCs w:val="21"/>
              </w:rPr>
              <w:t>5.根据中心要求开展应急预案的培训和演练，并根据演练情况总结经验教训，提出改进措施。</w:t>
            </w:r>
          </w:p>
        </w:tc>
        <w:tc>
          <w:tcPr>
            <w:tcW w:w="4185" w:type="dxa"/>
            <w:gridSpan w:val="2"/>
            <w:tcBorders>
              <w:tl2br w:val="nil"/>
              <w:tr2bl w:val="nil"/>
            </w:tcBorders>
            <w:tcMar>
              <w:top w:w="0" w:type="dxa"/>
              <w:left w:w="105" w:type="dxa"/>
              <w:bottom w:w="0" w:type="dxa"/>
              <w:right w:w="105" w:type="dxa"/>
            </w:tcMar>
            <w:vAlign w:val="center"/>
          </w:tcPr>
          <w:p w14:paraId="3749D84C">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1.未按照约定周期开展日常监测巡检，每缺失1次巡检记录扣2分。</w:t>
            </w:r>
          </w:p>
          <w:p w14:paraId="6515C3F7">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2.未按响应时间要求进行故障处理的，每次扣2分。</w:t>
            </w:r>
          </w:p>
          <w:p w14:paraId="3438CC1E">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3.未按照规范进行应用程序、数据库和服务器设备更新维护的，每次扣2分。</w:t>
            </w:r>
          </w:p>
          <w:p w14:paraId="4021FB29">
            <w:pPr>
              <w:pStyle w:val="11"/>
              <w:spacing w:line="360" w:lineRule="exact"/>
              <w:jc w:val="both"/>
              <w:rPr>
                <w:rFonts w:hint="eastAsia" w:ascii="宋体" w:hAnsi="宋体" w:cs="宋体" w:eastAsiaTheme="minorEastAsia"/>
                <w:sz w:val="21"/>
                <w:szCs w:val="21"/>
                <w:lang w:eastAsia="zh-CN"/>
              </w:rPr>
            </w:pPr>
            <w:r>
              <w:rPr>
                <w:rFonts w:ascii="宋体" w:hAnsi="宋体" w:cs="宋体"/>
                <w:sz w:val="21"/>
                <w:szCs w:val="21"/>
              </w:rPr>
              <w:t>4.未经中心批准在生产环境中擅自关停或重启应用程序、数据库和服务器设备的，本项不得分。</w:t>
            </w:r>
          </w:p>
          <w:p w14:paraId="37C7C1D5">
            <w:pPr>
              <w:pStyle w:val="11"/>
              <w:spacing w:line="360" w:lineRule="exact"/>
              <w:jc w:val="both"/>
              <w:rPr>
                <w:rFonts w:hint="default" w:ascii="宋体" w:hAnsi="宋体"/>
                <w:sz w:val="21"/>
                <w:szCs w:val="21"/>
              </w:rPr>
            </w:pPr>
            <w:r>
              <w:rPr>
                <w:rFonts w:ascii="宋体" w:hAnsi="宋体"/>
                <w:sz w:val="21"/>
                <w:szCs w:val="21"/>
              </w:rPr>
              <w:t>5.</w:t>
            </w:r>
            <w:r>
              <w:rPr>
                <w:rFonts w:ascii="宋体" w:hAnsi="宋体" w:cs="宋体"/>
                <w:sz w:val="21"/>
                <w:szCs w:val="21"/>
              </w:rPr>
              <w:t>未按中心要求开展应急预案培训和演练的，本项不得分。</w:t>
            </w:r>
          </w:p>
        </w:tc>
        <w:tc>
          <w:tcPr>
            <w:tcW w:w="960" w:type="dxa"/>
            <w:tcBorders>
              <w:tl2br w:val="nil"/>
              <w:tr2bl w:val="nil"/>
            </w:tcBorders>
            <w:tcMar>
              <w:top w:w="0" w:type="dxa"/>
              <w:left w:w="105" w:type="dxa"/>
              <w:bottom w:w="0" w:type="dxa"/>
              <w:right w:w="105" w:type="dxa"/>
            </w:tcMar>
            <w:vAlign w:val="center"/>
          </w:tcPr>
          <w:p w14:paraId="16F300F4">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6F447179">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790B40D6">
            <w:pPr>
              <w:pStyle w:val="11"/>
              <w:spacing w:line="360" w:lineRule="exact"/>
              <w:jc w:val="center"/>
              <w:rPr>
                <w:rFonts w:hint="default" w:ascii="宋体" w:hAnsi="宋体"/>
                <w:sz w:val="21"/>
                <w:szCs w:val="21"/>
              </w:rPr>
            </w:pPr>
          </w:p>
        </w:tc>
      </w:tr>
      <w:tr w14:paraId="06E7F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tcBorders>
              <w:tl2br w:val="nil"/>
              <w:tr2bl w:val="nil"/>
            </w:tcBorders>
            <w:tcMar>
              <w:top w:w="0" w:type="dxa"/>
              <w:left w:w="105" w:type="dxa"/>
              <w:bottom w:w="0" w:type="dxa"/>
              <w:right w:w="105" w:type="dxa"/>
            </w:tcMar>
            <w:vAlign w:val="center"/>
          </w:tcPr>
          <w:p w14:paraId="3D539E72">
            <w:pPr>
              <w:pStyle w:val="11"/>
              <w:spacing w:line="360" w:lineRule="exact"/>
              <w:jc w:val="center"/>
              <w:rPr>
                <w:rFonts w:hint="default" w:ascii="宋体" w:hAnsi="宋体" w:cs="宋体"/>
                <w:sz w:val="21"/>
                <w:szCs w:val="21"/>
              </w:rPr>
            </w:pPr>
            <w:r>
              <w:rPr>
                <w:rFonts w:ascii="宋体" w:hAnsi="宋体" w:cs="宋体"/>
                <w:sz w:val="21"/>
                <w:szCs w:val="21"/>
              </w:rPr>
              <w:t>3</w:t>
            </w:r>
          </w:p>
        </w:tc>
        <w:tc>
          <w:tcPr>
            <w:tcW w:w="780" w:type="dxa"/>
            <w:tcBorders>
              <w:tl2br w:val="nil"/>
              <w:tr2bl w:val="nil"/>
            </w:tcBorders>
            <w:tcMar>
              <w:top w:w="0" w:type="dxa"/>
              <w:left w:w="105" w:type="dxa"/>
              <w:bottom w:w="0" w:type="dxa"/>
              <w:right w:w="105" w:type="dxa"/>
            </w:tcMar>
            <w:vAlign w:val="center"/>
          </w:tcPr>
          <w:p w14:paraId="41DAE914">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汇报文档</w:t>
            </w:r>
          </w:p>
          <w:p w14:paraId="413CDC4E">
            <w:pPr>
              <w:pStyle w:val="11"/>
              <w:spacing w:line="360" w:lineRule="exact"/>
              <w:jc w:val="center"/>
              <w:rPr>
                <w:rFonts w:hint="default" w:ascii="宋体" w:hAnsi="宋体" w:cs="宋体"/>
                <w:sz w:val="21"/>
                <w:szCs w:val="21"/>
              </w:rPr>
            </w:pPr>
            <w:r>
              <w:rPr>
                <w:rFonts w:hint="default" w:ascii="宋体" w:hAnsi="宋体" w:cs="宋体"/>
                <w:sz w:val="21"/>
                <w:szCs w:val="21"/>
              </w:rPr>
              <w:t>（</w:t>
            </w:r>
            <w:r>
              <w:rPr>
                <w:rFonts w:ascii="宋体" w:hAnsi="宋体" w:cs="宋体"/>
                <w:sz w:val="21"/>
                <w:szCs w:val="21"/>
              </w:rPr>
              <w:t>25分</w:t>
            </w:r>
            <w:r>
              <w:rPr>
                <w:rFonts w:hint="default" w:ascii="宋体" w:hAnsi="宋体" w:cs="宋体"/>
                <w:sz w:val="21"/>
                <w:szCs w:val="21"/>
              </w:rPr>
              <w:t>）</w:t>
            </w:r>
          </w:p>
        </w:tc>
        <w:tc>
          <w:tcPr>
            <w:tcW w:w="6870" w:type="dxa"/>
            <w:tcBorders>
              <w:tl2br w:val="nil"/>
              <w:tr2bl w:val="nil"/>
            </w:tcBorders>
            <w:tcMar>
              <w:top w:w="0" w:type="dxa"/>
              <w:left w:w="105" w:type="dxa"/>
              <w:bottom w:w="0" w:type="dxa"/>
              <w:right w:w="105" w:type="dxa"/>
            </w:tcMar>
            <w:vAlign w:val="center"/>
          </w:tcPr>
          <w:p w14:paraId="457CF526">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1.定期向中心报告巡检、故障处置情况等运维工作情况。</w:t>
            </w:r>
          </w:p>
          <w:p w14:paraId="12481934">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2.做好各类会议的记录，并于会议结束后2个工作日内完成会议纪要编制，经中心同意后分发。</w:t>
            </w:r>
          </w:p>
          <w:p w14:paraId="2377A946">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3.运维服务单位单独接收到的服务需求或与运维相关的信息，应做好书面记录并及时向中心报告，特别涉及数据修改、权限调整、系统功能改变等重要内容的，应立即向中心报告。</w:t>
            </w:r>
          </w:p>
          <w:p w14:paraId="225C5470">
            <w:pPr>
              <w:pStyle w:val="11"/>
              <w:spacing w:line="360" w:lineRule="exact"/>
              <w:rPr>
                <w:rFonts w:hint="default" w:ascii="宋体" w:hAnsi="宋体" w:cs="宋体"/>
                <w:sz w:val="21"/>
                <w:szCs w:val="21"/>
              </w:rPr>
            </w:pPr>
            <w:r>
              <w:rPr>
                <w:rFonts w:ascii="宋体" w:hAnsi="宋体" w:cs="宋体"/>
                <w:sz w:val="21"/>
                <w:szCs w:val="21"/>
              </w:rPr>
              <w:t>4.按照文档命名规则、更新、审核发布、存储等的要求开展运维项目文档管理，确保文档的准确性和时效性。</w:t>
            </w:r>
          </w:p>
        </w:tc>
        <w:tc>
          <w:tcPr>
            <w:tcW w:w="4185" w:type="dxa"/>
            <w:gridSpan w:val="2"/>
            <w:tcBorders>
              <w:tl2br w:val="nil"/>
              <w:tr2bl w:val="nil"/>
            </w:tcBorders>
            <w:tcMar>
              <w:top w:w="0" w:type="dxa"/>
              <w:left w:w="105" w:type="dxa"/>
              <w:bottom w:w="0" w:type="dxa"/>
              <w:right w:w="105" w:type="dxa"/>
            </w:tcMar>
            <w:vAlign w:val="center"/>
          </w:tcPr>
          <w:p w14:paraId="2794CD12">
            <w:pPr>
              <w:pStyle w:val="11"/>
              <w:spacing w:line="360" w:lineRule="exact"/>
              <w:jc w:val="both"/>
              <w:rPr>
                <w:rFonts w:hint="default" w:ascii="宋体" w:hAnsi="宋体" w:cs="宋体"/>
                <w:sz w:val="21"/>
                <w:szCs w:val="21"/>
              </w:rPr>
            </w:pPr>
            <w:r>
              <w:rPr>
                <w:rFonts w:ascii="宋体" w:hAnsi="宋体" w:cs="宋体"/>
                <w:sz w:val="21"/>
                <w:szCs w:val="21"/>
              </w:rPr>
              <w:t>1.未</w:t>
            </w:r>
            <w:r>
              <w:rPr>
                <w:rFonts w:ascii="宋体" w:hAnsi="宋体"/>
                <w:sz w:val="21"/>
                <w:szCs w:val="21"/>
              </w:rPr>
              <w:t>按要求</w:t>
            </w:r>
            <w:r>
              <w:rPr>
                <w:rFonts w:ascii="宋体" w:hAnsi="宋体" w:cs="宋体"/>
                <w:sz w:val="21"/>
                <w:szCs w:val="21"/>
              </w:rPr>
              <w:t>向中心报告巡检、故障处置情况等运维工作情况的</w:t>
            </w:r>
            <w:r>
              <w:rPr>
                <w:rFonts w:ascii="宋体" w:hAnsi="宋体"/>
                <w:sz w:val="21"/>
                <w:szCs w:val="21"/>
              </w:rPr>
              <w:t>，每次扣1分。</w:t>
            </w:r>
          </w:p>
          <w:p w14:paraId="172AF109">
            <w:pPr>
              <w:pStyle w:val="11"/>
              <w:spacing w:line="360" w:lineRule="exact"/>
              <w:jc w:val="both"/>
              <w:rPr>
                <w:rFonts w:hint="default" w:ascii="宋体" w:hAnsi="宋体"/>
                <w:sz w:val="21"/>
                <w:szCs w:val="21"/>
              </w:rPr>
            </w:pPr>
            <w:r>
              <w:rPr>
                <w:rFonts w:ascii="宋体" w:hAnsi="宋体" w:cs="宋体"/>
                <w:sz w:val="21"/>
                <w:szCs w:val="21"/>
              </w:rPr>
              <w:t>2.</w:t>
            </w:r>
            <w:r>
              <w:rPr>
                <w:rFonts w:ascii="宋体" w:hAnsi="宋体"/>
                <w:sz w:val="21"/>
                <w:szCs w:val="21"/>
              </w:rPr>
              <w:t>未及时向中心报告</w:t>
            </w:r>
            <w:r>
              <w:rPr>
                <w:rFonts w:ascii="宋体" w:hAnsi="宋体" w:cs="宋体"/>
                <w:sz w:val="21"/>
                <w:szCs w:val="21"/>
              </w:rPr>
              <w:t>单独接收到的服务需求或与运维相关信息的</w:t>
            </w:r>
            <w:r>
              <w:rPr>
                <w:rFonts w:ascii="宋体" w:hAnsi="宋体"/>
                <w:sz w:val="21"/>
                <w:szCs w:val="21"/>
              </w:rPr>
              <w:t>，每次扣2分。</w:t>
            </w:r>
          </w:p>
          <w:p w14:paraId="2EDF1879">
            <w:pPr>
              <w:pStyle w:val="11"/>
              <w:spacing w:line="360" w:lineRule="exact"/>
              <w:jc w:val="both"/>
              <w:rPr>
                <w:rFonts w:hint="eastAsia" w:ascii="宋体" w:hAnsi="宋体" w:eastAsiaTheme="minorEastAsia"/>
                <w:sz w:val="21"/>
                <w:szCs w:val="21"/>
                <w:lang w:eastAsia="zh-CN"/>
              </w:rPr>
            </w:pPr>
            <w:r>
              <w:rPr>
                <w:rFonts w:ascii="宋体" w:hAnsi="宋体"/>
                <w:sz w:val="21"/>
                <w:szCs w:val="21"/>
              </w:rPr>
              <w:t>3.未按要求完成会议纪要编制和分发的，每次扣1分。</w:t>
            </w:r>
          </w:p>
          <w:p w14:paraId="1497C37F">
            <w:pPr>
              <w:pStyle w:val="11"/>
              <w:spacing w:line="360" w:lineRule="exact"/>
              <w:jc w:val="both"/>
              <w:rPr>
                <w:rFonts w:hint="default" w:ascii="宋体" w:hAnsi="宋体" w:cs="宋体"/>
                <w:sz w:val="21"/>
                <w:szCs w:val="21"/>
              </w:rPr>
            </w:pPr>
            <w:r>
              <w:rPr>
                <w:rFonts w:ascii="宋体" w:hAnsi="宋体" w:cs="宋体"/>
                <w:sz w:val="21"/>
                <w:szCs w:val="21"/>
              </w:rPr>
              <w:t>4.未按要求交付文档资料的，每缺1份扣1分；存在文档造假的，本项不得分。</w:t>
            </w:r>
          </w:p>
        </w:tc>
        <w:tc>
          <w:tcPr>
            <w:tcW w:w="960" w:type="dxa"/>
            <w:tcBorders>
              <w:tl2br w:val="nil"/>
              <w:tr2bl w:val="nil"/>
            </w:tcBorders>
            <w:tcMar>
              <w:top w:w="0" w:type="dxa"/>
              <w:left w:w="105" w:type="dxa"/>
              <w:bottom w:w="0" w:type="dxa"/>
              <w:right w:w="105" w:type="dxa"/>
            </w:tcMar>
            <w:vAlign w:val="center"/>
          </w:tcPr>
          <w:p w14:paraId="1DD94B95">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719B5326">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22C01704">
            <w:pPr>
              <w:pStyle w:val="11"/>
              <w:spacing w:line="360" w:lineRule="exact"/>
              <w:jc w:val="center"/>
              <w:rPr>
                <w:rFonts w:hint="default" w:ascii="宋体" w:hAnsi="宋体"/>
                <w:sz w:val="21"/>
                <w:szCs w:val="21"/>
              </w:rPr>
            </w:pPr>
          </w:p>
        </w:tc>
      </w:tr>
      <w:tr w14:paraId="3D6A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jc w:val="center"/>
        </w:trPr>
        <w:tc>
          <w:tcPr>
            <w:tcW w:w="751" w:type="dxa"/>
            <w:tcBorders>
              <w:tl2br w:val="nil"/>
              <w:tr2bl w:val="nil"/>
            </w:tcBorders>
            <w:tcMar>
              <w:top w:w="0" w:type="dxa"/>
              <w:left w:w="105" w:type="dxa"/>
              <w:bottom w:w="0" w:type="dxa"/>
              <w:right w:w="105" w:type="dxa"/>
            </w:tcMar>
            <w:vAlign w:val="center"/>
          </w:tcPr>
          <w:p w14:paraId="2DF25120">
            <w:pPr>
              <w:pStyle w:val="11"/>
              <w:spacing w:line="360" w:lineRule="exact"/>
              <w:jc w:val="center"/>
              <w:rPr>
                <w:rFonts w:hint="default" w:ascii="宋体" w:hAnsi="宋体"/>
                <w:sz w:val="21"/>
                <w:szCs w:val="21"/>
              </w:rPr>
            </w:pPr>
            <w:r>
              <w:rPr>
                <w:rFonts w:ascii="宋体" w:hAnsi="宋体" w:cs="宋体"/>
                <w:sz w:val="21"/>
                <w:szCs w:val="21"/>
              </w:rPr>
              <w:t>4</w:t>
            </w:r>
          </w:p>
        </w:tc>
        <w:tc>
          <w:tcPr>
            <w:tcW w:w="780" w:type="dxa"/>
            <w:tcBorders>
              <w:tl2br w:val="nil"/>
              <w:tr2bl w:val="nil"/>
            </w:tcBorders>
            <w:tcMar>
              <w:top w:w="0" w:type="dxa"/>
              <w:left w:w="105" w:type="dxa"/>
              <w:bottom w:w="0" w:type="dxa"/>
              <w:right w:w="105" w:type="dxa"/>
            </w:tcMar>
            <w:vAlign w:val="center"/>
          </w:tcPr>
          <w:p w14:paraId="21E8CD05">
            <w:pPr>
              <w:pStyle w:val="11"/>
              <w:spacing w:line="360" w:lineRule="exact"/>
              <w:jc w:val="center"/>
              <w:rPr>
                <w:rFonts w:hint="eastAsia" w:ascii="宋体" w:hAnsi="宋体" w:cs="宋体" w:eastAsiaTheme="minorEastAsia"/>
                <w:sz w:val="21"/>
                <w:szCs w:val="21"/>
                <w:lang w:eastAsia="zh-CN"/>
              </w:rPr>
            </w:pPr>
            <w:r>
              <w:rPr>
                <w:rFonts w:ascii="宋体" w:hAnsi="宋体" w:cs="宋体"/>
                <w:sz w:val="21"/>
                <w:szCs w:val="21"/>
              </w:rPr>
              <w:t>网络安全</w:t>
            </w:r>
          </w:p>
          <w:p w14:paraId="3C43A590">
            <w:pPr>
              <w:pStyle w:val="11"/>
              <w:spacing w:line="360" w:lineRule="exact"/>
              <w:jc w:val="center"/>
              <w:rPr>
                <w:rFonts w:hint="default" w:ascii="宋体" w:hAnsi="宋体"/>
                <w:sz w:val="21"/>
                <w:szCs w:val="21"/>
              </w:rPr>
            </w:pPr>
            <w:r>
              <w:rPr>
                <w:rFonts w:ascii="宋体" w:hAnsi="宋体" w:cs="宋体"/>
                <w:sz w:val="21"/>
                <w:szCs w:val="21"/>
              </w:rPr>
              <w:t>（30分）</w:t>
            </w:r>
          </w:p>
        </w:tc>
        <w:tc>
          <w:tcPr>
            <w:tcW w:w="6870" w:type="dxa"/>
            <w:tcBorders>
              <w:tl2br w:val="nil"/>
              <w:tr2bl w:val="nil"/>
            </w:tcBorders>
            <w:tcMar>
              <w:top w:w="0" w:type="dxa"/>
              <w:left w:w="105" w:type="dxa"/>
              <w:bottom w:w="0" w:type="dxa"/>
              <w:right w:w="105" w:type="dxa"/>
            </w:tcMar>
            <w:vAlign w:val="center"/>
          </w:tcPr>
          <w:p w14:paraId="70C9A2B0">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1.定期进行漏洞扫描等网络安全相关检测、测试和安全审计，发现异常网络活动和安全事件应及时向中心报告并采取相应处置措施。</w:t>
            </w:r>
          </w:p>
          <w:p w14:paraId="19B989FD">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2.做好数据备份、重要数据加密以及信息系统、数据的访问权限控制和管理。</w:t>
            </w:r>
          </w:p>
          <w:p w14:paraId="39CDA4A9">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3.根据网络安全主管部门的通报、等级保护测评结果、第三方网络安全服务机构巡检等信息，及时排查和处置网络与数据安全漏洞，并将结果书面盖章后报中心。</w:t>
            </w:r>
          </w:p>
          <w:p w14:paraId="103DDFA3">
            <w:pPr>
              <w:pStyle w:val="11"/>
              <w:spacing w:line="360" w:lineRule="exact"/>
              <w:rPr>
                <w:rFonts w:hint="default" w:ascii="宋体" w:hAnsi="宋体" w:cs="宋体"/>
                <w:sz w:val="21"/>
                <w:szCs w:val="21"/>
              </w:rPr>
            </w:pPr>
            <w:r>
              <w:rPr>
                <w:rFonts w:ascii="宋体" w:hAnsi="宋体" w:cs="宋体"/>
                <w:sz w:val="21"/>
                <w:szCs w:val="21"/>
              </w:rPr>
              <w:t>4.做好账号、密码、数字证书等管理，及时撤销已离职或职责变更的服务人员权限，并回收相关账号、数字证书等。</w:t>
            </w:r>
          </w:p>
        </w:tc>
        <w:tc>
          <w:tcPr>
            <w:tcW w:w="4185" w:type="dxa"/>
            <w:gridSpan w:val="2"/>
            <w:tcBorders>
              <w:tl2br w:val="nil"/>
              <w:tr2bl w:val="nil"/>
            </w:tcBorders>
            <w:tcMar>
              <w:top w:w="0" w:type="dxa"/>
              <w:left w:w="105" w:type="dxa"/>
              <w:bottom w:w="0" w:type="dxa"/>
              <w:right w:w="105" w:type="dxa"/>
            </w:tcMar>
            <w:vAlign w:val="center"/>
          </w:tcPr>
          <w:p w14:paraId="286D13A3">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1.未定期开展漏洞扫描等网络安全相关检测、测试和安全审计的，每次扣2分。</w:t>
            </w:r>
          </w:p>
          <w:p w14:paraId="5F729DF0">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2.发现的网络与数据安全问题未及时向中心报告并采取相应处置措施的，每项扣2分。</w:t>
            </w:r>
          </w:p>
          <w:p w14:paraId="57963874">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3.未按要求开展数据备份、重要数据加密的，每次扣2分。</w:t>
            </w:r>
          </w:p>
          <w:p w14:paraId="6BCBB328">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4.未及时撤销已离职或职责变更的服务人员权限，并回收相关账号、数字证书的，每次扣2分。</w:t>
            </w:r>
          </w:p>
          <w:p w14:paraId="757ED66C">
            <w:pPr>
              <w:pStyle w:val="11"/>
              <w:spacing w:line="360" w:lineRule="exact"/>
              <w:rPr>
                <w:rFonts w:hint="default" w:ascii="宋体" w:hAnsi="宋体"/>
                <w:sz w:val="21"/>
                <w:szCs w:val="21"/>
              </w:rPr>
            </w:pPr>
            <w:r>
              <w:rPr>
                <w:rFonts w:ascii="宋体" w:hAnsi="宋体" w:cs="宋体"/>
                <w:sz w:val="21"/>
                <w:szCs w:val="21"/>
              </w:rPr>
              <w:t>5.未完成网络安全主管部门通报安全问题整改的，本项不得分。</w:t>
            </w:r>
          </w:p>
        </w:tc>
        <w:tc>
          <w:tcPr>
            <w:tcW w:w="960" w:type="dxa"/>
            <w:tcBorders>
              <w:tl2br w:val="nil"/>
              <w:tr2bl w:val="nil"/>
            </w:tcBorders>
            <w:tcMar>
              <w:top w:w="0" w:type="dxa"/>
              <w:left w:w="105" w:type="dxa"/>
              <w:bottom w:w="0" w:type="dxa"/>
              <w:right w:w="105" w:type="dxa"/>
            </w:tcMar>
            <w:vAlign w:val="center"/>
          </w:tcPr>
          <w:p w14:paraId="5218820B">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0FDFCFC9">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7C261B40">
            <w:pPr>
              <w:pStyle w:val="11"/>
              <w:spacing w:line="360" w:lineRule="exact"/>
              <w:jc w:val="center"/>
              <w:rPr>
                <w:rFonts w:hint="default" w:ascii="宋体" w:hAnsi="宋体"/>
                <w:sz w:val="21"/>
                <w:szCs w:val="21"/>
              </w:rPr>
            </w:pPr>
          </w:p>
        </w:tc>
      </w:tr>
      <w:tr w14:paraId="198A4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3" w:hRule="atLeast"/>
          <w:jc w:val="center"/>
        </w:trPr>
        <w:tc>
          <w:tcPr>
            <w:tcW w:w="751" w:type="dxa"/>
            <w:tcBorders>
              <w:tl2br w:val="nil"/>
              <w:tr2bl w:val="nil"/>
            </w:tcBorders>
            <w:tcMar>
              <w:top w:w="0" w:type="dxa"/>
              <w:left w:w="105" w:type="dxa"/>
              <w:bottom w:w="0" w:type="dxa"/>
              <w:right w:w="105" w:type="dxa"/>
            </w:tcMar>
            <w:vAlign w:val="center"/>
          </w:tcPr>
          <w:p w14:paraId="544FA6EB">
            <w:pPr>
              <w:pStyle w:val="11"/>
              <w:spacing w:line="360" w:lineRule="exact"/>
              <w:jc w:val="center"/>
              <w:rPr>
                <w:rFonts w:hint="default" w:ascii="宋体" w:hAnsi="宋体"/>
                <w:sz w:val="21"/>
                <w:szCs w:val="21"/>
              </w:rPr>
            </w:pPr>
            <w:r>
              <w:rPr>
                <w:rFonts w:ascii="宋体" w:hAnsi="宋体" w:cs="宋体"/>
                <w:sz w:val="21"/>
                <w:szCs w:val="21"/>
              </w:rPr>
              <w:t>5</w:t>
            </w:r>
          </w:p>
        </w:tc>
        <w:tc>
          <w:tcPr>
            <w:tcW w:w="780" w:type="dxa"/>
            <w:tcBorders>
              <w:tl2br w:val="nil"/>
              <w:tr2bl w:val="nil"/>
            </w:tcBorders>
            <w:tcMar>
              <w:top w:w="0" w:type="dxa"/>
              <w:left w:w="105" w:type="dxa"/>
              <w:bottom w:w="0" w:type="dxa"/>
              <w:right w:w="105" w:type="dxa"/>
            </w:tcMar>
            <w:vAlign w:val="center"/>
          </w:tcPr>
          <w:p w14:paraId="6AC24F41">
            <w:pPr>
              <w:pStyle w:val="11"/>
              <w:spacing w:line="360" w:lineRule="exact"/>
              <w:jc w:val="center"/>
              <w:rPr>
                <w:rFonts w:hint="default" w:ascii="宋体" w:hAnsi="宋体"/>
                <w:sz w:val="21"/>
                <w:szCs w:val="21"/>
              </w:rPr>
            </w:pPr>
            <w:r>
              <w:rPr>
                <w:rFonts w:ascii="宋体" w:hAnsi="宋体" w:cs="宋体"/>
                <w:sz w:val="21"/>
                <w:szCs w:val="21"/>
              </w:rPr>
              <w:t>一票否决项</w:t>
            </w:r>
          </w:p>
        </w:tc>
        <w:tc>
          <w:tcPr>
            <w:tcW w:w="11055" w:type="dxa"/>
            <w:gridSpan w:val="3"/>
            <w:tcBorders>
              <w:tl2br w:val="nil"/>
              <w:tr2bl w:val="nil"/>
            </w:tcBorders>
            <w:tcMar>
              <w:top w:w="0" w:type="dxa"/>
              <w:left w:w="105" w:type="dxa"/>
              <w:bottom w:w="0" w:type="dxa"/>
              <w:right w:w="105" w:type="dxa"/>
            </w:tcMar>
            <w:vAlign w:val="center"/>
          </w:tcPr>
          <w:p w14:paraId="79EBF2EB">
            <w:pPr>
              <w:pStyle w:val="11"/>
              <w:spacing w:line="360" w:lineRule="exact"/>
              <w:rPr>
                <w:rFonts w:hint="eastAsia" w:ascii="宋体" w:hAnsi="宋体" w:cs="宋体" w:eastAsiaTheme="minorEastAsia"/>
                <w:sz w:val="21"/>
                <w:szCs w:val="21"/>
                <w:lang w:eastAsia="zh-CN"/>
              </w:rPr>
            </w:pPr>
            <w:r>
              <w:rPr>
                <w:rFonts w:ascii="宋体" w:hAnsi="宋体" w:cs="宋体"/>
                <w:sz w:val="21"/>
                <w:szCs w:val="21"/>
              </w:rPr>
              <w:t>因运维服务单位原因造成以下情形的，当期考核不得分：</w:t>
            </w:r>
          </w:p>
          <w:p w14:paraId="07BB2370">
            <w:pPr>
              <w:pStyle w:val="11"/>
              <w:spacing w:line="360" w:lineRule="exact"/>
              <w:rPr>
                <w:rFonts w:hint="eastAsia" w:ascii="宋体" w:hAnsi="宋体" w:eastAsiaTheme="minorEastAsia"/>
                <w:sz w:val="21"/>
                <w:szCs w:val="21"/>
                <w:lang w:eastAsia="zh-CN"/>
              </w:rPr>
            </w:pPr>
            <w:r>
              <w:rPr>
                <w:rFonts w:ascii="宋体" w:hAnsi="宋体"/>
                <w:sz w:val="21"/>
                <w:szCs w:val="21"/>
              </w:rPr>
              <w:t>1.违反国家网络安全、数据安全和保密安全等有关法律、法规、规章、制度。</w:t>
            </w:r>
          </w:p>
          <w:p w14:paraId="1C2C9454">
            <w:pPr>
              <w:pStyle w:val="11"/>
              <w:spacing w:line="360" w:lineRule="exact"/>
              <w:rPr>
                <w:rFonts w:hint="eastAsia" w:ascii="宋体" w:hAnsi="宋体" w:eastAsiaTheme="minorEastAsia"/>
                <w:sz w:val="21"/>
                <w:szCs w:val="21"/>
                <w:lang w:eastAsia="zh-CN"/>
              </w:rPr>
            </w:pPr>
            <w:r>
              <w:rPr>
                <w:rFonts w:ascii="宋体" w:hAnsi="宋体"/>
                <w:sz w:val="21"/>
                <w:szCs w:val="21"/>
              </w:rPr>
              <w:t>2.发生网络与数据安全、保密安全事故被上级部门通报。</w:t>
            </w:r>
          </w:p>
          <w:p w14:paraId="585074DA">
            <w:pPr>
              <w:pStyle w:val="11"/>
              <w:spacing w:line="360" w:lineRule="exact"/>
              <w:rPr>
                <w:rFonts w:hint="eastAsia" w:ascii="宋体" w:hAnsi="宋体" w:eastAsiaTheme="minorEastAsia"/>
                <w:sz w:val="21"/>
                <w:szCs w:val="21"/>
                <w:lang w:eastAsia="zh-CN"/>
              </w:rPr>
            </w:pPr>
            <w:r>
              <w:rPr>
                <w:rFonts w:ascii="宋体" w:hAnsi="宋体"/>
                <w:sz w:val="21"/>
                <w:szCs w:val="21"/>
              </w:rPr>
              <w:t>3.未经规定程序审批，擅自篡改数据和用户权限。</w:t>
            </w:r>
          </w:p>
          <w:p w14:paraId="406C6293">
            <w:pPr>
              <w:pStyle w:val="11"/>
              <w:spacing w:line="360" w:lineRule="exact"/>
              <w:rPr>
                <w:rFonts w:hint="default" w:ascii="宋体" w:hAnsi="宋体"/>
                <w:sz w:val="21"/>
                <w:szCs w:val="21"/>
              </w:rPr>
            </w:pPr>
            <w:r>
              <w:rPr>
                <w:rFonts w:ascii="宋体" w:hAnsi="宋体"/>
                <w:sz w:val="21"/>
                <w:szCs w:val="21"/>
              </w:rPr>
              <w:t>4.因运维措施不当造成数据错乱、丢失且无法恢复。</w:t>
            </w:r>
          </w:p>
        </w:tc>
        <w:tc>
          <w:tcPr>
            <w:tcW w:w="960" w:type="dxa"/>
            <w:tcBorders>
              <w:tl2br w:val="nil"/>
              <w:tr2bl w:val="nil"/>
            </w:tcBorders>
            <w:tcMar>
              <w:top w:w="0" w:type="dxa"/>
              <w:left w:w="105" w:type="dxa"/>
              <w:bottom w:w="0" w:type="dxa"/>
              <w:right w:w="105" w:type="dxa"/>
            </w:tcMar>
            <w:vAlign w:val="center"/>
          </w:tcPr>
          <w:p w14:paraId="59F6C1FE">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6892747F">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7EE4853D">
            <w:pPr>
              <w:pStyle w:val="11"/>
              <w:spacing w:line="360" w:lineRule="exact"/>
              <w:jc w:val="center"/>
              <w:rPr>
                <w:rFonts w:hint="default" w:ascii="宋体" w:hAnsi="宋体"/>
                <w:sz w:val="21"/>
                <w:szCs w:val="21"/>
              </w:rPr>
            </w:pPr>
          </w:p>
        </w:tc>
      </w:tr>
      <w:tr w14:paraId="68837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2586" w:type="dxa"/>
            <w:gridSpan w:val="5"/>
            <w:tcBorders>
              <w:tl2br w:val="nil"/>
              <w:tr2bl w:val="nil"/>
            </w:tcBorders>
            <w:tcMar>
              <w:top w:w="0" w:type="dxa"/>
              <w:left w:w="105" w:type="dxa"/>
              <w:bottom w:w="0" w:type="dxa"/>
              <w:right w:w="105" w:type="dxa"/>
            </w:tcMar>
            <w:vAlign w:val="center"/>
          </w:tcPr>
          <w:p w14:paraId="4D4C025A">
            <w:pPr>
              <w:pStyle w:val="11"/>
              <w:spacing w:line="360" w:lineRule="exact"/>
              <w:jc w:val="center"/>
              <w:rPr>
                <w:rFonts w:hint="default" w:ascii="宋体" w:hAnsi="宋体"/>
                <w:sz w:val="21"/>
                <w:szCs w:val="21"/>
              </w:rPr>
            </w:pPr>
            <w:r>
              <w:rPr>
                <w:rFonts w:ascii="宋体" w:hAnsi="宋体" w:cs="宋体"/>
                <w:sz w:val="21"/>
                <w:szCs w:val="21"/>
              </w:rPr>
              <w:t>合  计</w:t>
            </w:r>
          </w:p>
        </w:tc>
        <w:tc>
          <w:tcPr>
            <w:tcW w:w="960" w:type="dxa"/>
            <w:tcBorders>
              <w:tl2br w:val="nil"/>
              <w:tr2bl w:val="nil"/>
            </w:tcBorders>
            <w:tcMar>
              <w:top w:w="0" w:type="dxa"/>
              <w:left w:w="105" w:type="dxa"/>
              <w:bottom w:w="0" w:type="dxa"/>
              <w:right w:w="105" w:type="dxa"/>
            </w:tcMar>
            <w:vAlign w:val="center"/>
          </w:tcPr>
          <w:p w14:paraId="38A5E0F8">
            <w:pPr>
              <w:pStyle w:val="11"/>
              <w:spacing w:line="360" w:lineRule="exact"/>
              <w:jc w:val="center"/>
              <w:rPr>
                <w:rFonts w:hint="default" w:ascii="宋体" w:hAnsi="宋体"/>
                <w:sz w:val="21"/>
                <w:szCs w:val="21"/>
              </w:rPr>
            </w:pPr>
          </w:p>
        </w:tc>
        <w:tc>
          <w:tcPr>
            <w:tcW w:w="720" w:type="dxa"/>
            <w:tcBorders>
              <w:tl2br w:val="nil"/>
              <w:tr2bl w:val="nil"/>
            </w:tcBorders>
            <w:vAlign w:val="center"/>
          </w:tcPr>
          <w:p w14:paraId="29CC7C6B">
            <w:pPr>
              <w:pStyle w:val="11"/>
              <w:spacing w:line="360" w:lineRule="exact"/>
              <w:jc w:val="center"/>
              <w:rPr>
                <w:rFonts w:hint="default" w:ascii="宋体" w:hAnsi="宋体"/>
                <w:sz w:val="21"/>
                <w:szCs w:val="21"/>
              </w:rPr>
            </w:pPr>
          </w:p>
        </w:tc>
        <w:tc>
          <w:tcPr>
            <w:tcW w:w="840" w:type="dxa"/>
            <w:tcBorders>
              <w:tl2br w:val="nil"/>
              <w:tr2bl w:val="nil"/>
            </w:tcBorders>
            <w:vAlign w:val="center"/>
          </w:tcPr>
          <w:p w14:paraId="212782F3">
            <w:pPr>
              <w:pStyle w:val="11"/>
              <w:spacing w:line="360" w:lineRule="exact"/>
              <w:jc w:val="center"/>
              <w:rPr>
                <w:rFonts w:hint="default" w:ascii="宋体" w:hAnsi="宋体"/>
                <w:sz w:val="21"/>
                <w:szCs w:val="21"/>
              </w:rPr>
            </w:pPr>
          </w:p>
        </w:tc>
      </w:tr>
      <w:tr w14:paraId="6BF7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51" w:type="dxa"/>
            <w:tcBorders>
              <w:tl2br w:val="nil"/>
              <w:tr2bl w:val="nil"/>
            </w:tcBorders>
            <w:tcMar>
              <w:top w:w="0" w:type="dxa"/>
              <w:left w:w="105" w:type="dxa"/>
              <w:bottom w:w="0" w:type="dxa"/>
              <w:right w:w="105" w:type="dxa"/>
            </w:tcMar>
            <w:vAlign w:val="center"/>
          </w:tcPr>
          <w:p w14:paraId="418F1DD1">
            <w:pPr>
              <w:pStyle w:val="11"/>
              <w:spacing w:line="360" w:lineRule="exact"/>
              <w:jc w:val="center"/>
              <w:rPr>
                <w:rFonts w:hint="default" w:ascii="宋体" w:hAnsi="宋体"/>
                <w:sz w:val="21"/>
                <w:szCs w:val="21"/>
              </w:rPr>
            </w:pPr>
            <w:r>
              <w:rPr>
                <w:rFonts w:ascii="宋体" w:hAnsi="宋体" w:cs="宋体"/>
                <w:sz w:val="21"/>
                <w:szCs w:val="21"/>
              </w:rPr>
              <w:t>运维服务单位意见</w:t>
            </w:r>
          </w:p>
        </w:tc>
        <w:tc>
          <w:tcPr>
            <w:tcW w:w="7650" w:type="dxa"/>
            <w:gridSpan w:val="2"/>
            <w:tcBorders>
              <w:tl2br w:val="nil"/>
              <w:tr2bl w:val="nil"/>
            </w:tcBorders>
            <w:tcMar>
              <w:top w:w="0" w:type="dxa"/>
              <w:left w:w="105" w:type="dxa"/>
              <w:bottom w:w="0" w:type="dxa"/>
              <w:right w:w="105" w:type="dxa"/>
            </w:tcMar>
            <w:vAlign w:val="center"/>
          </w:tcPr>
          <w:p w14:paraId="69F80C53">
            <w:pPr>
              <w:pStyle w:val="11"/>
              <w:spacing w:line="360" w:lineRule="exact"/>
              <w:jc w:val="center"/>
              <w:rPr>
                <w:rFonts w:hint="eastAsia" w:ascii="宋体" w:hAnsi="宋体" w:eastAsiaTheme="minorEastAsia"/>
                <w:sz w:val="21"/>
                <w:szCs w:val="21"/>
                <w:lang w:eastAsia="zh-CN"/>
              </w:rPr>
            </w:pPr>
          </w:p>
          <w:p w14:paraId="43A15182">
            <w:pPr>
              <w:pStyle w:val="11"/>
              <w:spacing w:line="360" w:lineRule="exact"/>
              <w:jc w:val="center"/>
              <w:rPr>
                <w:rFonts w:hint="eastAsia" w:ascii="宋体" w:hAnsi="宋体" w:eastAsiaTheme="minorEastAsia"/>
                <w:sz w:val="21"/>
                <w:szCs w:val="21"/>
                <w:lang w:eastAsia="zh-CN"/>
              </w:rPr>
            </w:pPr>
          </w:p>
          <w:p w14:paraId="5E0B1766">
            <w:pPr>
              <w:pStyle w:val="11"/>
              <w:spacing w:line="360" w:lineRule="exact"/>
              <w:jc w:val="center"/>
              <w:rPr>
                <w:rFonts w:hint="eastAsia" w:ascii="宋体" w:hAnsi="宋体" w:eastAsiaTheme="minorEastAsia"/>
                <w:sz w:val="21"/>
                <w:szCs w:val="21"/>
                <w:lang w:eastAsia="zh-CN"/>
              </w:rPr>
            </w:pPr>
          </w:p>
          <w:p w14:paraId="4B2504D2">
            <w:pPr>
              <w:pStyle w:val="11"/>
              <w:spacing w:line="360" w:lineRule="exact"/>
              <w:jc w:val="center"/>
              <w:rPr>
                <w:rFonts w:hint="eastAsia" w:ascii="宋体" w:hAnsi="宋体" w:eastAsiaTheme="minorEastAsia"/>
                <w:sz w:val="21"/>
                <w:szCs w:val="21"/>
                <w:lang w:eastAsia="zh-CN"/>
              </w:rPr>
            </w:pPr>
          </w:p>
          <w:p w14:paraId="03034D5E">
            <w:pPr>
              <w:pStyle w:val="11"/>
              <w:spacing w:line="360" w:lineRule="exact"/>
              <w:jc w:val="center"/>
              <w:rPr>
                <w:rFonts w:hint="default" w:ascii="宋体" w:hAnsi="宋体" w:cs="宋体"/>
                <w:sz w:val="21"/>
                <w:szCs w:val="21"/>
              </w:rPr>
            </w:pPr>
            <w:r>
              <w:rPr>
                <w:rFonts w:ascii="宋体" w:hAnsi="宋体" w:cs="宋体"/>
                <w:sz w:val="21"/>
                <w:szCs w:val="21"/>
              </w:rPr>
              <w:t xml:space="preserve">       日期：</w:t>
            </w:r>
          </w:p>
          <w:p w14:paraId="5C66E70E">
            <w:pPr>
              <w:pStyle w:val="11"/>
              <w:spacing w:line="360" w:lineRule="exact"/>
              <w:jc w:val="center"/>
              <w:rPr>
                <w:rFonts w:hint="default" w:ascii="宋体" w:hAnsi="宋体" w:cs="宋体"/>
                <w:sz w:val="21"/>
                <w:szCs w:val="21"/>
              </w:rPr>
            </w:pPr>
          </w:p>
        </w:tc>
        <w:tc>
          <w:tcPr>
            <w:tcW w:w="935" w:type="dxa"/>
            <w:tcBorders>
              <w:tl2br w:val="nil"/>
              <w:tr2bl w:val="nil"/>
            </w:tcBorders>
            <w:tcMar>
              <w:top w:w="0" w:type="dxa"/>
              <w:left w:w="105" w:type="dxa"/>
              <w:bottom w:w="0" w:type="dxa"/>
              <w:right w:w="105" w:type="dxa"/>
            </w:tcMar>
            <w:vAlign w:val="center"/>
          </w:tcPr>
          <w:p w14:paraId="0FDB9E39">
            <w:pPr>
              <w:pStyle w:val="11"/>
              <w:spacing w:line="360" w:lineRule="exact"/>
              <w:jc w:val="center"/>
              <w:rPr>
                <w:rFonts w:hint="default" w:ascii="宋体" w:hAnsi="宋体" w:cs="宋体"/>
                <w:sz w:val="21"/>
                <w:szCs w:val="21"/>
              </w:rPr>
            </w:pPr>
            <w:r>
              <w:rPr>
                <w:rFonts w:ascii="宋体" w:hAnsi="宋体" w:cs="宋体"/>
                <w:sz w:val="21"/>
                <w:szCs w:val="21"/>
              </w:rPr>
              <w:t>行政</w:t>
            </w:r>
          </w:p>
          <w:p w14:paraId="76B714F5">
            <w:pPr>
              <w:pStyle w:val="11"/>
              <w:spacing w:line="360" w:lineRule="exact"/>
              <w:jc w:val="center"/>
              <w:rPr>
                <w:rFonts w:hint="default" w:ascii="宋体" w:hAnsi="宋体" w:cs="宋体"/>
                <w:sz w:val="21"/>
                <w:szCs w:val="21"/>
              </w:rPr>
            </w:pPr>
            <w:r>
              <w:rPr>
                <w:rFonts w:ascii="宋体" w:hAnsi="宋体" w:cs="宋体"/>
                <w:sz w:val="21"/>
                <w:szCs w:val="21"/>
              </w:rPr>
              <w:t>服务</w:t>
            </w:r>
          </w:p>
          <w:p w14:paraId="5C4F4E68">
            <w:pPr>
              <w:pStyle w:val="11"/>
              <w:spacing w:line="360" w:lineRule="exact"/>
              <w:jc w:val="center"/>
              <w:rPr>
                <w:rFonts w:hint="default" w:ascii="宋体" w:hAnsi="宋体" w:cs="宋体"/>
                <w:sz w:val="21"/>
                <w:szCs w:val="21"/>
              </w:rPr>
            </w:pPr>
            <w:r>
              <w:rPr>
                <w:rFonts w:ascii="宋体" w:hAnsi="宋体" w:cs="宋体"/>
                <w:sz w:val="21"/>
                <w:szCs w:val="21"/>
              </w:rPr>
              <w:t>中心</w:t>
            </w:r>
          </w:p>
          <w:p w14:paraId="20C5F877">
            <w:pPr>
              <w:pStyle w:val="11"/>
              <w:spacing w:line="360" w:lineRule="exact"/>
              <w:jc w:val="center"/>
              <w:rPr>
                <w:rFonts w:hint="default" w:ascii="宋体" w:hAnsi="宋体"/>
                <w:sz w:val="21"/>
                <w:szCs w:val="21"/>
              </w:rPr>
            </w:pPr>
            <w:r>
              <w:rPr>
                <w:rFonts w:ascii="宋体" w:hAnsi="宋体" w:cs="宋体"/>
                <w:sz w:val="21"/>
                <w:szCs w:val="21"/>
              </w:rPr>
              <w:t>意见</w:t>
            </w:r>
          </w:p>
        </w:tc>
        <w:tc>
          <w:tcPr>
            <w:tcW w:w="5770" w:type="dxa"/>
            <w:gridSpan w:val="4"/>
            <w:tcBorders>
              <w:tl2br w:val="nil"/>
              <w:tr2bl w:val="nil"/>
            </w:tcBorders>
            <w:tcMar>
              <w:top w:w="0" w:type="dxa"/>
              <w:left w:w="105" w:type="dxa"/>
              <w:bottom w:w="0" w:type="dxa"/>
              <w:right w:w="105" w:type="dxa"/>
            </w:tcMar>
            <w:vAlign w:val="center"/>
          </w:tcPr>
          <w:p w14:paraId="365855C3">
            <w:pPr>
              <w:pStyle w:val="11"/>
              <w:spacing w:line="360" w:lineRule="exact"/>
              <w:jc w:val="center"/>
              <w:rPr>
                <w:rFonts w:hint="eastAsia" w:ascii="宋体" w:hAnsi="宋体" w:eastAsiaTheme="minorEastAsia"/>
                <w:sz w:val="21"/>
                <w:szCs w:val="21"/>
                <w:lang w:eastAsia="zh-CN"/>
              </w:rPr>
            </w:pPr>
          </w:p>
          <w:p w14:paraId="1D50DAA8">
            <w:pPr>
              <w:pStyle w:val="11"/>
              <w:spacing w:line="360" w:lineRule="exact"/>
              <w:jc w:val="center"/>
              <w:rPr>
                <w:rFonts w:hint="eastAsia" w:ascii="宋体" w:hAnsi="宋体" w:eastAsiaTheme="minorEastAsia"/>
                <w:sz w:val="21"/>
                <w:szCs w:val="21"/>
                <w:lang w:eastAsia="zh-CN"/>
              </w:rPr>
            </w:pPr>
          </w:p>
          <w:p w14:paraId="1363E082">
            <w:pPr>
              <w:pStyle w:val="11"/>
              <w:spacing w:line="360" w:lineRule="exact"/>
              <w:jc w:val="center"/>
              <w:rPr>
                <w:rFonts w:hint="eastAsia" w:ascii="宋体" w:hAnsi="宋体" w:eastAsiaTheme="minorEastAsia"/>
                <w:sz w:val="21"/>
                <w:szCs w:val="21"/>
                <w:lang w:eastAsia="zh-CN"/>
              </w:rPr>
            </w:pPr>
          </w:p>
          <w:p w14:paraId="63EEDBB1">
            <w:pPr>
              <w:pStyle w:val="11"/>
              <w:spacing w:line="360" w:lineRule="exact"/>
              <w:jc w:val="center"/>
              <w:rPr>
                <w:rFonts w:hint="eastAsia" w:ascii="宋体" w:hAnsi="宋体" w:eastAsiaTheme="minorEastAsia"/>
                <w:sz w:val="21"/>
                <w:szCs w:val="21"/>
                <w:lang w:eastAsia="zh-CN"/>
              </w:rPr>
            </w:pPr>
          </w:p>
          <w:p w14:paraId="7D7D4D88">
            <w:pPr>
              <w:pStyle w:val="11"/>
              <w:spacing w:line="360" w:lineRule="exact"/>
              <w:jc w:val="center"/>
              <w:rPr>
                <w:rFonts w:hint="default" w:ascii="宋体" w:hAnsi="宋体"/>
                <w:sz w:val="21"/>
                <w:szCs w:val="21"/>
              </w:rPr>
            </w:pPr>
            <w:r>
              <w:rPr>
                <w:rFonts w:ascii="宋体" w:hAnsi="宋体" w:cs="宋体"/>
                <w:sz w:val="21"/>
                <w:szCs w:val="21"/>
              </w:rPr>
              <w:t xml:space="preserve">        日期：</w:t>
            </w:r>
          </w:p>
        </w:tc>
      </w:tr>
    </w:tbl>
    <w:p w14:paraId="09ED3A79">
      <w:pPr>
        <w:spacing w:line="360" w:lineRule="auto"/>
        <w:rPr>
          <w:rFonts w:ascii="宋体" w:hAnsi="宋体" w:cs="宋体"/>
          <w:sz w:val="24"/>
          <w:highlight w:val="yellow"/>
          <w:u w:val="single"/>
        </w:rPr>
      </w:pPr>
    </w:p>
    <w:p w14:paraId="46A1B823">
      <w:pPr>
        <w:spacing w:line="276" w:lineRule="auto"/>
        <w:ind w:firstLine="480" w:firstLineChars="200"/>
        <w:jc w:val="left"/>
        <w:rPr>
          <w:rFonts w:ascii="宋体" w:hAnsi="宋体"/>
          <w:sz w:val="24"/>
        </w:rPr>
        <w:sectPr>
          <w:footerReference r:id="rId5" w:type="default"/>
          <w:pgSz w:w="16838" w:h="11906" w:orient="landscape"/>
          <w:pgMar w:top="1349" w:right="1440" w:bottom="1349" w:left="1440" w:header="851" w:footer="992" w:gutter="0"/>
          <w:cols w:space="720" w:num="1"/>
          <w:docGrid w:type="lines" w:linePitch="312" w:charSpace="0"/>
        </w:sectPr>
      </w:pPr>
    </w:p>
    <w:p w14:paraId="1C708909">
      <w:pPr>
        <w:spacing w:line="27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（2）商务要求</w:t>
      </w:r>
    </w:p>
    <w:p w14:paraId="59969042">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1、交付地点：福建省福州市鼓楼区华林路147号</w:t>
      </w:r>
    </w:p>
    <w:p w14:paraId="39800E33">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2、交付时间：自合同签订之日起365日</w:t>
      </w:r>
    </w:p>
    <w:p w14:paraId="51FBE14B">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3、交付条件：按招标文件和合同要求提供合格服务，验收合格交付采购人。</w:t>
      </w:r>
    </w:p>
    <w:p w14:paraId="16F920C3">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4、是否收取履约保证金：否</w:t>
      </w:r>
    </w:p>
    <w:p w14:paraId="45C8F4E6">
      <w:pPr>
        <w:widowControl/>
        <w:spacing w:line="276" w:lineRule="auto"/>
        <w:ind w:left="420" w:left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5、是否邀请投标人参与验收：否</w:t>
      </w:r>
    </w:p>
    <w:p w14:paraId="3CDEE3AF">
      <w:pPr>
        <w:widowControl/>
        <w:spacing w:line="276" w:lineRule="auto"/>
        <w:ind w:left="420" w:left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6、验收方式数据表格</w:t>
      </w:r>
    </w:p>
    <w:tbl>
      <w:tblPr>
        <w:tblStyle w:val="7"/>
        <w:tblW w:w="5000" w:type="pct"/>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4"/>
        <w:gridCol w:w="6658"/>
      </w:tblGrid>
      <w:tr w14:paraId="02045F2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CEA56BD">
            <w:pPr>
              <w:widowControl/>
              <w:spacing w:line="276" w:lineRule="auto"/>
              <w:jc w:val="center"/>
              <w:rPr>
                <w:rFonts w:ascii="宋体" w:hAnsi="宋体" w:cs="宋体"/>
                <w:kern w:val="0"/>
                <w:sz w:val="24"/>
              </w:rPr>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91FADDD">
            <w:pPr>
              <w:widowControl/>
              <w:spacing w:line="276" w:lineRule="auto"/>
              <w:jc w:val="center"/>
              <w:rPr>
                <w:rFonts w:ascii="宋体" w:hAnsi="宋体" w:cs="宋体"/>
                <w:kern w:val="0"/>
                <w:sz w:val="24"/>
              </w:rPr>
            </w:pPr>
            <w:r>
              <w:rPr>
                <w:rFonts w:ascii="宋体" w:hAnsi="宋体" w:cs="宋体"/>
                <w:kern w:val="0"/>
                <w:sz w:val="24"/>
              </w:rPr>
              <w:t>验收期次说明</w:t>
            </w:r>
          </w:p>
        </w:tc>
      </w:tr>
      <w:tr w14:paraId="11AF5EB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1AA0974E">
            <w:pPr>
              <w:widowControl/>
              <w:spacing w:line="276" w:lineRule="auto"/>
              <w:jc w:val="center"/>
              <w:rPr>
                <w:rFonts w:ascii="宋体" w:hAnsi="宋体" w:cs="宋体"/>
                <w:kern w:val="0"/>
                <w:sz w:val="24"/>
              </w:rPr>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01D63289">
            <w:pPr>
              <w:widowControl/>
              <w:spacing w:line="276" w:lineRule="auto"/>
              <w:jc w:val="center"/>
              <w:rPr>
                <w:rFonts w:ascii="宋体" w:hAnsi="宋体" w:cs="宋体"/>
                <w:kern w:val="0"/>
                <w:sz w:val="24"/>
              </w:rPr>
            </w:pPr>
            <w:r>
              <w:rPr>
                <w:rFonts w:hint="eastAsia" w:ascii="宋体" w:hAnsi="宋体"/>
                <w:sz w:val="24"/>
              </w:rPr>
              <w:t>按国家标准、招标文件要求及合同进行验收。</w:t>
            </w:r>
          </w:p>
        </w:tc>
      </w:tr>
    </w:tbl>
    <w:p w14:paraId="29C576E0">
      <w:pPr>
        <w:widowControl/>
        <w:spacing w:line="276" w:lineRule="auto"/>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7、支付方式数据表格</w:t>
      </w:r>
    </w:p>
    <w:tbl>
      <w:tblPr>
        <w:tblStyle w:val="7"/>
        <w:tblW w:w="5008" w:type="pct"/>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665"/>
        <w:gridCol w:w="1666"/>
        <w:gridCol w:w="5004"/>
      </w:tblGrid>
      <w:tr w14:paraId="70EB4E3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CDCB59F">
            <w:pPr>
              <w:widowControl/>
              <w:spacing w:line="276" w:lineRule="auto"/>
              <w:jc w:val="center"/>
              <w:rPr>
                <w:rFonts w:ascii="宋体" w:hAnsi="宋体" w:cs="宋体"/>
                <w:kern w:val="0"/>
                <w:sz w:val="24"/>
              </w:rPr>
            </w:pPr>
            <w:r>
              <w:rPr>
                <w:rFonts w:ascii="宋体" w:hAnsi="宋体" w:cs="宋体"/>
                <w:kern w:val="0"/>
                <w:sz w:val="24"/>
              </w:rPr>
              <w:t>支付期次</w:t>
            </w:r>
          </w:p>
        </w:tc>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F78AD9D">
            <w:pPr>
              <w:widowControl/>
              <w:spacing w:line="276" w:lineRule="auto"/>
              <w:jc w:val="center"/>
              <w:rPr>
                <w:rFonts w:hint="eastAsia" w:ascii="宋体" w:hAnsi="宋体" w:cs="宋体" w:eastAsiaTheme="minorEastAsia"/>
                <w:kern w:val="0"/>
                <w:sz w:val="24"/>
                <w:lang w:eastAsia="zh-CN"/>
              </w:rPr>
            </w:pPr>
            <w:r>
              <w:rPr>
                <w:rFonts w:ascii="宋体" w:hAnsi="宋体" w:cs="宋体"/>
                <w:kern w:val="0"/>
                <w:sz w:val="24"/>
              </w:rPr>
              <w:t>支付比例</w:t>
            </w:r>
            <w:r>
              <w:rPr>
                <w:rFonts w:hint="eastAsia" w:ascii="宋体" w:hAnsi="宋体" w:cs="宋体"/>
                <w:kern w:val="0"/>
                <w:sz w:val="24"/>
                <w:lang w:eastAsia="zh-CN"/>
              </w:rPr>
              <w:t>（</w:t>
            </w:r>
            <w:r>
              <w:rPr>
                <w:rFonts w:ascii="宋体" w:hAnsi="宋体" w:cs="宋体"/>
                <w:kern w:val="0"/>
                <w:sz w:val="24"/>
              </w:rPr>
              <w:t>%</w:t>
            </w:r>
            <w:r>
              <w:rPr>
                <w:rFonts w:hint="eastAsia" w:ascii="宋体" w:hAnsi="宋体" w:cs="宋体"/>
                <w:kern w:val="0"/>
                <w:sz w:val="24"/>
                <w:lang w:eastAsia="zh-CN"/>
              </w:rPr>
              <w:t>）</w:t>
            </w:r>
          </w:p>
        </w:tc>
        <w:tc>
          <w:tcPr>
            <w:tcW w:w="300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B0B2BB5">
            <w:pPr>
              <w:widowControl/>
              <w:spacing w:line="276" w:lineRule="auto"/>
              <w:jc w:val="center"/>
              <w:rPr>
                <w:rFonts w:ascii="宋体" w:hAnsi="宋体" w:cs="宋体"/>
                <w:kern w:val="0"/>
                <w:sz w:val="24"/>
              </w:rPr>
            </w:pPr>
            <w:r>
              <w:rPr>
                <w:rFonts w:ascii="宋体" w:hAnsi="宋体" w:cs="宋体"/>
                <w:kern w:val="0"/>
                <w:sz w:val="24"/>
              </w:rPr>
              <w:t>支付期次说明</w:t>
            </w:r>
          </w:p>
        </w:tc>
      </w:tr>
      <w:tr w14:paraId="5EA7493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7DD42E2E">
            <w:pPr>
              <w:widowControl/>
              <w:spacing w:line="276" w:lineRule="auto"/>
              <w:jc w:val="center"/>
              <w:rPr>
                <w:rFonts w:ascii="宋体" w:hAnsi="宋体" w:cs="宋体"/>
                <w:kern w:val="0"/>
                <w:sz w:val="24"/>
              </w:rPr>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9E8FD51">
            <w:pPr>
              <w:spacing w:line="276" w:lineRule="auto"/>
              <w:jc w:val="center"/>
              <w:rPr>
                <w:rFonts w:ascii="宋体" w:hAnsi="宋体"/>
                <w:sz w:val="24"/>
              </w:rPr>
            </w:pPr>
            <w:r>
              <w:rPr>
                <w:rFonts w:ascii="宋体" w:hAnsi="宋体"/>
                <w:sz w:val="24"/>
              </w:rPr>
              <w:t>50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3D642C35">
            <w:pPr>
              <w:spacing w:line="276" w:lineRule="auto"/>
              <w:jc w:val="left"/>
              <w:rPr>
                <w:rFonts w:ascii="宋体" w:hAnsi="宋体"/>
                <w:sz w:val="24"/>
              </w:rPr>
            </w:pPr>
            <w:r>
              <w:rPr>
                <w:rFonts w:hint="eastAsia" w:ascii="宋体" w:hAnsi="宋体"/>
                <w:sz w:val="24"/>
              </w:rPr>
              <w:t>合同签订后</w:t>
            </w:r>
            <w:r>
              <w:rPr>
                <w:rFonts w:hint="eastAsia" w:ascii="宋体" w:hAnsi="宋体"/>
                <w:sz w:val="24"/>
                <w:lang w:eastAsia="zh-CN"/>
              </w:rPr>
              <w:t>，</w:t>
            </w:r>
            <w:r>
              <w:rPr>
                <w:rFonts w:hint="eastAsia" w:ascii="宋体" w:hAnsi="宋体"/>
                <w:sz w:val="24"/>
              </w:rPr>
              <w:t>达到付款条件起30日，支付合同总金额的50%。</w:t>
            </w:r>
          </w:p>
        </w:tc>
      </w:tr>
      <w:tr w14:paraId="413D92A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E69D809">
            <w:pPr>
              <w:widowControl/>
              <w:spacing w:line="276" w:lineRule="auto"/>
              <w:jc w:val="center"/>
              <w:rPr>
                <w:rFonts w:ascii="宋体" w:hAnsi="宋体" w:cs="宋体"/>
                <w:kern w:val="0"/>
                <w:sz w:val="24"/>
              </w:rPr>
            </w:pPr>
            <w:r>
              <w:rPr>
                <w:rFonts w:ascii="宋体" w:hAnsi="宋体" w:cs="宋体"/>
                <w:kern w:val="0"/>
                <w:sz w:val="24"/>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4760E345">
            <w:pPr>
              <w:spacing w:line="276" w:lineRule="auto"/>
              <w:jc w:val="center"/>
              <w:rPr>
                <w:rFonts w:ascii="宋体" w:hAnsi="宋体"/>
                <w:sz w:val="24"/>
              </w:rPr>
            </w:pPr>
            <w:r>
              <w:rPr>
                <w:rFonts w:ascii="宋体" w:hAnsi="宋体"/>
                <w:sz w:val="24"/>
              </w:rPr>
              <w:t>根据实际情况</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14:paraId="23B28DB1">
            <w:pPr>
              <w:spacing w:line="276" w:lineRule="auto"/>
              <w:jc w:val="left"/>
              <w:rPr>
                <w:rFonts w:ascii="宋体" w:hAnsi="宋体"/>
                <w:sz w:val="24"/>
              </w:rPr>
            </w:pPr>
            <w:r>
              <w:rPr>
                <w:rFonts w:hint="eastAsia" w:ascii="宋体" w:hAnsi="宋体"/>
                <w:sz w:val="24"/>
              </w:rPr>
              <w:t>项目完成验收后，达到付款条件起30日，支付合同总金额的50%</w:t>
            </w:r>
            <w:r>
              <w:rPr>
                <w:rFonts w:hint="eastAsia" w:ascii="宋体" w:hAnsi="宋体"/>
                <w:sz w:val="24"/>
                <w:lang w:eastAsia="zh-CN"/>
              </w:rPr>
              <w:t>（</w:t>
            </w:r>
            <w:r>
              <w:rPr>
                <w:rFonts w:hint="eastAsia" w:ascii="宋体" w:hAnsi="宋体"/>
                <w:sz w:val="24"/>
              </w:rPr>
              <w:t>如有考核不达标的情况，采购人根据服务质量考核情况向中标人支付剩余款项</w:t>
            </w:r>
            <w:r>
              <w:rPr>
                <w:rFonts w:hint="eastAsia" w:ascii="宋体" w:hAnsi="宋体"/>
                <w:sz w:val="24"/>
                <w:lang w:eastAsia="zh-CN"/>
              </w:rPr>
              <w:t>）</w:t>
            </w:r>
            <w:r>
              <w:rPr>
                <w:rFonts w:hint="eastAsia" w:ascii="宋体" w:hAnsi="宋体"/>
                <w:sz w:val="24"/>
              </w:rPr>
              <w:t>。</w:t>
            </w:r>
          </w:p>
        </w:tc>
      </w:tr>
    </w:tbl>
    <w:p w14:paraId="03CFF27F">
      <w:pPr>
        <w:spacing w:line="276" w:lineRule="auto"/>
        <w:jc w:val="left"/>
        <w:rPr>
          <w:rFonts w:ascii="宋体" w:hAnsi="宋体"/>
          <w:sz w:val="24"/>
        </w:rPr>
      </w:pPr>
    </w:p>
    <w:p w14:paraId="42140516">
      <w:pPr>
        <w:spacing w:line="514" w:lineRule="exact"/>
        <w:ind w:firstLine="640" w:firstLineChars="200"/>
        <w:rPr>
          <w:rFonts w:ascii="仿宋_GB2312" w:hAnsi="仿宋_GB2312" w:eastAsia="仿宋_GB2312" w:cs="仿宋_GB2312"/>
          <w:sz w:val="32"/>
          <w:szCs w:val="32"/>
        </w:rPr>
      </w:pPr>
    </w:p>
    <w:sectPr>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2D58">
    <w:pPr>
      <w:jc w:val="center"/>
      <w:rPr>
        <w:rFonts w:ascii="Calibri" w:hAnsi="Calibri" w:eastAsia="宋体"/>
        <w:kern w:val="0"/>
        <w:szCs w:val="21"/>
      </w:rPr>
    </w:pPr>
    <w:r>
      <w:rPr>
        <w:rFonts w:hint="eastAsia" w:ascii="Calibri" w:hAnsi="Calibri" w:eastAsia="宋体" w:cs="Times New Roman"/>
        <w:kern w:val="0"/>
        <w:szCs w:val="21"/>
      </w:rPr>
      <w:t xml:space="preserve">— </w:t>
    </w:r>
    <w:r>
      <w:rPr>
        <w:rFonts w:ascii="Calibri" w:hAnsi="Calibri" w:eastAsia="宋体"/>
        <w:kern w:val="0"/>
        <w:szCs w:val="21"/>
      </w:rPr>
      <w:fldChar w:fldCharType="begin"/>
    </w:r>
    <w:r>
      <w:rPr>
        <w:rFonts w:ascii="Calibri" w:hAnsi="Calibri" w:eastAsia="宋体" w:cs="Times New Roman"/>
        <w:kern w:val="0"/>
        <w:szCs w:val="21"/>
      </w:rPr>
      <w:instrText xml:space="preserve">PAGE   \* MERGEFORMAT</w:instrText>
    </w:r>
    <w:r>
      <w:rPr>
        <w:rFonts w:ascii="Calibri" w:hAnsi="Calibri" w:eastAsia="宋体"/>
        <w:kern w:val="0"/>
        <w:szCs w:val="21"/>
      </w:rPr>
      <w:fldChar w:fldCharType="separate"/>
    </w:r>
    <w:r>
      <w:rPr>
        <w:rFonts w:ascii="Calibri" w:hAnsi="Calibri" w:eastAsia="宋体"/>
        <w:kern w:val="0"/>
        <w:szCs w:val="21"/>
        <w:lang w:val="zh-CN"/>
      </w:rPr>
      <w:t>3</w:t>
    </w:r>
    <w:r>
      <w:rPr>
        <w:rFonts w:ascii="Calibri" w:hAnsi="Calibri" w:eastAsia="宋体"/>
        <w:kern w:val="0"/>
        <w:szCs w:val="21"/>
      </w:rPr>
      <w:fldChar w:fldCharType="end"/>
    </w:r>
    <w:r>
      <w:rPr>
        <w:rFonts w:hint="eastAsia" w:ascii="Calibri" w:hAnsi="Calibri" w:eastAsia="宋体" w:cs="Times New Roman"/>
        <w:kern w:val="0"/>
        <w:szCs w:val="21"/>
      </w:rPr>
      <w:t xml:space="preserve"> —</w:t>
    </w:r>
  </w:p>
  <w:p w14:paraId="63D0A52A">
    <w:pPr>
      <w:ind w:right="360" w:firstLine="360"/>
      <w:jc w:val="left"/>
      <w:rPr>
        <w:rFonts w:ascii="Calibri" w:hAnsi="Calibri" w:eastAsia="宋体"/>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71AE">
    <w:pPr>
      <w:pStyle w:val="4"/>
    </w:pPr>
  </w:p>
  <w:p w14:paraId="070CBF51">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81F0">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7</w:t>
    </w:r>
    <w:r>
      <w:rPr>
        <w:rStyle w:val="9"/>
        <w:rFonts w:ascii="宋体" w:hAnsi="宋体"/>
        <w:sz w:val="28"/>
        <w:szCs w:val="28"/>
      </w:rPr>
      <w:fldChar w:fldCharType="end"/>
    </w:r>
    <w:r>
      <w:rPr>
        <w:rStyle w:val="9"/>
        <w:rFonts w:hint="eastAsia" w:ascii="宋体" w:hAnsi="宋体"/>
        <w:sz w:val="28"/>
        <w:szCs w:val="28"/>
      </w:rPr>
      <w:t xml:space="preserve"> — </w:t>
    </w:r>
  </w:p>
  <w:p w14:paraId="1D4F594C">
    <w:pPr>
      <w:pStyle w:val="4"/>
      <w:ind w:right="360" w:firstLine="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99441"/>
      <w:docPartObj>
        <w:docPartGallery w:val="autotext"/>
      </w:docPartObj>
    </w:sdtPr>
    <w:sdtContent>
      <w:p w14:paraId="4D21A705">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4648F12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yZjQ0NTdkODkxNmZmZGI5NzMwNzY1NTlkZjlkMGQifQ=="/>
  </w:docVars>
  <w:rsids>
    <w:rsidRoot w:val="53B52B8D"/>
    <w:rsid w:val="00045877"/>
    <w:rsid w:val="000B30A8"/>
    <w:rsid w:val="00156777"/>
    <w:rsid w:val="001A1E67"/>
    <w:rsid w:val="00242B6C"/>
    <w:rsid w:val="00287591"/>
    <w:rsid w:val="00353E74"/>
    <w:rsid w:val="00407367"/>
    <w:rsid w:val="00433CB9"/>
    <w:rsid w:val="00460385"/>
    <w:rsid w:val="00513035"/>
    <w:rsid w:val="00564A21"/>
    <w:rsid w:val="006202D7"/>
    <w:rsid w:val="006F7CB4"/>
    <w:rsid w:val="007348DE"/>
    <w:rsid w:val="008E3588"/>
    <w:rsid w:val="008F6832"/>
    <w:rsid w:val="008F7436"/>
    <w:rsid w:val="0092560B"/>
    <w:rsid w:val="00947D62"/>
    <w:rsid w:val="009648BE"/>
    <w:rsid w:val="0099516C"/>
    <w:rsid w:val="009B6197"/>
    <w:rsid w:val="00A42FD0"/>
    <w:rsid w:val="00A43F3A"/>
    <w:rsid w:val="00A518FF"/>
    <w:rsid w:val="00B720AC"/>
    <w:rsid w:val="00C93500"/>
    <w:rsid w:val="00CB0E8E"/>
    <w:rsid w:val="00CC6A00"/>
    <w:rsid w:val="00D3262C"/>
    <w:rsid w:val="00DA4AE8"/>
    <w:rsid w:val="00E0077E"/>
    <w:rsid w:val="00E225E3"/>
    <w:rsid w:val="00F80A97"/>
    <w:rsid w:val="00FD4918"/>
    <w:rsid w:val="177F50ED"/>
    <w:rsid w:val="1E824176"/>
    <w:rsid w:val="2043270B"/>
    <w:rsid w:val="45D84BCB"/>
    <w:rsid w:val="527A5FDF"/>
    <w:rsid w:val="53B52B8D"/>
    <w:rsid w:val="5B246142"/>
    <w:rsid w:val="651006B1"/>
    <w:rsid w:val="6964112F"/>
    <w:rsid w:val="76185E4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toc 5"/>
    <w:basedOn w:val="1"/>
    <w:next w:val="1"/>
    <w:qFormat/>
    <w:uiPriority w:val="0"/>
    <w:pPr>
      <w:adjustRightInd w:val="0"/>
      <w:snapToGrid w:val="0"/>
      <w:spacing w:line="594" w:lineRule="exact"/>
      <w:ind w:left="1680" w:leftChars="800"/>
    </w:pPr>
    <w:rPr>
      <w:rFonts w:ascii="Calibri" w:hAnsi="Calibri" w:eastAsia="宋体" w:cs="Times New Roman"/>
      <w:sz w:val="3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5"/>
    <w:unhideWhenUsed/>
    <w:qFormat/>
    <w:uiPriority w:val="99"/>
    <w:pPr>
      <w:adjustRightInd w:val="0"/>
      <w:snapToGrid w:val="0"/>
      <w:ind w:firstLine="420" w:firstLineChars="200"/>
    </w:pPr>
    <w:rPr>
      <w:rFonts w:ascii="Times New Roman" w:hAnsi="Times New Roman" w:eastAsia="方正仿宋简体" w:cs="Times New Roman"/>
      <w:sz w:val="28"/>
    </w:rPr>
  </w:style>
  <w:style w:type="character" w:styleId="9">
    <w:name w:val="page number"/>
    <w:qFormat/>
    <w:uiPriority w:val="0"/>
  </w:style>
  <w:style w:type="character" w:styleId="10">
    <w:name w:val="Hyperlink"/>
    <w:basedOn w:val="8"/>
    <w:qFormat/>
    <w:uiPriority w:val="0"/>
    <w:rPr>
      <w:color w:val="0563C1" w:themeColor="hyperlink"/>
      <w:u w:val="single"/>
    </w:rPr>
  </w:style>
  <w:style w:type="paragraph" w:customStyle="1" w:styleId="11">
    <w:name w:val="null3"/>
    <w:hidden/>
    <w:qFormat/>
    <w:uiPriority w:val="0"/>
    <w:rPr>
      <w:rFonts w:hint="eastAsia" w:asciiTheme="minorHAnsi" w:hAnsiTheme="minorHAnsi" w:eastAsiaTheme="minorEastAsia" w:cstheme="minorBidi"/>
      <w:lang w:val="en-US" w:eastAsia="zh-CN" w:bidi="ar-SA"/>
    </w:r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99"/>
    <w:rPr>
      <w:kern w:val="2"/>
      <w:sz w:val="18"/>
      <w:szCs w:val="18"/>
    </w:rPr>
  </w:style>
  <w:style w:type="character" w:customStyle="1" w:styleId="14">
    <w:name w:val="正文文本缩进 Char"/>
    <w:basedOn w:val="8"/>
    <w:link w:val="2"/>
    <w:qFormat/>
    <w:uiPriority w:val="0"/>
    <w:rPr>
      <w:kern w:val="2"/>
      <w:sz w:val="21"/>
      <w:szCs w:val="24"/>
    </w:rPr>
  </w:style>
  <w:style w:type="character" w:customStyle="1" w:styleId="15">
    <w:name w:val="正文首行缩进 2 Char"/>
    <w:basedOn w:val="14"/>
    <w:link w:val="6"/>
    <w:qFormat/>
    <w:uiPriority w:val="99"/>
    <w:rPr>
      <w:rFonts w:ascii="Times New Roman" w:hAnsi="Times New Roman" w:eastAsia="方正仿宋简体" w:cs="Times New Roman"/>
      <w:kern w:val="2"/>
      <w:sz w:val="28"/>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5307</Words>
  <Characters>5460</Characters>
  <Lines>56</Lines>
  <Paragraphs>15</Paragraphs>
  <TotalTime>23</TotalTime>
  <ScaleCrop>false</ScaleCrop>
  <LinksUpToDate>false</LinksUpToDate>
  <CharactersWithSpaces>5463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苏林伟</cp:lastModifiedBy>
  <cp:lastPrinted>2024-06-14T08:51:00Z</cp:lastPrinted>
  <dcterms:modified xsi:type="dcterms:W3CDTF">2025-10-27T08:13:58Z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ABEBB09419F74AA0B7308F5FE18F5ED5_12</vt:lpwstr>
  </property>
  <property fmtid="{D5CDD505-2E9C-101B-9397-08002B2CF9AE}" pid="4" name="KSOTemplateDocerSaveRecord">
    <vt:lpwstr>eyJoZGlkIjoiY2YyMzBiMTJkYzgwMmM4NmRkZWZmYzQ3ZDNjZDQwNTMiLCJ1c2VySWQiOiIzMjk5MDc3NzIifQ==</vt:lpwstr>
  </property>
</Properties>
</file>