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keepLines/>
        <w:pageBreakBefore w:val="0"/>
        <w:numPr>
          <w:ilvl w:val="-1"/>
          <w:numId w:val="0"/>
        </w:numPr>
        <w:spacing w:beforeAutospacing="0" w:afterAutospacing="0" w:line="360" w:lineRule="auto"/>
        <w:ind w:left="0"/>
        <w:jc w:val="center"/>
        <w:outlineLvl w:val="0"/>
        <w:rPr>
          <w:rFonts w:hint="default" w:ascii="宋体" w:hAnsi="宋体" w:eastAsia="宋体"/>
          <w:b/>
          <w:bCs w:val="0"/>
          <w:color w:val="000000" w:themeColor="text1"/>
          <w:sz w:val="44"/>
          <w:szCs w:val="44"/>
          <w14:textFill>
            <w14:solidFill>
              <w14:schemeClr w14:val="tx1"/>
            </w14:solidFill>
          </w14:textFill>
        </w:rPr>
      </w:pPr>
      <w:r>
        <w:rPr>
          <w:rFonts w:hint="eastAsia" w:ascii="宋体" w:hAnsi="宋体" w:eastAsia="宋体"/>
          <w:b/>
          <w:bCs w:val="0"/>
          <w:color w:val="000000" w:themeColor="text1"/>
          <w:sz w:val="44"/>
          <w:szCs w:val="44"/>
          <w:lang w:eastAsia="zh-CN"/>
          <w14:textFill>
            <w14:solidFill>
              <w14:schemeClr w14:val="tx1"/>
            </w14:solidFill>
          </w14:textFill>
        </w:rPr>
        <w:t>2024</w:t>
      </w:r>
      <w:r>
        <w:rPr>
          <w:rFonts w:hint="eastAsia" w:ascii="宋体" w:hAnsi="宋体" w:eastAsia="宋体"/>
          <w:b/>
          <w:bCs w:val="0"/>
          <w:color w:val="000000" w:themeColor="text1"/>
          <w:sz w:val="44"/>
          <w:szCs w:val="44"/>
          <w14:textFill>
            <w14:solidFill>
              <w14:schemeClr w14:val="tx1"/>
            </w14:solidFill>
          </w14:textFill>
        </w:rPr>
        <w:t>年网络安全总集服务要求</w:t>
      </w:r>
    </w:p>
    <w:p>
      <w:pPr>
        <w:outlineLvl w:val="9"/>
        <w:rPr>
          <w:rFonts w:hint="eastAsia" w:ascii="宋体" w:hAnsi="宋体"/>
          <w:b/>
          <w:color w:val="000000"/>
          <w:sz w:val="30"/>
          <w:szCs w:val="3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360" w:lineRule="auto"/>
        <w:ind w:left="0" w:right="0" w:firstLine="0"/>
        <w:jc w:val="both"/>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一、项目概况（采购标的）</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根据相关工作要求，</w:t>
      </w:r>
      <w:r>
        <w:rPr>
          <w:rFonts w:hint="eastAsia" w:ascii="宋体" w:hAnsi="宋体" w:eastAsia="宋体" w:cs="宋体"/>
          <w:color w:val="auto"/>
          <w:sz w:val="24"/>
          <w:szCs w:val="24"/>
          <w:lang w:val="en-US" w:eastAsia="zh-CN"/>
        </w:rPr>
        <w:t>福建</w:t>
      </w:r>
      <w:r>
        <w:rPr>
          <w:rFonts w:hint="eastAsia" w:ascii="宋体" w:hAnsi="宋体" w:eastAsia="宋体" w:cs="宋体"/>
          <w:color w:val="auto"/>
          <w:sz w:val="24"/>
          <w:szCs w:val="24"/>
        </w:rPr>
        <w:t>省市场监督管理局非涉密业务系统已迁移整合至福州市长乐区数字福建产业园内的数字福建云计算中心（政务云）。福建省市场监督管理局</w:t>
      </w:r>
      <w:r>
        <w:rPr>
          <w:rFonts w:hint="eastAsia" w:ascii="宋体" w:hAnsi="宋体" w:eastAsia="宋体" w:cs="宋体"/>
          <w:color w:val="auto"/>
          <w:sz w:val="24"/>
          <w:szCs w:val="24"/>
          <w:lang w:val="en-US" w:eastAsia="zh-CN"/>
        </w:rPr>
        <w:t>所有</w:t>
      </w:r>
      <w:r>
        <w:rPr>
          <w:rFonts w:hint="eastAsia" w:ascii="宋体" w:hAnsi="宋体" w:eastAsia="宋体" w:cs="宋体"/>
          <w:color w:val="auto"/>
          <w:sz w:val="24"/>
          <w:szCs w:val="24"/>
        </w:rPr>
        <w:t>业务（含智慧一体化平台）</w:t>
      </w:r>
      <w:r>
        <w:rPr>
          <w:rFonts w:hint="eastAsia" w:ascii="宋体" w:hAnsi="宋体" w:eastAsia="宋体" w:cs="宋体"/>
          <w:color w:val="auto"/>
          <w:sz w:val="24"/>
          <w:szCs w:val="24"/>
          <w:lang w:val="en-US" w:eastAsia="zh-CN"/>
        </w:rPr>
        <w:t>均</w:t>
      </w:r>
      <w:r>
        <w:rPr>
          <w:rFonts w:hint="eastAsia" w:ascii="宋体" w:hAnsi="宋体" w:eastAsia="宋体" w:cs="宋体"/>
          <w:color w:val="auto"/>
          <w:sz w:val="24"/>
          <w:szCs w:val="24"/>
        </w:rPr>
        <w:t>部署在省级电子政务云平台上。</w:t>
      </w:r>
    </w:p>
    <w:p>
      <w:pPr>
        <w:pStyle w:val="13"/>
        <w:widowControl/>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目前，福建省市场监督管理局采购的</w:t>
      </w:r>
      <w:r>
        <w:rPr>
          <w:rFonts w:hint="eastAsia" w:ascii="宋体" w:hAnsi="宋体" w:eastAsia="宋体" w:cs="宋体"/>
          <w:b w:val="0"/>
          <w:bCs w:val="0"/>
          <w:color w:val="auto"/>
          <w:sz w:val="24"/>
          <w:szCs w:val="24"/>
          <w:lang w:eastAsia="zh-CN"/>
        </w:rPr>
        <w:t>2023</w:t>
      </w:r>
      <w:r>
        <w:rPr>
          <w:rFonts w:hint="eastAsia" w:ascii="宋体" w:hAnsi="宋体" w:eastAsia="宋体" w:cs="宋体"/>
          <w:b w:val="0"/>
          <w:bCs w:val="0"/>
          <w:color w:val="auto"/>
          <w:sz w:val="24"/>
          <w:szCs w:val="24"/>
        </w:rPr>
        <w:t>年度网络安全保障服务即将到期，为确保安全的持续性，福建省市场监督管理局需向专业的安全服务商采购新一年度网络安全保障服务，确保我局云上应用系统安全。</w:t>
      </w:r>
    </w:p>
    <w:p>
      <w:pPr>
        <w:pageBreakBefore w:val="0"/>
        <w:kinsoku/>
        <w:wordWrap/>
        <w:overflowPunct/>
        <w:topLinePunct w:val="0"/>
        <w:bidi w:val="0"/>
        <w:spacing w:line="360" w:lineRule="auto"/>
        <w:rPr>
          <w:rFonts w:hint="default" w:eastAsia="宋体"/>
          <w:lang w:val="en-US" w:eastAsia="zh-CN"/>
        </w:rPr>
      </w:pPr>
      <w:r>
        <w:rPr>
          <w:rFonts w:hint="eastAsia" w:ascii="宋体" w:hAnsi="宋体" w:eastAsia="宋体" w:cs="宋体"/>
          <w:b w:val="0"/>
          <w:bCs w:val="0"/>
          <w:color w:val="auto"/>
          <w:sz w:val="24"/>
          <w:szCs w:val="24"/>
          <w:lang w:val="en-US" w:eastAsia="zh-CN"/>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360" w:lineRule="auto"/>
        <w:ind w:leftChars="0" w:right="0" w:rightChars="0"/>
        <w:jc w:val="both"/>
        <w:outlineLvl w:val="2"/>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lang w:val="en-US" w:eastAsia="zh-CN"/>
        </w:rPr>
        <w:t>二、</w:t>
      </w:r>
      <w:r>
        <w:rPr>
          <w:rFonts w:hint="eastAsia" w:ascii="宋体" w:hAnsi="宋体" w:eastAsia="宋体" w:cs="宋体"/>
          <w:b/>
          <w:bCs/>
          <w:i w:val="0"/>
          <w:iCs w:val="0"/>
          <w:caps w:val="0"/>
          <w:color w:val="auto"/>
          <w:spacing w:val="0"/>
          <w:sz w:val="24"/>
          <w:szCs w:val="24"/>
          <w:shd w:val="clear" w:fill="FFFFFF"/>
        </w:rPr>
        <w:t>技术和服务要求（以“★”标示的内容为不允许负偏离的实质性要求）</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一</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网络安全合规体系建设服务</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w:t>
      </w:r>
      <w:r>
        <w:rPr>
          <w:rFonts w:hint="eastAsia" w:ascii="宋体" w:hAnsi="宋体" w:eastAsia="宋体" w:cs="宋体"/>
          <w:b/>
          <w:bCs/>
          <w:color w:val="auto"/>
          <w:sz w:val="24"/>
          <w:szCs w:val="24"/>
        </w:rPr>
        <w:t>1.等保定级咨询服务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根据等级保护工作需求，协助</w:t>
      </w:r>
      <w:r>
        <w:rPr>
          <w:rFonts w:hint="eastAsia" w:ascii="宋体" w:hAnsi="宋体" w:eastAsia="宋体" w:cs="宋体"/>
          <w:color w:val="auto"/>
          <w:sz w:val="24"/>
          <w:szCs w:val="24"/>
          <w:lang w:val="en-US" w:eastAsia="zh-CN"/>
        </w:rPr>
        <w:t>省</w:t>
      </w:r>
      <w:r>
        <w:rPr>
          <w:rFonts w:hint="eastAsia" w:ascii="宋体" w:hAnsi="宋体" w:eastAsia="宋体" w:cs="宋体"/>
          <w:color w:val="auto"/>
          <w:sz w:val="24"/>
          <w:szCs w:val="24"/>
        </w:rPr>
        <w:t>市场监督管理局确定信息系统遭受破坏时的影响范围及影响程度，确定信息系统安全保护等级，撰写信息系统定级报告。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（项号2）</w:t>
      </w:r>
      <w:r>
        <w:rPr>
          <w:rFonts w:hint="eastAsia" w:ascii="宋体" w:hAnsi="宋体" w:eastAsia="宋体" w:cs="宋体"/>
          <w:b/>
          <w:bCs/>
          <w:color w:val="auto"/>
          <w:sz w:val="24"/>
          <w:szCs w:val="24"/>
        </w:rPr>
        <w:t>2.云等保资产分析服务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根据服务范围的应用组成，指导并配合相关运维、应用开发商整理系统的主机、应用及相关联的资产，编制信息系统资产清单及资产报告。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（项号3）</w:t>
      </w:r>
      <w:r>
        <w:rPr>
          <w:rFonts w:hint="eastAsia" w:ascii="宋体" w:hAnsi="宋体" w:eastAsia="宋体" w:cs="宋体"/>
          <w:b/>
          <w:bCs/>
          <w:color w:val="auto"/>
          <w:sz w:val="24"/>
          <w:szCs w:val="24"/>
        </w:rPr>
        <w:t>3.安全规划与设计服务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对服务范围内信息系统按照相应等级保护要求进行差距分析，形成差距分析报告，对其中不满足或不完全满足要求部分提出整改措施，形成信息系统等级保护整改设计方案。</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（项号4）</w:t>
      </w:r>
      <w:r>
        <w:rPr>
          <w:rFonts w:hint="eastAsia" w:ascii="宋体" w:hAnsi="宋体" w:eastAsia="宋体" w:cs="宋体"/>
          <w:b/>
          <w:bCs/>
          <w:color w:val="auto"/>
          <w:sz w:val="24"/>
          <w:szCs w:val="24"/>
        </w:rPr>
        <w:t>4.云等保安全整改服务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根据差距分析报告及整改设 计方案对服务范围内信息系统协助运维及开发人员进行整改加固，提交信息系统安全整改加固报告。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（项号5）</w:t>
      </w:r>
      <w:r>
        <w:rPr>
          <w:rFonts w:hint="eastAsia" w:ascii="宋体" w:hAnsi="宋体" w:eastAsia="宋体" w:cs="宋体"/>
          <w:b/>
          <w:bCs/>
          <w:color w:val="auto"/>
          <w:sz w:val="24"/>
          <w:szCs w:val="24"/>
        </w:rPr>
        <w:t>5.云等保管理制度建设辅导服务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辅助</w:t>
      </w:r>
      <w:r>
        <w:rPr>
          <w:rFonts w:hint="eastAsia" w:ascii="宋体" w:hAnsi="宋体" w:eastAsia="宋体" w:cs="宋体"/>
          <w:color w:val="auto"/>
          <w:sz w:val="24"/>
          <w:szCs w:val="24"/>
          <w:lang w:val="en-US" w:eastAsia="zh-CN"/>
        </w:rPr>
        <w:t>省</w:t>
      </w:r>
      <w:r>
        <w:rPr>
          <w:rFonts w:hint="eastAsia" w:ascii="宋体" w:hAnsi="宋体" w:eastAsia="宋体" w:cs="宋体"/>
          <w:color w:val="auto"/>
          <w:sz w:val="24"/>
          <w:szCs w:val="24"/>
        </w:rPr>
        <w:t>市场监督管理局编写方针、制度、各类记录表格模板在内的三层结构的安全管理制度，达到等级保护测评要求。</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（项号6）</w:t>
      </w:r>
      <w:r>
        <w:rPr>
          <w:rFonts w:hint="eastAsia" w:ascii="宋体" w:hAnsi="宋体" w:eastAsia="宋体" w:cs="宋体"/>
          <w:b/>
          <w:bCs/>
          <w:color w:val="auto"/>
          <w:sz w:val="24"/>
          <w:szCs w:val="24"/>
        </w:rPr>
        <w:t>6.云等保测评辅助服务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托管云平台的等级保护测评数据采集服务，在服务期内，</w:t>
      </w:r>
      <w:r>
        <w:rPr>
          <w:rFonts w:hint="eastAsia" w:ascii="宋体" w:hAnsi="宋体" w:eastAsia="宋体" w:cs="宋体"/>
          <w:color w:val="auto"/>
          <w:sz w:val="24"/>
          <w:szCs w:val="24"/>
          <w:lang w:val="en-US" w:eastAsia="zh-CN"/>
        </w:rPr>
        <w:t>省</w:t>
      </w:r>
      <w:r>
        <w:rPr>
          <w:rFonts w:hint="eastAsia" w:ascii="宋体" w:hAnsi="宋体" w:eastAsia="宋体" w:cs="宋体"/>
          <w:color w:val="auto"/>
          <w:sz w:val="24"/>
          <w:szCs w:val="24"/>
        </w:rPr>
        <w:t>市场监督管理局如有申请测评，安全服务商将协助配合测评方完成测评中数据采集等工作，直至备案系统通过等级测评。</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（项号7）</w:t>
      </w:r>
      <w:r>
        <w:rPr>
          <w:rFonts w:hint="eastAsia" w:ascii="宋体" w:hAnsi="宋体" w:eastAsia="宋体" w:cs="宋体"/>
          <w:b/>
          <w:bCs/>
          <w:color w:val="auto"/>
          <w:sz w:val="24"/>
          <w:szCs w:val="24"/>
        </w:rPr>
        <w:t>7.云等保备案咨询服务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协助填写《信息系统安全等级保护备案表》等材料，完成备案工作。</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服务频次：按需</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FF0000"/>
          <w:sz w:val="24"/>
          <w:szCs w:val="24"/>
        </w:rPr>
      </w:pPr>
      <w:r>
        <w:rPr>
          <w:rFonts w:hint="eastAsia" w:ascii="宋体" w:hAnsi="宋体" w:eastAsia="宋体" w:cs="宋体"/>
          <w:b/>
          <w:bCs/>
          <w:color w:val="FF0000"/>
          <w:sz w:val="24"/>
          <w:szCs w:val="24"/>
          <w:lang w:val="en-US" w:eastAsia="zh-CN"/>
        </w:rPr>
        <w:t>（项号8）8</w:t>
      </w:r>
      <w:r>
        <w:rPr>
          <w:rFonts w:hint="eastAsia" w:ascii="宋体" w:hAnsi="宋体" w:eastAsia="宋体" w:cs="宋体"/>
          <w:b/>
          <w:bCs/>
          <w:color w:val="FF0000"/>
          <w:sz w:val="24"/>
          <w:szCs w:val="24"/>
        </w:rPr>
        <w:t>.</w:t>
      </w:r>
      <w:r>
        <w:rPr>
          <w:rFonts w:hint="eastAsia" w:ascii="宋体" w:hAnsi="宋体" w:eastAsia="宋体" w:cs="宋体"/>
          <w:b/>
          <w:bCs/>
          <w:color w:val="FF0000"/>
          <w:sz w:val="24"/>
          <w:lang w:val="en-US" w:eastAsia="zh-CN"/>
        </w:rPr>
        <w:t>等保测评服务</w:t>
      </w:r>
    </w:p>
    <w:p>
      <w:pPr>
        <w:pStyle w:val="13"/>
        <w:spacing w:beforeAutospacing="0" w:afterAutospacing="0" w:line="360" w:lineRule="auto"/>
        <w:ind w:firstLine="480" w:firstLineChars="200"/>
        <w:rPr>
          <w:rFonts w:hint="eastAsia" w:ascii="宋体" w:hAnsi="宋体" w:eastAsia="宋体" w:cs="宋体"/>
          <w:b w:val="0"/>
          <w:color w:val="FF0000"/>
          <w:sz w:val="24"/>
          <w:szCs w:val="24"/>
          <w:lang w:val="en-US" w:eastAsia="zh-CN" w:bidi="ar-SA"/>
        </w:rPr>
      </w:pPr>
      <w:r>
        <w:rPr>
          <w:rFonts w:hint="eastAsia" w:ascii="宋体" w:hAnsi="宋体" w:eastAsia="宋体" w:cs="宋体"/>
          <w:b w:val="0"/>
          <w:color w:val="FF0000"/>
          <w:sz w:val="24"/>
          <w:szCs w:val="24"/>
          <w:lang w:val="en-US" w:eastAsia="zh-CN" w:bidi="ar-SA"/>
        </w:rPr>
        <w:t>在服务期提供</w:t>
      </w:r>
      <w:r>
        <w:rPr>
          <w:rFonts w:hint="eastAsia" w:ascii="宋体" w:hAnsi="宋体" w:eastAsia="宋体" w:cs="宋体"/>
          <w:b w:val="0"/>
          <w:color w:val="FF0000"/>
          <w:sz w:val="24"/>
          <w:szCs w:val="24"/>
          <w:lang w:eastAsia="zh-CN" w:bidi="ar-SA"/>
        </w:rPr>
        <w:t>具有公安部第三研究所颁发的《网络安全等级测评与检测评估机构服务认证证书》的机构对</w:t>
      </w:r>
      <w:r>
        <w:rPr>
          <w:rFonts w:hint="eastAsia" w:ascii="宋体" w:hAnsi="宋体" w:eastAsia="宋体" w:cs="宋体"/>
          <w:b w:val="0"/>
          <w:color w:val="FF0000"/>
          <w:sz w:val="24"/>
          <w:szCs w:val="24"/>
          <w:lang w:val="en-US" w:eastAsia="zh-CN" w:bidi="ar-SA"/>
        </w:rPr>
        <w:t>福建省市场监督管理局的7个三级信息系统（福建省工商系统企业档案电子化综合管理系统、福建省工商行政管理业务信息综合应用系统、电子营业执照、福建省市场监督管理局网站、福建省一体化协同办公平台、福建省市场监管智慧应用一体化项目 (平台)、福建省市场监管智慧应用一体化项目(大数据平台)）</w:t>
      </w:r>
      <w:r>
        <w:rPr>
          <w:rFonts w:hint="eastAsia" w:ascii="宋体" w:hAnsi="宋体" w:eastAsia="宋体" w:cs="宋体"/>
          <w:b w:val="0"/>
          <w:color w:val="FF0000"/>
          <w:sz w:val="24"/>
          <w:szCs w:val="24"/>
          <w:lang w:eastAsia="zh-CN" w:bidi="ar-SA"/>
        </w:rPr>
        <w:t>开展网络安全等级测评服务，出具《网络安全等级测评报告》并且通过公安相关部门备案</w:t>
      </w:r>
      <w:r>
        <w:rPr>
          <w:rFonts w:hint="eastAsia" w:ascii="宋体" w:hAnsi="宋体" w:eastAsia="宋体" w:cs="宋体"/>
          <w:b w:val="0"/>
          <w:color w:val="FF0000"/>
          <w:sz w:val="24"/>
          <w:szCs w:val="24"/>
          <w:lang w:val="en-US" w:eastAsia="zh-CN" w:bidi="ar-SA"/>
        </w:rPr>
        <w:t>。</w:t>
      </w:r>
    </w:p>
    <w:p>
      <w:pPr>
        <w:pStyle w:val="13"/>
        <w:spacing w:beforeAutospacing="0" w:afterAutospacing="0" w:line="360" w:lineRule="auto"/>
        <w:ind w:firstLine="480" w:firstLineChars="200"/>
        <w:rPr>
          <w:rFonts w:hint="eastAsia" w:ascii="宋体" w:hAnsi="宋体" w:eastAsia="宋体" w:cs="宋体"/>
          <w:b w:val="0"/>
          <w:color w:val="FF0000"/>
          <w:sz w:val="24"/>
          <w:szCs w:val="24"/>
          <w:lang w:val="en-US" w:eastAsia="zh-CN" w:bidi="ar-SA"/>
        </w:rPr>
      </w:pPr>
      <w:r>
        <w:rPr>
          <w:rFonts w:hint="eastAsia" w:ascii="宋体" w:hAnsi="宋体" w:eastAsia="宋体" w:cs="宋体"/>
          <w:b w:val="0"/>
          <w:color w:val="FF0000"/>
          <w:sz w:val="24"/>
          <w:szCs w:val="24"/>
          <w:lang w:val="en-US" w:eastAsia="zh-CN" w:bidi="ar-SA"/>
        </w:rPr>
        <w:t>投标方允许甲方对7套信息系统进行个别调整，更换待测评的系统，保持总体测评7个系统总数不变。</w:t>
      </w:r>
    </w:p>
    <w:p>
      <w:pPr>
        <w:pStyle w:val="13"/>
        <w:spacing w:beforeAutospacing="0" w:afterAutospacing="0" w:line="360" w:lineRule="auto"/>
        <w:ind w:firstLineChars="200"/>
        <w:rPr>
          <w:rFonts w:hint="eastAsia" w:ascii="宋体" w:hAnsi="宋体" w:eastAsia="宋体" w:cs="宋体"/>
          <w:b/>
          <w:bCs/>
          <w:color w:val="FF0000"/>
          <w:sz w:val="24"/>
          <w:lang w:val="en-US" w:eastAsia="zh-CN"/>
        </w:rPr>
      </w:pPr>
      <w:r>
        <w:rPr>
          <w:rFonts w:hint="eastAsia" w:ascii="宋体" w:hAnsi="宋体" w:eastAsia="宋体" w:cs="宋体"/>
          <w:b/>
          <w:bCs/>
          <w:color w:val="FF0000"/>
          <w:sz w:val="24"/>
          <w:szCs w:val="24"/>
          <w:lang w:val="en-US" w:eastAsia="zh-CN" w:bidi="ar-SA"/>
        </w:rPr>
        <w:t>服务频次：1次</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241" w:firstLineChars="100"/>
        <w:outlineLvl w:val="2"/>
        <w:rPr>
          <w:rFonts w:hint="eastAsia" w:ascii="宋体" w:hAnsi="宋体" w:eastAsia="宋体" w:cs="宋体"/>
          <w:b/>
          <w:bCs w:val="0"/>
          <w:color w:val="auto"/>
          <w:sz w:val="24"/>
          <w:szCs w:val="24"/>
          <w:lang w:eastAsia="zh-CN"/>
        </w:rPr>
      </w:pP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241" w:firstLineChars="100"/>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二</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云上安全保障服务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为省市场监督管理局部署在省级电子政务云平台上的51套业务及服务期内新增部署业务系统提供应用安全保障服务。</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（项号9）1.</w:t>
      </w:r>
      <w:r>
        <w:rPr>
          <w:rFonts w:hint="eastAsia" w:ascii="宋体" w:hAnsi="宋体" w:eastAsia="宋体" w:cs="宋体"/>
          <w:b/>
          <w:bCs/>
          <w:color w:val="auto"/>
          <w:sz w:val="24"/>
          <w:szCs w:val="24"/>
        </w:rPr>
        <w:t>安全资产管理</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根据信息安全等级保护等有关标准，针对云业务系统进行资产全生命周期管理，包括分类调查、分级管理、资产漏洞评估等，提升云上安全资产的管理能力。</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交付成果：《安全资产报告》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服务频次：4次/年</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（项号10）2.</w:t>
      </w:r>
      <w:r>
        <w:rPr>
          <w:rFonts w:hint="eastAsia" w:ascii="宋体" w:hAnsi="宋体" w:eastAsia="宋体" w:cs="宋体"/>
          <w:b/>
          <w:bCs/>
          <w:color w:val="auto"/>
          <w:sz w:val="24"/>
          <w:szCs w:val="24"/>
        </w:rPr>
        <w:t>主机安全服务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（1）主机漏洞扫描服务，对云主机、数据库系统进行漏洞扫描；</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（2）主机病毒监测服务，云主机部署防病毒软件防范恶意代码，监测主机病毒感染趋势，及时进行安全加固；</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（3）安全配置核查服务，对云主机、中间件、数据库系统进行安全配置核查；</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（4）主机入侵检测服务，提供主机版入侵检测，实时监测主机安全状态；</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（5）主机系统配置加固服务，根据主机安全检测结果进行安全加固。</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交付成果：云主机安全报告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服务频次：4次/年</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（项号11）3.</w:t>
      </w:r>
      <w:r>
        <w:rPr>
          <w:rFonts w:hint="eastAsia" w:ascii="宋体" w:hAnsi="宋体" w:eastAsia="宋体" w:cs="宋体"/>
          <w:b/>
          <w:bCs/>
          <w:color w:val="auto"/>
          <w:sz w:val="24"/>
          <w:szCs w:val="24"/>
        </w:rPr>
        <w:t>应用安全服务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（1）web漏洞扫描服务，使用自动化安全工具检测应用系统漏洞，并进行人工验证，提出指导建议；</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（2）应用漏洞风险跟踪服务，针对发现的安全漏洞进行修复状态跟踪，通过在线服务提供实时的修复状态信息推送。</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交付成果：应用漏洞扫描报告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服务频次：4次/年</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（项号12）4.</w:t>
      </w:r>
      <w:r>
        <w:rPr>
          <w:rFonts w:hint="eastAsia" w:ascii="宋体" w:hAnsi="宋体" w:eastAsia="宋体" w:cs="宋体"/>
          <w:b/>
          <w:bCs/>
          <w:color w:val="auto"/>
          <w:sz w:val="24"/>
          <w:szCs w:val="24"/>
        </w:rPr>
        <w:t>渗透测试服务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安排安全攻防专家针对应用系统开展渗透测试，通过模拟黑客攻击手段，对信息系统配置管理、会话管理、认证、授权、文件上传下载、信息泄露、应用框架、业务逻辑等方面进行测试，全面检测被测系统安全性。根据渗透测试结果，输出渗透测试报告，协助指导用户修复漏洞，并对修复结果进行复查确认。</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交付成果：渗透测试报告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服务频次：2次/年</w:t>
      </w:r>
    </w:p>
    <w:p>
      <w:pPr>
        <w:pStyle w:val="13"/>
        <w:pageBreakBefore w:val="0"/>
        <w:widowControl/>
        <w:numPr>
          <w:ilvl w:val="0"/>
          <w:numId w:val="0"/>
        </w:numPr>
        <w:kinsoku/>
        <w:wordWrap/>
        <w:overflowPunct/>
        <w:topLinePunct w:val="0"/>
        <w:bidi w:val="0"/>
        <w:spacing w:before="0" w:beforeAutospacing="0" w:after="0" w:afterAutospacing="0" w:line="360" w:lineRule="auto"/>
        <w:ind w:firstLine="241" w:firstLineChars="1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（项号13）5.</w:t>
      </w:r>
      <w:r>
        <w:rPr>
          <w:rFonts w:hint="eastAsia" w:ascii="宋体" w:hAnsi="宋体" w:eastAsia="宋体" w:cs="宋体"/>
          <w:b/>
          <w:bCs/>
          <w:color w:val="auto"/>
          <w:sz w:val="24"/>
          <w:szCs w:val="24"/>
        </w:rPr>
        <w:t>主动防御服务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通过部署主动防御系统捕获黑客攻击行为，消耗黑客时间精力，增加黑客攻击成本，同时主动防御系统能够获取机器码、网络ID等攻击者特征，可以对攻击者进行溯源甚至反制，达到震慑攻击者保护信息系统的目的。</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服务频次：按需</w:t>
      </w:r>
    </w:p>
    <w:p>
      <w:pPr>
        <w:pStyle w:val="13"/>
        <w:pageBreakBefore w:val="0"/>
        <w:widowControl/>
        <w:numPr>
          <w:ilvl w:val="0"/>
          <w:numId w:val="0"/>
        </w:numPr>
        <w:kinsoku/>
        <w:wordWrap/>
        <w:overflowPunct/>
        <w:topLinePunct w:val="0"/>
        <w:bidi w:val="0"/>
        <w:spacing w:before="0" w:beforeAutospacing="0" w:after="0" w:afterAutospacing="0" w:line="360" w:lineRule="auto"/>
        <w:ind w:firstLine="241" w:firstLineChars="1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（项号14）6.</w:t>
      </w:r>
      <w:r>
        <w:rPr>
          <w:rFonts w:hint="eastAsia" w:ascii="宋体" w:hAnsi="宋体" w:eastAsia="宋体" w:cs="宋体"/>
          <w:b/>
          <w:bCs/>
          <w:color w:val="auto"/>
          <w:sz w:val="24"/>
          <w:szCs w:val="24"/>
        </w:rPr>
        <w:t>安全大数据分析服务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（1）异常流量分析服务，提供可疑访问、恶意访问、安全试探、异常访问数据分析等安全隐患的预警性分析；</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（2）定制化告警服务，可定制化构建异常登录、高危漏洞利用、CC攻击、恶意外联等50多个告警场景；</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（3）安全隐患分析服务，通过流量分析，结合业务场景，发现应用系统使用过程中产生的安全威胁隐患，及时发出预警；</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（4）安全大数据展示服务，多维度可视化展示信息系统安全状况；</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（5）威胁预警通告服务，提供实时安全漏洞通知、定期安全通告汇总和安全知识库更新等。</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交付成果：大数据安全分析报告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服务频次：4次/年</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（项号15）7.</w:t>
      </w:r>
      <w:r>
        <w:rPr>
          <w:rFonts w:hint="eastAsia" w:ascii="宋体" w:hAnsi="宋体" w:eastAsia="宋体" w:cs="宋体"/>
          <w:b/>
          <w:bCs/>
          <w:color w:val="auto"/>
          <w:sz w:val="24"/>
          <w:szCs w:val="24"/>
        </w:rPr>
        <w:t>网页防篡改服务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针对我局部署在云上的网站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1个节点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页面提供静态网页防护、动态脚本防护等能力，保证原有网页内容不被非法更改。</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交付成果：无</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服务频次：</w:t>
      </w:r>
      <w:r>
        <w:rPr>
          <w:rFonts w:hint="eastAsia" w:ascii="宋体" w:hAnsi="宋体" w:eastAsia="宋体" w:cs="宋体"/>
          <w:b/>
          <w:bCs/>
          <w:color w:val="auto"/>
          <w:sz w:val="24"/>
          <w:szCs w:val="24"/>
          <w:lang w:eastAsia="zh-CN"/>
        </w:rPr>
        <w:t>日常</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（项号16）8.</w:t>
      </w:r>
      <w:r>
        <w:rPr>
          <w:rFonts w:hint="eastAsia" w:ascii="宋体" w:hAnsi="宋体" w:eastAsia="宋体" w:cs="宋体"/>
          <w:b/>
          <w:bCs/>
          <w:color w:val="auto"/>
          <w:sz w:val="24"/>
          <w:szCs w:val="24"/>
        </w:rPr>
        <w:t>安全管理中心</w:t>
      </w:r>
    </w:p>
    <w:p>
      <w:pPr>
        <w:pageBreakBefore w:val="0"/>
        <w:kinsoku/>
        <w:wordWrap/>
        <w:overflowPunct/>
        <w:topLinePunct w:val="0"/>
        <w:bidi w:val="0"/>
        <w:adjustRightInd w:val="0"/>
        <w:snapToGrid w:val="0"/>
        <w:spacing w:beforeAutospacing="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提供安全可视化展示服务能力，展示内容包括安全资产信息、网络攻击态势、主机入侵态势、安全健康度及安全漏洞影响度等。</w:t>
      </w:r>
    </w:p>
    <w:p>
      <w:pPr>
        <w:pageBreakBefore w:val="0"/>
        <w:kinsoku/>
        <w:wordWrap/>
        <w:overflowPunct/>
        <w:topLinePunct w:val="0"/>
        <w:bidi w:val="0"/>
        <w:adjustRightInd w:val="0"/>
        <w:snapToGrid w:val="0"/>
        <w:spacing w:beforeAutospacing="0" w:afterAutospacing="0" w:line="360" w:lineRule="auto"/>
        <w:ind w:firstLine="482" w:firstLineChars="200"/>
        <w:rPr>
          <w:rFonts w:hint="eastAsia" w:ascii="宋体" w:hAnsi="宋体" w:eastAsia="宋体" w:cs="宋体"/>
          <w:b/>
          <w:color w:val="auto"/>
          <w:sz w:val="24"/>
          <w:szCs w:val="24"/>
        </w:rPr>
      </w:pPr>
      <w:r>
        <w:rPr>
          <w:rStyle w:val="15"/>
          <w:rFonts w:hint="eastAsia" w:ascii="宋体" w:hAnsi="宋体" w:eastAsia="宋体" w:cs="宋体"/>
          <w:color w:val="auto"/>
          <w:sz w:val="24"/>
          <w:szCs w:val="24"/>
        </w:rPr>
        <w:t>交付成果</w:t>
      </w:r>
      <w:r>
        <w:rPr>
          <w:rFonts w:hint="eastAsia" w:ascii="宋体" w:hAnsi="宋体" w:eastAsia="宋体" w:cs="宋体"/>
          <w:b/>
          <w:color w:val="auto"/>
          <w:sz w:val="24"/>
          <w:szCs w:val="24"/>
        </w:rPr>
        <w:t>：SaaS化安全态势展示</w:t>
      </w:r>
    </w:p>
    <w:p>
      <w:pPr>
        <w:pageBreakBefore w:val="0"/>
        <w:widowControl/>
        <w:kinsoku/>
        <w:wordWrap/>
        <w:overflowPunct/>
        <w:topLinePunct w:val="0"/>
        <w:bidi w:val="0"/>
        <w:adjustRightInd w:val="0"/>
        <w:snapToGrid w:val="0"/>
        <w:spacing w:beforeAutospacing="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color w:val="auto"/>
          <w:sz w:val="24"/>
          <w:szCs w:val="24"/>
        </w:rPr>
        <w:t>服务频次：日常</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（项号17）9.</w:t>
      </w:r>
      <w:r>
        <w:rPr>
          <w:rFonts w:hint="eastAsia" w:ascii="宋体" w:hAnsi="宋体" w:eastAsia="宋体" w:cs="宋体"/>
          <w:b/>
          <w:bCs/>
          <w:color w:val="auto"/>
          <w:sz w:val="24"/>
          <w:szCs w:val="24"/>
        </w:rPr>
        <w:t>应急保障服务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应急响应处置服务，发生突发事件时，启动紧急事件响应，提供技术支持，以最快速度恢复系统，并提供事后分析，找出网络或系统的安全漏洞。</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交付成果：应急处置报告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服务频次：按需</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（项号18）10.</w:t>
      </w:r>
      <w:r>
        <w:rPr>
          <w:rFonts w:hint="eastAsia" w:ascii="宋体" w:hAnsi="宋体" w:eastAsia="宋体" w:cs="宋体"/>
          <w:b/>
          <w:bCs/>
          <w:color w:val="auto"/>
          <w:sz w:val="24"/>
          <w:szCs w:val="24"/>
        </w:rPr>
        <w:t>应急演练指导服务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负责协助省市场监督管理局做好直属单位的年度网络安全应急演练的考核工作，主要针对相关参演单位在事前演练计划的制定、事中演练的开展规范、事后的演练成效等方面进行评判和指导。增强参演人员安全意识，促进人员明确应急职责、熟悉应急流程和应急操作。</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服务频次：1次/年</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（项号19）11.</w:t>
      </w:r>
      <w:r>
        <w:rPr>
          <w:rFonts w:hint="eastAsia" w:ascii="宋体" w:hAnsi="宋体" w:eastAsia="宋体" w:cs="宋体"/>
          <w:b/>
          <w:bCs/>
          <w:color w:val="auto"/>
          <w:sz w:val="24"/>
          <w:szCs w:val="24"/>
        </w:rPr>
        <w:t>安全重保服务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（1）重保时期远程安全保障服务，重保时期，对信息系统启用网站7*24小时安全监测，并进行远程风险评估；</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重保时期现场安全保障服务，重保时期，现场指导对现有安全措施进行有效性检查，根据风险评估结果提供安全整改加固建议，指导值班人员对重点网站主页、安全设备日志进行密切监控，对异常安全告警及时预警处置。</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交付成果：重保时期安全保障报告</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服务频次：按需</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（项号20）12.</w:t>
      </w:r>
      <w:r>
        <w:rPr>
          <w:rFonts w:hint="eastAsia" w:ascii="宋体" w:hAnsi="宋体" w:eastAsia="宋体" w:cs="宋体"/>
          <w:b/>
          <w:bCs/>
          <w:color w:val="auto"/>
          <w:sz w:val="24"/>
          <w:szCs w:val="24"/>
        </w:rPr>
        <w:t>安全检查专题服务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（1）安全检查协助，协助应对上级监管部门安全检查；</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（2）管理制度辅助建设，上级监管部门安全检查期间，协助制定信息安全管理制度。</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FF0000"/>
          <w:sz w:val="24"/>
          <w:szCs w:val="24"/>
        </w:rPr>
      </w:pP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在安全监管部门对省市场监督管理局进行网络安全检查和数据安全检查期间，协助省市场监督管理局按照上级监管部门要求，进行专门的全面安全检查协助服务和保障协助，并输出网络安全检查相关材料和数据安全检查相关材料。</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服务频次：按需</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（项号21）13.</w:t>
      </w:r>
      <w:r>
        <w:rPr>
          <w:rFonts w:hint="eastAsia" w:ascii="宋体" w:hAnsi="宋体" w:eastAsia="宋体" w:cs="宋体"/>
          <w:b/>
          <w:bCs/>
          <w:color w:val="auto"/>
          <w:sz w:val="24"/>
          <w:szCs w:val="24"/>
        </w:rPr>
        <w:t>安全培训服务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（1）安全意识培训服务，提供安全标准、政策法规解读、信息安全意识、信息安全发展方向、周期性安全服务报告解读等现场培训服务；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（2）安全技术培训服务，提供网站安全防护技术、等保安全建设、网络安全技术攻防、上线测试等现场培训服务。</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交付成果：安全培训PPT</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服务频次：1次/年</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lang w:eastAsia="zh-CN"/>
        </w:rPr>
      </w:pP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数据端安全保障服务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为省市场监督管理局部署在省 级电子政务云平台上的数据库数据提供数据库数据安全监管服务，每月提供1份《数据库数据安全监管报告》，包括涵盖</w:t>
      </w:r>
      <w:r>
        <w:rPr>
          <w:rStyle w:val="15"/>
          <w:rFonts w:hint="eastAsia" w:ascii="宋体" w:hAnsi="宋体" w:eastAsia="宋体" w:cs="宋体"/>
          <w:b w:val="0"/>
          <w:bCs/>
          <w:color w:val="auto"/>
          <w:sz w:val="24"/>
          <w:szCs w:val="24"/>
        </w:rPr>
        <w:t>数据资产状态安全监控、数据资产发现与管理、数据业务资产梳理维护和数据资产挖掘及数据资产建模分析等内容。</w:t>
      </w:r>
      <w:r>
        <w:rPr>
          <w:rFonts w:hint="eastAsia" w:ascii="宋体" w:hAnsi="宋体" w:eastAsia="宋体" w:cs="宋体"/>
          <w:color w:val="auto"/>
          <w:sz w:val="24"/>
          <w:szCs w:val="24"/>
        </w:rPr>
        <w:t>每年提供1个</w:t>
      </w:r>
      <w:r>
        <w:rPr>
          <w:rStyle w:val="14"/>
          <w:rFonts w:hint="eastAsia" w:ascii="宋体" w:hAnsi="宋体" w:eastAsia="宋体" w:cs="宋体"/>
          <w:color w:val="auto"/>
          <w:sz w:val="24"/>
          <w:szCs w:val="24"/>
        </w:rPr>
        <w:t>子系统《数据分类分级规范</w:t>
      </w:r>
      <w:r>
        <w:rPr>
          <w:rFonts w:hint="eastAsia" w:ascii="宋体" w:hAnsi="宋体" w:eastAsia="宋体" w:cs="宋体"/>
          <w:color w:val="auto"/>
          <w:sz w:val="24"/>
          <w:szCs w:val="24"/>
        </w:rPr>
        <w:t>报告</w:t>
      </w:r>
      <w:r>
        <w:rPr>
          <w:rStyle w:val="14"/>
          <w:rFonts w:hint="eastAsia" w:ascii="宋体" w:hAnsi="宋体" w:eastAsia="宋体" w:cs="宋体"/>
          <w:color w:val="auto"/>
          <w:sz w:val="24"/>
          <w:szCs w:val="24"/>
        </w:rPr>
        <w:t>》1份、</w:t>
      </w:r>
      <w:r>
        <w:rPr>
          <w:rFonts w:hint="eastAsia" w:ascii="宋体" w:hAnsi="宋体" w:eastAsia="宋体" w:cs="宋体"/>
          <w:color w:val="auto"/>
          <w:sz w:val="24"/>
          <w:szCs w:val="24"/>
        </w:rPr>
        <w:t>1个</w:t>
      </w:r>
      <w:r>
        <w:rPr>
          <w:rStyle w:val="14"/>
          <w:rFonts w:hint="eastAsia" w:ascii="宋体" w:hAnsi="宋体" w:eastAsia="宋体" w:cs="宋体"/>
          <w:color w:val="auto"/>
          <w:sz w:val="24"/>
          <w:szCs w:val="24"/>
        </w:rPr>
        <w:t>子系统《数据分类分级报告》1份</w:t>
      </w:r>
      <w:r>
        <w:rPr>
          <w:rFonts w:hint="eastAsia" w:ascii="宋体" w:hAnsi="宋体" w:eastAsia="宋体" w:cs="宋体"/>
          <w:color w:val="auto"/>
          <w:sz w:val="24"/>
          <w:szCs w:val="24"/>
        </w:rPr>
        <w:t>。</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Style w:val="15"/>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（项号22）</w:t>
      </w:r>
      <w:r>
        <w:rPr>
          <w:rStyle w:val="15"/>
          <w:rFonts w:hint="eastAsia" w:ascii="宋体" w:hAnsi="宋体" w:eastAsia="宋体" w:cs="宋体"/>
          <w:color w:val="auto"/>
          <w:sz w:val="24"/>
          <w:szCs w:val="24"/>
          <w:lang w:val="en-US" w:eastAsia="zh-CN"/>
        </w:rPr>
        <w:t>1.</w:t>
      </w:r>
      <w:r>
        <w:rPr>
          <w:rStyle w:val="15"/>
          <w:rFonts w:hint="eastAsia" w:ascii="宋体" w:hAnsi="宋体" w:eastAsia="宋体" w:cs="宋体"/>
          <w:color w:val="auto"/>
          <w:sz w:val="24"/>
          <w:szCs w:val="24"/>
        </w:rPr>
        <w:t>数据资产状态安全监控服务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（1）资产态势服务，提供数据资产周期性态势展示。</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（2）资产风险分析服务，提供统计并且分析管理范围内业务系统的风险资产信息。</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（3）报告分析服务，对数据资产的状态、风险提供</w:t>
      </w:r>
      <w:r>
        <w:rPr>
          <w:rFonts w:hint="eastAsia" w:ascii="宋体" w:hAnsi="宋体" w:eastAsia="宋体" w:cs="宋体"/>
          <w:color w:val="auto"/>
          <w:sz w:val="24"/>
          <w:szCs w:val="24"/>
          <w:lang w:val="en-US" w:eastAsia="zh-CN"/>
        </w:rPr>
        <w:t>分析</w:t>
      </w:r>
      <w:r>
        <w:rPr>
          <w:rFonts w:hint="eastAsia" w:ascii="宋体" w:hAnsi="宋体" w:eastAsia="宋体" w:cs="宋体"/>
          <w:color w:val="auto"/>
          <w:sz w:val="24"/>
          <w:szCs w:val="24"/>
        </w:rPr>
        <w:t>。</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（4）业务系统底账报告人工服务，通过人工整理提供业务系统资产底账报告。</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b/>
          <w:color w:val="auto"/>
          <w:sz w:val="24"/>
          <w:szCs w:val="24"/>
        </w:rPr>
      </w:pPr>
      <w:r>
        <w:rPr>
          <w:rStyle w:val="15"/>
          <w:rFonts w:hint="eastAsia" w:ascii="宋体" w:hAnsi="宋体" w:eastAsia="宋体" w:cs="宋体"/>
          <w:color w:val="auto"/>
          <w:sz w:val="24"/>
          <w:szCs w:val="24"/>
        </w:rPr>
        <w:t>交付成果</w:t>
      </w:r>
      <w:r>
        <w:rPr>
          <w:rStyle w:val="15"/>
          <w:rFonts w:hint="eastAsia" w:ascii="宋体" w:hAnsi="宋体" w:eastAsia="宋体" w:cs="宋体"/>
          <w:b/>
          <w:color w:val="auto"/>
          <w:sz w:val="24"/>
          <w:szCs w:val="24"/>
        </w:rPr>
        <w:t>：</w:t>
      </w:r>
      <w:r>
        <w:rPr>
          <w:rStyle w:val="15"/>
          <w:rFonts w:hint="eastAsia" w:ascii="宋体" w:hAnsi="宋体" w:eastAsia="宋体" w:cs="宋体"/>
          <w:color w:val="auto"/>
          <w:sz w:val="24"/>
          <w:szCs w:val="24"/>
        </w:rPr>
        <w:t>每月提供数据库数据安全监管报告</w:t>
      </w:r>
      <w:r>
        <w:rPr>
          <w:rStyle w:val="15"/>
          <w:rFonts w:hint="eastAsia" w:ascii="宋体" w:hAnsi="宋体" w:eastAsia="宋体" w:cs="宋体"/>
          <w:color w:val="auto"/>
          <w:sz w:val="24"/>
          <w:szCs w:val="24"/>
          <w:lang w:eastAsia="zh-CN"/>
        </w:rPr>
        <w:t>（</w:t>
      </w:r>
      <w:r>
        <w:rPr>
          <w:rStyle w:val="15"/>
          <w:rFonts w:hint="eastAsia" w:ascii="宋体" w:hAnsi="宋体" w:eastAsia="宋体" w:cs="宋体"/>
          <w:color w:val="auto"/>
          <w:sz w:val="24"/>
          <w:szCs w:val="24"/>
        </w:rPr>
        <w:t>数据资产状态安全监控</w:t>
      </w:r>
      <w:r>
        <w:rPr>
          <w:rStyle w:val="15"/>
          <w:rFonts w:hint="eastAsia" w:ascii="宋体" w:hAnsi="宋体" w:eastAsia="宋体" w:cs="宋体"/>
          <w:color w:val="auto"/>
          <w:sz w:val="24"/>
          <w:szCs w:val="24"/>
          <w:lang w:val="en-US" w:eastAsia="zh-CN"/>
        </w:rPr>
        <w:t>部分</w:t>
      </w:r>
      <w:r>
        <w:rPr>
          <w:rStyle w:val="15"/>
          <w:rFonts w:hint="eastAsia" w:ascii="宋体" w:hAnsi="宋体" w:eastAsia="宋体" w:cs="宋体"/>
          <w:color w:val="auto"/>
          <w:sz w:val="24"/>
          <w:szCs w:val="24"/>
          <w:lang w:eastAsia="zh-CN"/>
        </w:rPr>
        <w:t>）</w:t>
      </w:r>
    </w:p>
    <w:p>
      <w:pPr>
        <w:pageBreakBefore w:val="0"/>
        <w:widowControl/>
        <w:kinsoku/>
        <w:wordWrap/>
        <w:overflowPunct/>
        <w:topLinePunct w:val="0"/>
        <w:bidi w:val="0"/>
        <w:snapToGrid w:val="0"/>
        <w:spacing w:beforeAutospacing="0" w:afterAutospacing="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b/>
          <w:color w:val="auto"/>
          <w:sz w:val="24"/>
          <w:szCs w:val="24"/>
        </w:rPr>
        <w:t>服务频次：</w:t>
      </w:r>
      <w:r>
        <w:rPr>
          <w:rFonts w:hint="eastAsia" w:ascii="宋体" w:hAnsi="宋体" w:eastAsia="宋体" w:cs="宋体"/>
          <w:b/>
          <w:color w:val="auto"/>
          <w:sz w:val="24"/>
          <w:szCs w:val="24"/>
          <w:lang w:val="en-US" w:eastAsia="zh-CN"/>
        </w:rPr>
        <w:t>日常</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Style w:val="15"/>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（项号23）</w:t>
      </w:r>
      <w:r>
        <w:rPr>
          <w:rStyle w:val="15"/>
          <w:rFonts w:hint="eastAsia" w:ascii="宋体" w:hAnsi="宋体" w:eastAsia="宋体" w:cs="宋体"/>
          <w:color w:val="auto"/>
          <w:sz w:val="24"/>
          <w:szCs w:val="24"/>
          <w:lang w:val="en-US" w:eastAsia="zh-CN"/>
        </w:rPr>
        <w:t>2.</w:t>
      </w:r>
      <w:r>
        <w:rPr>
          <w:rStyle w:val="15"/>
          <w:rFonts w:hint="eastAsia" w:ascii="宋体" w:hAnsi="宋体" w:eastAsia="宋体" w:cs="宋体"/>
          <w:color w:val="auto"/>
          <w:sz w:val="24"/>
          <w:szCs w:val="24"/>
        </w:rPr>
        <w:t>数据资产发现与管理服务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（1）数据库资产管理服务，对业务系统提供数据库资产发现管理能力。</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（2）应用资产管理服务，对业务系统提供应用资产发现管理能力。</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（3）网络资产管理服务，对业务系统提供网络资产资产发现管理能力。</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（4）终端资产管理服务，对业务系统提供终端资产发现管理能力。</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（5）账户资产管理服务，对业务系统提供账户资产发现管理能力。</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（6）数据资产发现管理人工服务，为</w:t>
      </w:r>
      <w:r>
        <w:rPr>
          <w:rFonts w:hint="eastAsia" w:ascii="宋体" w:hAnsi="宋体" w:eastAsia="宋体" w:cs="宋体"/>
          <w:color w:val="auto"/>
          <w:sz w:val="24"/>
          <w:szCs w:val="24"/>
          <w:lang w:val="en-US" w:eastAsia="zh-CN"/>
        </w:rPr>
        <w:t>省</w:t>
      </w:r>
      <w:r>
        <w:rPr>
          <w:rFonts w:hint="eastAsia" w:ascii="宋体" w:hAnsi="宋体" w:eastAsia="宋体" w:cs="宋体"/>
          <w:color w:val="auto"/>
          <w:sz w:val="24"/>
          <w:szCs w:val="24"/>
        </w:rPr>
        <w:t>市场监督管理局的业务资产发现提供人工导入、管理、维护、培训等服务。</w:t>
      </w:r>
    </w:p>
    <w:p>
      <w:pPr>
        <w:pageBreakBefore w:val="0"/>
        <w:kinsoku/>
        <w:wordWrap/>
        <w:overflowPunct/>
        <w:topLinePunct w:val="0"/>
        <w:bidi w:val="0"/>
        <w:adjustRightInd w:val="0"/>
        <w:snapToGrid w:val="0"/>
        <w:spacing w:beforeAutospacing="0" w:afterAutospacing="0" w:line="360" w:lineRule="auto"/>
        <w:ind w:firstLine="482" w:firstLineChars="200"/>
        <w:rPr>
          <w:rFonts w:hint="eastAsia" w:ascii="宋体" w:hAnsi="宋体" w:eastAsia="宋体" w:cs="宋体"/>
          <w:b/>
          <w:color w:val="auto"/>
          <w:sz w:val="24"/>
          <w:szCs w:val="24"/>
        </w:rPr>
      </w:pPr>
      <w:r>
        <w:rPr>
          <w:rStyle w:val="15"/>
          <w:rFonts w:hint="eastAsia" w:ascii="宋体" w:hAnsi="宋体" w:eastAsia="宋体" w:cs="宋体"/>
          <w:color w:val="auto"/>
          <w:sz w:val="24"/>
          <w:szCs w:val="24"/>
        </w:rPr>
        <w:t>交付成果</w:t>
      </w:r>
      <w:r>
        <w:rPr>
          <w:rFonts w:hint="eastAsia" w:ascii="宋体" w:hAnsi="宋体" w:eastAsia="宋体" w:cs="宋体"/>
          <w:b/>
          <w:color w:val="auto"/>
          <w:sz w:val="24"/>
          <w:szCs w:val="24"/>
        </w:rPr>
        <w:t>：</w:t>
      </w:r>
      <w:r>
        <w:rPr>
          <w:rStyle w:val="15"/>
          <w:rFonts w:hint="eastAsia" w:ascii="宋体" w:hAnsi="宋体" w:eastAsia="宋体" w:cs="宋体"/>
          <w:color w:val="auto"/>
          <w:sz w:val="24"/>
          <w:szCs w:val="24"/>
        </w:rPr>
        <w:t>每月提供数据库数据安全监管报告</w:t>
      </w:r>
      <w:r>
        <w:rPr>
          <w:rStyle w:val="15"/>
          <w:rFonts w:hint="eastAsia" w:ascii="宋体" w:hAnsi="宋体" w:eastAsia="宋体" w:cs="宋体"/>
          <w:color w:val="auto"/>
          <w:sz w:val="24"/>
          <w:szCs w:val="24"/>
          <w:lang w:eastAsia="zh-CN"/>
        </w:rPr>
        <w:t>（</w:t>
      </w:r>
      <w:r>
        <w:rPr>
          <w:rStyle w:val="15"/>
          <w:rFonts w:hint="eastAsia" w:ascii="宋体" w:hAnsi="宋体" w:eastAsia="宋体" w:cs="宋体"/>
          <w:b/>
          <w:bCs w:val="0"/>
          <w:color w:val="auto"/>
          <w:sz w:val="24"/>
          <w:szCs w:val="24"/>
        </w:rPr>
        <w:t>数据资产发现与管理</w:t>
      </w:r>
      <w:r>
        <w:rPr>
          <w:rStyle w:val="15"/>
          <w:rFonts w:hint="eastAsia" w:ascii="宋体" w:hAnsi="宋体" w:eastAsia="宋体" w:cs="宋体"/>
          <w:color w:val="auto"/>
          <w:sz w:val="24"/>
          <w:szCs w:val="24"/>
          <w:lang w:val="en-US" w:eastAsia="zh-CN"/>
        </w:rPr>
        <w:t>部分</w:t>
      </w:r>
      <w:r>
        <w:rPr>
          <w:rStyle w:val="15"/>
          <w:rFonts w:hint="eastAsia" w:ascii="宋体" w:hAnsi="宋体" w:eastAsia="宋体" w:cs="宋体"/>
          <w:color w:val="auto"/>
          <w:sz w:val="24"/>
          <w:szCs w:val="24"/>
          <w:lang w:eastAsia="zh-CN"/>
        </w:rPr>
        <w:t>）</w:t>
      </w:r>
      <w:r>
        <w:rPr>
          <w:rFonts w:hint="eastAsia" w:ascii="宋体" w:hAnsi="宋体" w:eastAsia="宋体" w:cs="宋体"/>
          <w:b/>
          <w:bCs w:val="0"/>
          <w:color w:val="auto"/>
          <w:sz w:val="24"/>
          <w:szCs w:val="24"/>
          <w:lang w:val="en-US" w:eastAsia="zh-CN"/>
        </w:rPr>
        <w:t>12</w:t>
      </w:r>
      <w:r>
        <w:rPr>
          <w:rFonts w:hint="eastAsia" w:ascii="宋体" w:hAnsi="宋体" w:eastAsia="宋体" w:cs="宋体"/>
          <w:b/>
          <w:bCs w:val="0"/>
          <w:color w:val="auto"/>
          <w:sz w:val="24"/>
          <w:szCs w:val="24"/>
        </w:rPr>
        <w:t>次/年</w:t>
      </w:r>
    </w:p>
    <w:p>
      <w:pPr>
        <w:pageBreakBefore w:val="0"/>
        <w:widowControl/>
        <w:kinsoku/>
        <w:wordWrap/>
        <w:overflowPunct/>
        <w:topLinePunct w:val="0"/>
        <w:bidi w:val="0"/>
        <w:adjustRightInd w:val="0"/>
        <w:snapToGrid w:val="0"/>
        <w:spacing w:beforeAutospacing="0" w:afterAutospacing="0" w:line="360" w:lineRule="auto"/>
        <w:ind w:firstLine="482" w:firstLineChars="2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服务频次：</w:t>
      </w:r>
      <w:r>
        <w:rPr>
          <w:rFonts w:hint="eastAsia" w:ascii="宋体" w:hAnsi="宋体" w:eastAsia="宋体" w:cs="宋体"/>
          <w:b/>
          <w:color w:val="auto"/>
          <w:sz w:val="24"/>
          <w:szCs w:val="24"/>
          <w:lang w:val="en-US" w:eastAsia="zh-CN"/>
        </w:rPr>
        <w:t>日常</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Style w:val="15"/>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（项号24）</w:t>
      </w:r>
      <w:r>
        <w:rPr>
          <w:rStyle w:val="15"/>
          <w:rFonts w:hint="eastAsia" w:ascii="宋体" w:hAnsi="宋体" w:eastAsia="宋体" w:cs="宋体"/>
          <w:color w:val="auto"/>
          <w:sz w:val="24"/>
          <w:szCs w:val="24"/>
          <w:lang w:val="en-US" w:eastAsia="zh-CN"/>
        </w:rPr>
        <w:t>3.</w:t>
      </w:r>
      <w:r>
        <w:rPr>
          <w:rStyle w:val="15"/>
          <w:rFonts w:hint="eastAsia" w:ascii="宋体" w:hAnsi="宋体" w:eastAsia="宋体" w:cs="宋体"/>
          <w:color w:val="auto"/>
          <w:sz w:val="24"/>
          <w:szCs w:val="24"/>
        </w:rPr>
        <w:t>数据业务资产梳理维护服务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（1）资产标识服务，为发现的应用、数据和终端资产提供多标签标识服务。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（2）资产分级服务，根据等保规范对资产进行分类分级。</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（3）资产定责服务，按照行政管理部门</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对资产进行分类。</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（4）敏感资产管理服务，提供根据行业类型定义敏感资产管理。</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（5）业务资产梳理管理人工服务，为</w:t>
      </w:r>
      <w:r>
        <w:rPr>
          <w:rFonts w:hint="eastAsia" w:ascii="宋体" w:hAnsi="宋体" w:eastAsia="宋体" w:cs="宋体"/>
          <w:color w:val="auto"/>
          <w:sz w:val="24"/>
          <w:szCs w:val="24"/>
          <w:lang w:val="en-US" w:eastAsia="zh-CN"/>
        </w:rPr>
        <w:t>省</w:t>
      </w:r>
      <w:r>
        <w:rPr>
          <w:rFonts w:hint="eastAsia" w:ascii="宋体" w:hAnsi="宋体" w:eastAsia="宋体" w:cs="宋体"/>
          <w:color w:val="auto"/>
          <w:sz w:val="24"/>
          <w:szCs w:val="24"/>
        </w:rPr>
        <w:t>市场监督管理局的业务资产梳理提供人工导入、管理、维护、培训等服务。</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b/>
          <w:color w:val="auto"/>
          <w:sz w:val="24"/>
          <w:szCs w:val="24"/>
        </w:rPr>
      </w:pPr>
      <w:r>
        <w:rPr>
          <w:rStyle w:val="15"/>
          <w:rFonts w:hint="eastAsia" w:ascii="宋体" w:hAnsi="宋体" w:eastAsia="宋体" w:cs="宋体"/>
          <w:color w:val="auto"/>
          <w:sz w:val="24"/>
          <w:szCs w:val="24"/>
        </w:rPr>
        <w:t>交付成果</w:t>
      </w:r>
      <w:r>
        <w:rPr>
          <w:rStyle w:val="15"/>
          <w:rFonts w:hint="eastAsia" w:ascii="宋体" w:hAnsi="宋体" w:eastAsia="宋体" w:cs="宋体"/>
          <w:b/>
          <w:color w:val="auto"/>
          <w:sz w:val="24"/>
          <w:szCs w:val="24"/>
        </w:rPr>
        <w:t>：</w:t>
      </w:r>
      <w:r>
        <w:rPr>
          <w:rStyle w:val="15"/>
          <w:rFonts w:hint="eastAsia" w:ascii="宋体" w:hAnsi="宋体" w:eastAsia="宋体" w:cs="宋体"/>
          <w:color w:val="auto"/>
          <w:sz w:val="24"/>
          <w:szCs w:val="24"/>
        </w:rPr>
        <w:t>每月提供数据库数据安全监管报告</w:t>
      </w:r>
      <w:r>
        <w:rPr>
          <w:rStyle w:val="15"/>
          <w:rFonts w:hint="eastAsia" w:ascii="宋体" w:hAnsi="宋体" w:eastAsia="宋体" w:cs="宋体"/>
          <w:color w:val="auto"/>
          <w:sz w:val="24"/>
          <w:szCs w:val="24"/>
          <w:lang w:eastAsia="zh-CN"/>
        </w:rPr>
        <w:t>（</w:t>
      </w:r>
      <w:r>
        <w:rPr>
          <w:rStyle w:val="15"/>
          <w:rFonts w:hint="eastAsia" w:ascii="宋体" w:hAnsi="宋体" w:eastAsia="宋体" w:cs="宋体"/>
          <w:color w:val="auto"/>
          <w:sz w:val="24"/>
          <w:szCs w:val="24"/>
        </w:rPr>
        <w:t>数据业务资产梳理维护</w:t>
      </w:r>
      <w:r>
        <w:rPr>
          <w:rStyle w:val="15"/>
          <w:rFonts w:hint="eastAsia" w:ascii="宋体" w:hAnsi="宋体" w:eastAsia="宋体" w:cs="宋体"/>
          <w:color w:val="auto"/>
          <w:sz w:val="24"/>
          <w:szCs w:val="24"/>
          <w:lang w:val="en-US" w:eastAsia="zh-CN"/>
        </w:rPr>
        <w:t>部分</w:t>
      </w:r>
      <w:r>
        <w:rPr>
          <w:rStyle w:val="15"/>
          <w:rFonts w:hint="eastAsia" w:ascii="宋体" w:hAnsi="宋体" w:eastAsia="宋体" w:cs="宋体"/>
          <w:color w:val="auto"/>
          <w:sz w:val="24"/>
          <w:szCs w:val="24"/>
          <w:lang w:eastAsia="zh-CN"/>
        </w:rPr>
        <w:t>）</w:t>
      </w:r>
      <w:r>
        <w:rPr>
          <w:rFonts w:hint="eastAsia" w:ascii="宋体" w:hAnsi="宋体" w:eastAsia="宋体" w:cs="宋体"/>
          <w:b/>
          <w:bCs w:val="0"/>
          <w:color w:val="auto"/>
          <w:sz w:val="24"/>
          <w:szCs w:val="24"/>
          <w:lang w:val="en-US" w:eastAsia="zh-CN"/>
        </w:rPr>
        <w:t>12</w:t>
      </w:r>
      <w:r>
        <w:rPr>
          <w:rFonts w:hint="eastAsia" w:ascii="宋体" w:hAnsi="宋体" w:eastAsia="宋体" w:cs="宋体"/>
          <w:b/>
          <w:bCs w:val="0"/>
          <w:color w:val="auto"/>
          <w:sz w:val="24"/>
          <w:szCs w:val="24"/>
        </w:rPr>
        <w:t>次/年</w:t>
      </w:r>
    </w:p>
    <w:p>
      <w:pPr>
        <w:pageBreakBefore w:val="0"/>
        <w:widowControl/>
        <w:kinsoku/>
        <w:wordWrap/>
        <w:overflowPunct/>
        <w:topLinePunct w:val="0"/>
        <w:bidi w:val="0"/>
        <w:adjustRightInd w:val="0"/>
        <w:snapToGrid w:val="0"/>
        <w:spacing w:beforeAutospacing="0" w:afterAutospacing="0" w:line="360" w:lineRule="auto"/>
        <w:ind w:firstLine="482" w:firstLineChars="200"/>
        <w:jc w:val="both"/>
        <w:rPr>
          <w:rStyle w:val="15"/>
          <w:rFonts w:hint="eastAsia" w:ascii="宋体" w:hAnsi="宋体" w:eastAsia="宋体" w:cs="宋体"/>
          <w:color w:val="auto"/>
          <w:sz w:val="24"/>
          <w:szCs w:val="24"/>
        </w:rPr>
      </w:pPr>
      <w:r>
        <w:rPr>
          <w:rFonts w:hint="eastAsia" w:ascii="宋体" w:hAnsi="宋体" w:eastAsia="宋体" w:cs="宋体"/>
          <w:b/>
          <w:color w:val="auto"/>
          <w:sz w:val="24"/>
          <w:szCs w:val="24"/>
        </w:rPr>
        <w:t>服务频次：</w:t>
      </w:r>
      <w:r>
        <w:rPr>
          <w:rFonts w:hint="eastAsia" w:ascii="宋体" w:hAnsi="宋体" w:eastAsia="宋体" w:cs="宋体"/>
          <w:b/>
          <w:color w:val="auto"/>
          <w:sz w:val="24"/>
          <w:szCs w:val="24"/>
          <w:lang w:val="en-US" w:eastAsia="zh-CN"/>
        </w:rPr>
        <w:t>日常</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Style w:val="15"/>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（项号25）</w:t>
      </w:r>
      <w:r>
        <w:rPr>
          <w:rStyle w:val="15"/>
          <w:rFonts w:hint="eastAsia" w:ascii="宋体" w:hAnsi="宋体" w:eastAsia="宋体" w:cs="宋体"/>
          <w:color w:val="auto"/>
          <w:sz w:val="24"/>
          <w:szCs w:val="24"/>
          <w:lang w:val="en-US" w:eastAsia="zh-CN"/>
        </w:rPr>
        <w:t>4.</w:t>
      </w:r>
      <w:r>
        <w:rPr>
          <w:rStyle w:val="15"/>
          <w:rFonts w:hint="eastAsia" w:ascii="宋体" w:hAnsi="宋体" w:eastAsia="宋体" w:cs="宋体"/>
          <w:color w:val="auto"/>
          <w:sz w:val="24"/>
          <w:szCs w:val="24"/>
        </w:rPr>
        <w:t>数据资产挖掘及数据资产建模分析服务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（1）数据资源管理服务，对采集和主动扫描的资产相关数据提供数据资源管理。</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（2）资产发现模型服务，主动扫描、流量分析技术和人工补登的方式进行资产发现。</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（3）资产标签管理服务，提供数据资产关联关系标识，实现隐私数据发现。</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（4）资产扫描探测服务，发现流量中相应的资产数据、资产访问数据等。</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交付成果：每月提供数据库数据安全监管报告</w:t>
      </w:r>
      <w:r>
        <w:rPr>
          <w:rStyle w:val="15"/>
          <w:rFonts w:hint="eastAsia" w:ascii="宋体" w:hAnsi="宋体" w:eastAsia="宋体" w:cs="宋体"/>
          <w:color w:val="auto"/>
          <w:sz w:val="24"/>
          <w:szCs w:val="24"/>
          <w:lang w:eastAsia="zh-CN"/>
        </w:rPr>
        <w:t>（</w:t>
      </w:r>
      <w:r>
        <w:rPr>
          <w:rStyle w:val="15"/>
          <w:rFonts w:hint="eastAsia" w:ascii="宋体" w:hAnsi="宋体" w:eastAsia="宋体" w:cs="宋体"/>
          <w:color w:val="auto"/>
          <w:sz w:val="24"/>
          <w:szCs w:val="24"/>
        </w:rPr>
        <w:t>数据资产挖掘及数据资产建模分析</w:t>
      </w:r>
      <w:r>
        <w:rPr>
          <w:rStyle w:val="15"/>
          <w:rFonts w:hint="eastAsia" w:ascii="宋体" w:hAnsi="宋体" w:eastAsia="宋体" w:cs="宋体"/>
          <w:color w:val="auto"/>
          <w:sz w:val="24"/>
          <w:szCs w:val="24"/>
          <w:lang w:val="en-US" w:eastAsia="zh-CN"/>
        </w:rPr>
        <w:t>部分）</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服务频次：</w:t>
      </w:r>
      <w:r>
        <w:rPr>
          <w:rFonts w:hint="eastAsia" w:ascii="宋体" w:hAnsi="宋体" w:eastAsia="宋体" w:cs="宋体"/>
          <w:b/>
          <w:color w:val="auto"/>
          <w:sz w:val="24"/>
          <w:szCs w:val="24"/>
          <w:lang w:val="en-US" w:eastAsia="zh-CN"/>
        </w:rPr>
        <w:t>日常</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Style w:val="15"/>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（项号26）</w:t>
      </w:r>
      <w:r>
        <w:rPr>
          <w:rStyle w:val="15"/>
          <w:rFonts w:hint="eastAsia" w:ascii="宋体" w:hAnsi="宋体" w:eastAsia="宋体" w:cs="宋体"/>
          <w:color w:val="auto"/>
          <w:sz w:val="24"/>
          <w:szCs w:val="24"/>
          <w:lang w:val="en-US" w:eastAsia="zh-CN"/>
        </w:rPr>
        <w:t>5.</w:t>
      </w:r>
      <w:r>
        <w:rPr>
          <w:rStyle w:val="15"/>
          <w:rFonts w:hint="eastAsia" w:ascii="宋体" w:hAnsi="宋体" w:eastAsia="宋体" w:cs="宋体"/>
          <w:color w:val="auto"/>
          <w:sz w:val="24"/>
          <w:szCs w:val="24"/>
        </w:rPr>
        <w:t>数据日志采集服务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（1）日志数据采集和接收服务，对数据日志进行采集和接收。</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（2）日志自动分类服务，对数据日志进行自动分类。</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（3）日志清洗服务，对采集的日志数据进行精清洗等操作。</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（4）高性能数据加载服务，提供日志数据分布式分发加载服务。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（5）大数据存储管理服务，提供大数据采集入库、数据归集分块存储及数据服务的维护管理。</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交付成果：无</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服务频次：日常</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Style w:val="15"/>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（项号27）</w:t>
      </w:r>
      <w:r>
        <w:rPr>
          <w:rStyle w:val="15"/>
          <w:rFonts w:hint="eastAsia" w:ascii="宋体" w:hAnsi="宋体" w:eastAsia="宋体" w:cs="宋体"/>
          <w:color w:val="auto"/>
          <w:sz w:val="24"/>
          <w:szCs w:val="24"/>
          <w:lang w:val="en-US" w:eastAsia="zh-CN"/>
        </w:rPr>
        <w:t>6.</w:t>
      </w:r>
      <w:r>
        <w:rPr>
          <w:rStyle w:val="15"/>
          <w:rFonts w:hint="eastAsia" w:ascii="宋体" w:hAnsi="宋体" w:eastAsia="宋体" w:cs="宋体"/>
          <w:color w:val="auto"/>
          <w:sz w:val="24"/>
          <w:szCs w:val="24"/>
        </w:rPr>
        <w:t>数据分类分级服务（试点）</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根据目前市场监管数据分类分级管理规则（试行）文件的要求。</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数据分类服务，</w:t>
      </w:r>
      <w:r>
        <w:rPr>
          <w:rFonts w:hint="eastAsia" w:ascii="宋体" w:hAnsi="宋体" w:eastAsia="宋体" w:cs="宋体"/>
          <w:color w:val="auto"/>
          <w:sz w:val="24"/>
          <w:szCs w:val="24"/>
        </w:rPr>
        <w:t>对照总局有关要求，结合省局应用系统开发与数据中心建设进度，开展数据资产分类打标工作，并制定对应的数据分类规范。</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数据分级服务，</w:t>
      </w:r>
      <w:r>
        <w:rPr>
          <w:rFonts w:hint="eastAsia" w:ascii="宋体" w:hAnsi="宋体" w:eastAsia="宋体" w:cs="宋体"/>
          <w:color w:val="auto"/>
          <w:sz w:val="24"/>
          <w:szCs w:val="24"/>
        </w:rPr>
        <w:t>对照总局有关要求，结合省局应用系统开发与数据中心建设进度，开展数据资产分级打标工作，并制定对应的数据分级规范。</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交付成果：子系统《数据分类分级规范》1份、子系统《数据分类分级报告》1份。</w:t>
      </w:r>
    </w:p>
    <w:p>
      <w:pPr>
        <w:pStyle w:val="2"/>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eastAsia="宋体" w:cs="宋体"/>
          <w:color w:val="auto"/>
          <w:sz w:val="24"/>
          <w:szCs w:val="24"/>
        </w:rPr>
      </w:pPr>
      <w:r>
        <w:rPr>
          <w:rStyle w:val="15"/>
          <w:rFonts w:hint="eastAsia" w:ascii="宋体" w:hAnsi="宋体" w:eastAsia="宋体" w:cs="宋体"/>
          <w:color w:val="auto"/>
          <w:sz w:val="24"/>
          <w:szCs w:val="24"/>
        </w:rPr>
        <w:t>服务频次：1次/年</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lang w:eastAsia="zh-CN"/>
        </w:rPr>
      </w:pP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互联网安全防护服务</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（项号28）</w:t>
      </w:r>
      <w:r>
        <w:rPr>
          <w:rStyle w:val="15"/>
          <w:rFonts w:hint="eastAsia" w:ascii="宋体" w:hAnsi="宋体" w:eastAsia="宋体" w:cs="宋体"/>
          <w:color w:val="auto"/>
          <w:sz w:val="24"/>
          <w:szCs w:val="24"/>
          <w:lang w:val="en-US" w:eastAsia="zh-CN"/>
        </w:rPr>
        <w:t>1.</w:t>
      </w:r>
      <w:r>
        <w:rPr>
          <w:rStyle w:val="15"/>
          <w:rFonts w:hint="eastAsia" w:ascii="宋体" w:hAnsi="宋体" w:eastAsia="宋体" w:cs="宋体"/>
          <w:color w:val="auto"/>
          <w:sz w:val="24"/>
          <w:szCs w:val="24"/>
        </w:rPr>
        <w:t>互联网网站安全监控服务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（1）提供网站可用性监控服务，对服务范围内的相关网站稳 定性和可用性实时监控分析；</w:t>
      </w:r>
    </w:p>
    <w:p>
      <w:pPr>
        <w:pStyle w:val="13"/>
        <w:pageBreakBefore w:val="0"/>
        <w:widowControl/>
        <w:kinsoku/>
        <w:wordWrap/>
        <w:overflowPunct/>
        <w:topLinePunct w:val="0"/>
        <w:bidi w:val="0"/>
        <w:spacing w:before="0" w:beforeAutospacing="0" w:after="0" w:afterAutospacing="0" w:line="360" w:lineRule="auto"/>
        <w:ind w:firstLine="320"/>
        <w:rPr>
          <w:rFonts w:hint="eastAsia" w:ascii="宋体" w:hAnsi="宋体" w:eastAsia="宋体" w:cs="宋体"/>
          <w:color w:val="auto"/>
          <w:sz w:val="24"/>
          <w:szCs w:val="24"/>
        </w:rPr>
      </w:pPr>
      <w:r>
        <w:rPr>
          <w:rFonts w:hint="eastAsia" w:ascii="宋体" w:hAnsi="宋体" w:eastAsia="宋体" w:cs="宋体"/>
          <w:color w:val="auto"/>
          <w:sz w:val="24"/>
          <w:szCs w:val="24"/>
        </w:rPr>
        <w:t>（2）提供网站端口暴露监测服务，服务具有多探测指标、主动探测技术、安全态势分析等功能；</w:t>
      </w:r>
    </w:p>
    <w:p>
      <w:pPr>
        <w:pStyle w:val="13"/>
        <w:pageBreakBefore w:val="0"/>
        <w:widowControl/>
        <w:kinsoku/>
        <w:wordWrap/>
        <w:overflowPunct/>
        <w:topLinePunct w:val="0"/>
        <w:bidi w:val="0"/>
        <w:spacing w:before="0" w:beforeAutospacing="0" w:after="0" w:afterAutospacing="0" w:line="360" w:lineRule="auto"/>
        <w:ind w:firstLine="320"/>
        <w:rPr>
          <w:rFonts w:hint="eastAsia" w:ascii="宋体" w:hAnsi="宋体" w:eastAsia="宋体" w:cs="宋体"/>
          <w:color w:val="auto"/>
          <w:sz w:val="24"/>
          <w:szCs w:val="24"/>
        </w:rPr>
      </w:pPr>
      <w:r>
        <w:rPr>
          <w:rFonts w:hint="eastAsia" w:ascii="宋体" w:hAnsi="宋体" w:eastAsia="宋体" w:cs="宋体"/>
          <w:color w:val="auto"/>
          <w:sz w:val="24"/>
          <w:szCs w:val="24"/>
        </w:rPr>
        <w:t>（3）提供域名劫持监控服务，对网站和信息系统首页进行域名劫持探测；</w:t>
      </w:r>
    </w:p>
    <w:p>
      <w:pPr>
        <w:pStyle w:val="13"/>
        <w:pageBreakBefore w:val="0"/>
        <w:widowControl/>
        <w:kinsoku/>
        <w:wordWrap/>
        <w:overflowPunct/>
        <w:topLinePunct w:val="0"/>
        <w:bidi w:val="0"/>
        <w:spacing w:before="0" w:beforeAutospacing="0" w:after="0" w:afterAutospacing="0" w:line="360" w:lineRule="auto"/>
        <w:ind w:firstLine="320"/>
        <w:rPr>
          <w:rFonts w:hint="eastAsia" w:ascii="宋体" w:hAnsi="宋体" w:eastAsia="宋体" w:cs="宋体"/>
          <w:color w:val="auto"/>
          <w:sz w:val="24"/>
          <w:szCs w:val="24"/>
        </w:rPr>
      </w:pPr>
      <w:r>
        <w:rPr>
          <w:rFonts w:hint="eastAsia" w:ascii="宋体" w:hAnsi="宋体" w:eastAsia="宋体" w:cs="宋体"/>
          <w:color w:val="auto"/>
          <w:sz w:val="24"/>
          <w:szCs w:val="24"/>
        </w:rPr>
        <w:t>（4）提供网页挂马监控服务，对网站和信息系统挂马分析、预警；</w:t>
      </w:r>
    </w:p>
    <w:p>
      <w:pPr>
        <w:pStyle w:val="13"/>
        <w:pageBreakBefore w:val="0"/>
        <w:widowControl/>
        <w:kinsoku/>
        <w:wordWrap/>
        <w:overflowPunct/>
        <w:topLinePunct w:val="0"/>
        <w:bidi w:val="0"/>
        <w:spacing w:before="0" w:beforeAutospacing="0" w:after="0" w:afterAutospacing="0" w:line="360" w:lineRule="auto"/>
        <w:ind w:firstLine="320"/>
        <w:rPr>
          <w:rFonts w:hint="eastAsia" w:ascii="宋体" w:hAnsi="宋体" w:eastAsia="宋体" w:cs="宋体"/>
          <w:color w:val="auto"/>
          <w:sz w:val="24"/>
          <w:szCs w:val="24"/>
        </w:rPr>
      </w:pPr>
      <w:r>
        <w:rPr>
          <w:rFonts w:hint="eastAsia" w:ascii="宋体" w:hAnsi="宋体" w:eastAsia="宋体" w:cs="宋体"/>
          <w:color w:val="auto"/>
          <w:sz w:val="24"/>
          <w:szCs w:val="24"/>
        </w:rPr>
        <w:t>（5）提供网站暗链监控服务，对网站和信息系统页面进行暗链分析、预警；</w:t>
      </w:r>
    </w:p>
    <w:p>
      <w:pPr>
        <w:pStyle w:val="13"/>
        <w:pageBreakBefore w:val="0"/>
        <w:widowControl/>
        <w:kinsoku/>
        <w:wordWrap/>
        <w:overflowPunct/>
        <w:topLinePunct w:val="0"/>
        <w:bidi w:val="0"/>
        <w:spacing w:before="0" w:beforeAutospacing="0" w:after="0" w:afterAutospacing="0" w:line="360" w:lineRule="auto"/>
        <w:ind w:firstLine="320"/>
        <w:rPr>
          <w:rFonts w:hint="eastAsia" w:ascii="宋体" w:hAnsi="宋体" w:eastAsia="宋体" w:cs="宋体"/>
          <w:color w:val="auto"/>
          <w:sz w:val="24"/>
          <w:szCs w:val="24"/>
        </w:rPr>
      </w:pPr>
      <w:r>
        <w:rPr>
          <w:rFonts w:hint="eastAsia" w:ascii="宋体" w:hAnsi="宋体" w:eastAsia="宋体" w:cs="宋体"/>
          <w:color w:val="auto"/>
          <w:sz w:val="24"/>
          <w:szCs w:val="24"/>
        </w:rPr>
        <w:t>（6）提供敏感内容监控服务，对关键网页的敏感内容进行监控，识别网站存在政治、低俗等敏感内容情况，并进行邮件或短信预警；</w:t>
      </w:r>
    </w:p>
    <w:p>
      <w:pPr>
        <w:pStyle w:val="13"/>
        <w:pageBreakBefore w:val="0"/>
        <w:widowControl/>
        <w:kinsoku/>
        <w:wordWrap/>
        <w:overflowPunct/>
        <w:topLinePunct w:val="0"/>
        <w:bidi w:val="0"/>
        <w:spacing w:before="0" w:beforeAutospacing="0" w:after="0" w:afterAutospacing="0" w:line="360" w:lineRule="auto"/>
        <w:ind w:firstLine="320"/>
        <w:rPr>
          <w:rFonts w:hint="eastAsia" w:ascii="宋体" w:hAnsi="宋体" w:eastAsia="宋体" w:cs="宋体"/>
          <w:color w:val="auto"/>
          <w:sz w:val="24"/>
          <w:szCs w:val="24"/>
        </w:rPr>
      </w:pPr>
      <w:r>
        <w:rPr>
          <w:rFonts w:hint="eastAsia" w:ascii="宋体" w:hAnsi="宋体" w:eastAsia="宋体" w:cs="宋体"/>
          <w:color w:val="auto"/>
          <w:sz w:val="24"/>
          <w:szCs w:val="24"/>
        </w:rPr>
        <w:t>（7）提供实时告警和监控报告服务，推送安全告警信息，并提供网站监控测试报告。</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交付成果：互联网网站安全监控报告</w:t>
      </w:r>
    </w:p>
    <w:p>
      <w:pPr>
        <w:pageBreakBefore w:val="0"/>
        <w:widowControl/>
        <w:kinsoku/>
        <w:wordWrap/>
        <w:overflowPunct/>
        <w:topLinePunct w:val="0"/>
        <w:bidi w:val="0"/>
        <w:adjustRightInd w:val="0"/>
        <w:snapToGrid w:val="0"/>
        <w:spacing w:beforeAutospacing="0" w:afterAutospacing="0" w:line="360" w:lineRule="auto"/>
        <w:ind w:firstLine="482" w:firstLineChars="200"/>
        <w:rPr>
          <w:rFonts w:hint="eastAsia" w:ascii="宋体" w:hAnsi="宋体" w:eastAsia="宋体" w:cs="宋体"/>
          <w:b/>
          <w:color w:val="auto"/>
          <w:sz w:val="24"/>
          <w:szCs w:val="24"/>
        </w:rPr>
      </w:pPr>
      <w:r>
        <w:rPr>
          <w:rStyle w:val="15"/>
          <w:rFonts w:hint="eastAsia" w:ascii="宋体" w:hAnsi="宋体" w:eastAsia="宋体" w:cs="宋体"/>
          <w:color w:val="auto"/>
          <w:sz w:val="24"/>
          <w:szCs w:val="24"/>
        </w:rPr>
        <w:t>服务频次：</w:t>
      </w:r>
      <w:r>
        <w:rPr>
          <w:rStyle w:val="15"/>
          <w:rFonts w:hint="eastAsia" w:ascii="宋体" w:hAnsi="宋体" w:eastAsia="宋体" w:cs="宋体"/>
          <w:color w:val="auto"/>
          <w:sz w:val="24"/>
          <w:szCs w:val="24"/>
          <w:lang w:val="en-US" w:eastAsia="zh-CN"/>
        </w:rPr>
        <w:t>12次/年</w:t>
      </w:r>
    </w:p>
    <w:p>
      <w:pPr>
        <w:pStyle w:val="13"/>
        <w:pageBreakBefore w:val="0"/>
        <w:widowControl/>
        <w:numPr>
          <w:ilvl w:val="0"/>
          <w:numId w:val="0"/>
        </w:numPr>
        <w:kinsoku/>
        <w:wordWrap/>
        <w:overflowPunct/>
        <w:topLinePunct w:val="0"/>
        <w:bidi w:val="0"/>
        <w:spacing w:before="0" w:beforeAutospacing="0" w:after="0" w:afterAutospacing="0" w:line="360" w:lineRule="auto"/>
        <w:ind w:firstLine="482" w:firstLineChars="200"/>
        <w:jc w:val="both"/>
        <w:rPr>
          <w:rStyle w:val="15"/>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（项号29）</w:t>
      </w:r>
      <w:r>
        <w:rPr>
          <w:rStyle w:val="15"/>
          <w:rFonts w:hint="eastAsia" w:ascii="宋体" w:hAnsi="宋体" w:eastAsia="宋体" w:cs="宋体"/>
          <w:color w:val="auto"/>
          <w:sz w:val="24"/>
          <w:szCs w:val="24"/>
          <w:lang w:val="en-US" w:eastAsia="zh-CN"/>
        </w:rPr>
        <w:t>2.</w:t>
      </w:r>
      <w:r>
        <w:rPr>
          <w:rStyle w:val="15"/>
          <w:rFonts w:hint="eastAsia" w:ascii="宋体" w:hAnsi="宋体" w:eastAsia="宋体" w:cs="宋体"/>
          <w:color w:val="auto"/>
          <w:sz w:val="24"/>
          <w:szCs w:val="24"/>
        </w:rPr>
        <w:t>互联网网站安全漏洞扫描服务</w:t>
      </w:r>
    </w:p>
    <w:p>
      <w:pPr>
        <w:pStyle w:val="13"/>
        <w:pageBreakBefore w:val="0"/>
        <w:widowControl/>
        <w:kinsoku/>
        <w:wordWrap/>
        <w:overflowPunct/>
        <w:topLinePunct w:val="0"/>
        <w:bidi w:val="0"/>
        <w:spacing w:before="0" w:beforeAutospacing="0" w:after="0" w:afterAutospacing="0" w:line="360" w:lineRule="auto"/>
        <w:ind w:firstLine="320"/>
        <w:rPr>
          <w:rFonts w:hint="eastAsia" w:ascii="宋体" w:hAnsi="宋体" w:eastAsia="宋体" w:cs="宋体"/>
          <w:color w:val="auto"/>
          <w:sz w:val="24"/>
          <w:szCs w:val="24"/>
        </w:rPr>
      </w:pPr>
      <w:r>
        <w:rPr>
          <w:rFonts w:hint="eastAsia" w:ascii="宋体" w:hAnsi="宋体" w:eastAsia="宋体" w:cs="宋体"/>
          <w:color w:val="auto"/>
          <w:sz w:val="24"/>
          <w:szCs w:val="24"/>
        </w:rPr>
        <w:t>（1）定期提供互联网网站安全漏洞扫描服务；</w:t>
      </w:r>
    </w:p>
    <w:p>
      <w:pPr>
        <w:pStyle w:val="13"/>
        <w:pageBreakBefore w:val="0"/>
        <w:widowControl/>
        <w:kinsoku/>
        <w:wordWrap/>
        <w:overflowPunct/>
        <w:topLinePunct w:val="0"/>
        <w:bidi w:val="0"/>
        <w:spacing w:before="0" w:beforeAutospacing="0" w:after="0" w:afterAutospacing="0" w:line="360" w:lineRule="auto"/>
        <w:ind w:firstLine="320"/>
        <w:rPr>
          <w:rFonts w:hint="eastAsia" w:ascii="宋体" w:hAnsi="宋体" w:eastAsia="宋体" w:cs="宋体"/>
          <w:color w:val="auto"/>
          <w:sz w:val="24"/>
          <w:szCs w:val="24"/>
        </w:rPr>
      </w:pPr>
      <w:r>
        <w:rPr>
          <w:rFonts w:hint="eastAsia" w:ascii="宋体" w:hAnsi="宋体" w:eastAsia="宋体" w:cs="宋体"/>
          <w:color w:val="auto"/>
          <w:sz w:val="24"/>
          <w:szCs w:val="24"/>
        </w:rPr>
        <w:t>（2）定期提供互联网网站安全漏洞验证服务；</w:t>
      </w:r>
    </w:p>
    <w:p>
      <w:pPr>
        <w:pStyle w:val="13"/>
        <w:pageBreakBefore w:val="0"/>
        <w:widowControl/>
        <w:kinsoku/>
        <w:wordWrap/>
        <w:overflowPunct/>
        <w:topLinePunct w:val="0"/>
        <w:bidi w:val="0"/>
        <w:spacing w:before="0" w:beforeAutospacing="0" w:after="0" w:afterAutospacing="0" w:line="360" w:lineRule="auto"/>
        <w:ind w:firstLine="320"/>
        <w:rPr>
          <w:rFonts w:hint="eastAsia" w:ascii="宋体" w:hAnsi="宋体" w:eastAsia="宋体" w:cs="宋体"/>
          <w:color w:val="auto"/>
          <w:sz w:val="24"/>
          <w:szCs w:val="24"/>
        </w:rPr>
      </w:pPr>
      <w:r>
        <w:rPr>
          <w:rFonts w:hint="eastAsia" w:ascii="宋体" w:hAnsi="宋体" w:eastAsia="宋体" w:cs="宋体"/>
          <w:color w:val="auto"/>
          <w:sz w:val="24"/>
          <w:szCs w:val="24"/>
        </w:rPr>
        <w:t>（3）定期提供互联网网站安全漏洞跟踪服务。</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交付成果：互联网网站安全漏洞扫描报告</w:t>
      </w:r>
    </w:p>
    <w:p>
      <w:pPr>
        <w:pageBreakBefore w:val="0"/>
        <w:widowControl/>
        <w:kinsoku/>
        <w:wordWrap/>
        <w:overflowPunct/>
        <w:topLinePunct w:val="0"/>
        <w:bidi w:val="0"/>
        <w:adjustRightInd w:val="0"/>
        <w:snapToGrid w:val="0"/>
        <w:spacing w:beforeAutospacing="0" w:afterAutospacing="0" w:line="360" w:lineRule="auto"/>
        <w:ind w:firstLine="482" w:firstLineChars="200"/>
        <w:rPr>
          <w:rFonts w:hint="eastAsia" w:ascii="宋体" w:hAnsi="宋体" w:eastAsia="宋体" w:cs="宋体"/>
          <w:b/>
          <w:color w:val="auto"/>
          <w:sz w:val="24"/>
          <w:szCs w:val="24"/>
        </w:rPr>
      </w:pPr>
      <w:r>
        <w:rPr>
          <w:rStyle w:val="15"/>
          <w:rFonts w:hint="eastAsia" w:ascii="宋体" w:hAnsi="宋体" w:eastAsia="宋体" w:cs="宋体"/>
          <w:color w:val="auto"/>
          <w:sz w:val="24"/>
          <w:szCs w:val="24"/>
        </w:rPr>
        <w:t>服务频次：</w:t>
      </w:r>
      <w:r>
        <w:rPr>
          <w:rStyle w:val="15"/>
          <w:rFonts w:hint="eastAsia" w:ascii="宋体" w:hAnsi="宋体" w:eastAsia="宋体" w:cs="宋体"/>
          <w:color w:val="auto"/>
          <w:sz w:val="24"/>
          <w:szCs w:val="24"/>
          <w:lang w:val="en-US" w:eastAsia="zh-CN"/>
        </w:rPr>
        <w:t>12次/年</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lang w:eastAsia="zh-CN"/>
        </w:rPr>
      </w:pP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五</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网络防爬虫服务</w:t>
      </w:r>
    </w:p>
    <w:p>
      <w:pPr>
        <w:pStyle w:val="13"/>
        <w:pageBreakBefore w:val="0"/>
        <w:widowControl/>
        <w:kinsoku/>
        <w:wordWrap/>
        <w:overflowPunct/>
        <w:topLinePunct w:val="0"/>
        <w:bidi w:val="0"/>
        <w:spacing w:before="0" w:beforeAutospacing="0" w:after="0" w:afterAutospacing="0"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（项号30）1.</w:t>
      </w:r>
      <w:r>
        <w:rPr>
          <w:rFonts w:hint="eastAsia" w:ascii="宋体" w:hAnsi="宋体" w:eastAsia="宋体" w:cs="宋体"/>
          <w:b/>
          <w:bCs/>
          <w:color w:val="auto"/>
          <w:sz w:val="24"/>
          <w:szCs w:val="24"/>
        </w:rPr>
        <w:t>服务范围</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（1）涵盖以下2大系统、16个子应用模块,及其拓展、衍生、迭代系统：</w:t>
      </w:r>
    </w:p>
    <w:tbl>
      <w:tblPr>
        <w:tblStyle w:val="17"/>
        <w:tblW w:w="89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1157"/>
        <w:gridCol w:w="2047"/>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0" w:hRule="atLeast"/>
          <w:jc w:val="center"/>
        </w:trPr>
        <w:tc>
          <w:tcPr>
            <w:tcW w:w="1157"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系统序号</w:t>
            </w:r>
          </w:p>
        </w:tc>
        <w:tc>
          <w:tcPr>
            <w:tcW w:w="2047"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系统名称</w:t>
            </w: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子应用模块名称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50" w:hRule="atLeast"/>
          <w:jc w:val="center"/>
        </w:trPr>
        <w:tc>
          <w:tcPr>
            <w:tcW w:w="1157" w:type="dxa"/>
            <w:vMerge w:val="restart"/>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47" w:type="dxa"/>
            <w:vMerge w:val="restart"/>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国家企业信用信息公示系统（福建）</w:t>
            </w: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企业信息填报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6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企业享受扶持信息公示系统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2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小微企业库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3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福建省工商系统市场主体信用信息公示平台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30" w:hRule="atLeast"/>
          <w:jc w:val="center"/>
        </w:trPr>
        <w:tc>
          <w:tcPr>
            <w:tcW w:w="1157" w:type="dxa"/>
            <w:vMerge w:val="restart"/>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47" w:type="dxa"/>
            <w:vMerge w:val="restart"/>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网上工商系统</w:t>
            </w: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电子营业执照系统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3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名 称登记系统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3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内资企业登记系统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3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外资企业登记系统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5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港澳居民个体工商户登记系统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2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平潭商事主体名 称自主申报系统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4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合同业务申请系统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4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流通领域商品质量抽查检验系统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3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网络市场监管系统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4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经营 范围查询系统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4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网上工商应用平台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40" w:hRule="atLeast"/>
          <w:jc w:val="center"/>
        </w:trPr>
        <w:tc>
          <w:tcPr>
            <w:tcW w:w="115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2047" w:type="dxa"/>
            <w:vMerge w:val="continue"/>
            <w:shd w:val="clear" w:color="auto" w:fill="auto"/>
            <w:tcMar>
              <w:top w:w="0" w:type="dxa"/>
              <w:left w:w="0" w:type="dxa"/>
              <w:bottom w:w="0" w:type="dxa"/>
              <w:right w:w="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700" w:type="dxa"/>
            <w:shd w:val="clear" w:color="auto" w:fill="auto"/>
            <w:tcMar>
              <w:top w:w="0" w:type="dxa"/>
              <w:left w:w="0" w:type="dxa"/>
              <w:bottom w:w="0" w:type="dxa"/>
              <w:right w:w="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企业注销网上服务专区</w:t>
            </w:r>
          </w:p>
        </w:tc>
      </w:tr>
    </w:tbl>
    <w:p>
      <w:pPr>
        <w:pStyle w:val="13"/>
        <w:pageBreakBefore w:val="0"/>
        <w:widowControl/>
        <w:numPr>
          <w:ilvl w:val="0"/>
          <w:numId w:val="4"/>
        </w:numPr>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省市场监督管理局</w:t>
      </w:r>
      <w:bookmarkStart w:id="0" w:name="_GoBack"/>
      <w:bookmarkEnd w:id="0"/>
      <w:r>
        <w:rPr>
          <w:rFonts w:hint="eastAsia" w:ascii="宋体" w:hAnsi="宋体" w:eastAsia="宋体" w:cs="宋体"/>
          <w:color w:val="auto"/>
          <w:sz w:val="24"/>
          <w:szCs w:val="24"/>
        </w:rPr>
        <w:t>智慧一体化平台。</w:t>
      </w:r>
    </w:p>
    <w:p>
      <w:pPr>
        <w:pStyle w:val="13"/>
        <w:pageBreakBefore w:val="0"/>
        <w:widowControl/>
        <w:numPr>
          <w:ilvl w:val="0"/>
          <w:numId w:val="4"/>
        </w:numPr>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省市场监督管理局</w:t>
      </w:r>
      <w:r>
        <w:rPr>
          <w:rFonts w:hint="eastAsia" w:ascii="宋体" w:hAnsi="宋体" w:eastAsia="宋体" w:cs="宋体"/>
          <w:color w:val="auto"/>
          <w:sz w:val="24"/>
          <w:szCs w:val="24"/>
          <w:lang w:val="en-US" w:eastAsia="zh-CN"/>
        </w:rPr>
        <w:t>门户网站。</w:t>
      </w:r>
    </w:p>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交付成果：防爬虫防护报告</w:t>
      </w:r>
    </w:p>
    <w:p>
      <w:pPr>
        <w:pageBreakBefore w:val="0"/>
        <w:widowControl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b/>
          <w:color w:val="auto"/>
          <w:sz w:val="24"/>
          <w:szCs w:val="24"/>
        </w:rPr>
      </w:pPr>
      <w:r>
        <w:rPr>
          <w:rStyle w:val="15"/>
          <w:rFonts w:hint="eastAsia" w:ascii="宋体" w:hAnsi="宋体" w:eastAsia="宋体" w:cs="宋体"/>
          <w:color w:val="auto"/>
          <w:sz w:val="24"/>
          <w:szCs w:val="24"/>
        </w:rPr>
        <w:t>服务频次：</w:t>
      </w:r>
      <w:r>
        <w:rPr>
          <w:rStyle w:val="15"/>
          <w:rFonts w:hint="eastAsia" w:ascii="宋体" w:hAnsi="宋体" w:eastAsia="宋体" w:cs="宋体"/>
          <w:b/>
          <w:bCs/>
          <w:color w:val="auto"/>
          <w:sz w:val="24"/>
          <w:szCs w:val="24"/>
        </w:rPr>
        <w:t>4次/年</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lang w:eastAsia="zh-CN"/>
        </w:rPr>
      </w:pP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color w:val="auto"/>
          <w:sz w:val="24"/>
          <w:szCs w:val="24"/>
          <w:lang w:val="en-US" w:eastAsia="zh-CN"/>
        </w:rPr>
        <w:t>（项号31）</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六</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华林路办公区安全防护服务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 服务内容：提供省市场监督管理局华林路办公区的上网行为管理、多网隔离、安全防护等服务，并提供相应的日常运维服务。要求本项目服务商免费提供相关设备部署于服务现场。</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b/>
          <w:bCs/>
          <w:color w:val="auto"/>
          <w:sz w:val="24"/>
          <w:szCs w:val="24"/>
        </w:rPr>
      </w:pPr>
      <w:r>
        <w:rPr>
          <w:rFonts w:hint="eastAsia" w:ascii="宋体" w:hAnsi="宋体" w:eastAsia="宋体" w:cs="宋体"/>
          <w:color w:val="auto"/>
          <w:sz w:val="24"/>
          <w:szCs w:val="24"/>
        </w:rPr>
        <w:t>2. 服务设备功能及性能要求：</w:t>
      </w:r>
    </w:p>
    <w:tbl>
      <w:tblPr>
        <w:tblStyle w:val="17"/>
        <w:tblW w:w="925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676"/>
        <w:gridCol w:w="1014"/>
        <w:gridCol w:w="1996"/>
        <w:gridCol w:w="4711"/>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468" w:hRule="atLeast"/>
        </w:trPr>
        <w:tc>
          <w:tcPr>
            <w:tcW w:w="676" w:type="dxa"/>
            <w:vMerge w:val="restart"/>
            <w:shd w:val="clear" w:color="auto" w:fill="D9D9D9"/>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序号</w:t>
            </w:r>
          </w:p>
        </w:tc>
        <w:tc>
          <w:tcPr>
            <w:tcW w:w="1014" w:type="dxa"/>
            <w:vMerge w:val="restart"/>
            <w:shd w:val="clear" w:color="auto" w:fill="D9D9D9"/>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设备类型</w:t>
            </w:r>
          </w:p>
        </w:tc>
        <w:tc>
          <w:tcPr>
            <w:tcW w:w="1996" w:type="dxa"/>
            <w:vMerge w:val="restart"/>
            <w:shd w:val="clear" w:color="auto" w:fill="D9D9D9"/>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设备名 称</w:t>
            </w:r>
          </w:p>
        </w:tc>
        <w:tc>
          <w:tcPr>
            <w:tcW w:w="4711" w:type="dxa"/>
            <w:vMerge w:val="restart"/>
            <w:shd w:val="clear" w:color="auto" w:fill="D9D9D9"/>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参数要求</w:t>
            </w:r>
          </w:p>
        </w:tc>
        <w:tc>
          <w:tcPr>
            <w:tcW w:w="854" w:type="dxa"/>
            <w:vMerge w:val="restart"/>
            <w:shd w:val="clear" w:color="auto" w:fill="D9D9D9"/>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468" w:hRule="atLeast"/>
        </w:trPr>
        <w:tc>
          <w:tcPr>
            <w:tcW w:w="676" w:type="dxa"/>
            <w:vMerge w:val="continue"/>
            <w:shd w:val="clear" w:color="auto" w:fill="D9D9D9"/>
            <w:tcMar>
              <w:top w:w="1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auto"/>
                <w:sz w:val="24"/>
                <w:szCs w:val="24"/>
              </w:rPr>
            </w:pPr>
          </w:p>
        </w:tc>
        <w:tc>
          <w:tcPr>
            <w:tcW w:w="1014" w:type="dxa"/>
            <w:vMerge w:val="continue"/>
            <w:shd w:val="clear" w:color="auto" w:fill="D9D9D9"/>
            <w:tcMar>
              <w:top w:w="1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sz w:val="24"/>
                <w:szCs w:val="24"/>
              </w:rPr>
            </w:pPr>
          </w:p>
        </w:tc>
        <w:tc>
          <w:tcPr>
            <w:tcW w:w="1996" w:type="dxa"/>
            <w:vMerge w:val="continue"/>
            <w:shd w:val="clear" w:color="auto" w:fill="D9D9D9"/>
            <w:tcMar>
              <w:top w:w="1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auto"/>
                <w:sz w:val="24"/>
                <w:szCs w:val="24"/>
              </w:rPr>
            </w:pPr>
          </w:p>
        </w:tc>
        <w:tc>
          <w:tcPr>
            <w:tcW w:w="4711" w:type="dxa"/>
            <w:vMerge w:val="continue"/>
            <w:shd w:val="clear" w:color="auto" w:fill="D9D9D9"/>
            <w:tcMar>
              <w:top w:w="1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auto"/>
                <w:sz w:val="24"/>
                <w:szCs w:val="24"/>
              </w:rPr>
            </w:pPr>
          </w:p>
        </w:tc>
        <w:tc>
          <w:tcPr>
            <w:tcW w:w="854" w:type="dxa"/>
            <w:vMerge w:val="continue"/>
            <w:shd w:val="clear" w:color="auto" w:fill="D9D9D9"/>
            <w:tcMar>
              <w:top w:w="1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20" w:hRule="atLeast"/>
        </w:trPr>
        <w:tc>
          <w:tcPr>
            <w:tcW w:w="676"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14"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网络行为管理</w:t>
            </w:r>
          </w:p>
        </w:tc>
        <w:tc>
          <w:tcPr>
            <w:tcW w:w="1996" w:type="dxa"/>
            <w:shd w:val="clear" w:color="auto" w:fill="auto"/>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上网行为管理</w:t>
            </w:r>
          </w:p>
        </w:tc>
        <w:tc>
          <w:tcPr>
            <w:tcW w:w="4711" w:type="dxa"/>
            <w:shd w:val="clear" w:color="auto" w:fill="auto"/>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(1)性能参数： 1U标准机架，硬盘容量≥1T SATA，单电源，接口≥6千兆电口+2万兆光口SFP+。性能参数≥网络层吞吐量（大包）≥10Gb，应用层吞吐量≥1.5Gb，带宽性能≥1Gb，支持用户数≥3000，包转发率≥132Kpps，每秒新建连接数≥5000，最大并发连接数≥250000。</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(2)功能描述：具有用户认证与管理、应用控制、流量管控、行为审计等功能，满足1000个用户终端上网的要求。</w:t>
            </w:r>
          </w:p>
        </w:tc>
        <w:tc>
          <w:tcPr>
            <w:tcW w:w="854"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20" w:hRule="atLeast"/>
        </w:trPr>
        <w:tc>
          <w:tcPr>
            <w:tcW w:w="676"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14"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网络隔离</w:t>
            </w:r>
          </w:p>
        </w:tc>
        <w:tc>
          <w:tcPr>
            <w:tcW w:w="1996" w:type="dxa"/>
            <w:shd w:val="clear" w:color="auto" w:fill="auto"/>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多网隔离</w:t>
            </w:r>
          </w:p>
        </w:tc>
        <w:tc>
          <w:tcPr>
            <w:tcW w:w="4711" w:type="dxa"/>
            <w:shd w:val="clear" w:color="auto" w:fill="auto"/>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(1)性能参数：1U标准机架，网络层吞吐量（大包）≥5.8Gb，应用层吞吐量≥850Mb，带宽性能≥500Mb，IPSEC VPN加密性能（最高性能）≥120Mb，支持用户数≥1500，包转发率≥90Kpps，每秒新建连接数≥3000，最大并发连接数≥150000。</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功能描述：与多网隔离认证设备进行安全联动，支持针对不同网络进行不同策略管控，同步多网隔离认证管控设备的用户信息后，针对不同用户组进行策略管控；支持网络增加时多套网络的快速切换，如再增加一套网络，只需针对多网隔离设备进行策略调整即可实现多网切换。</w:t>
            </w:r>
          </w:p>
        </w:tc>
        <w:tc>
          <w:tcPr>
            <w:tcW w:w="854"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20" w:hRule="atLeast"/>
        </w:trPr>
        <w:tc>
          <w:tcPr>
            <w:tcW w:w="676"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14"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安全防护</w:t>
            </w:r>
          </w:p>
        </w:tc>
        <w:tc>
          <w:tcPr>
            <w:tcW w:w="1996" w:type="dxa"/>
            <w:shd w:val="clear" w:color="auto" w:fill="auto"/>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防火墙</w:t>
            </w:r>
            <w:r>
              <w:rPr>
                <w:rFonts w:hint="eastAsia" w:ascii="宋体" w:hAnsi="宋体" w:eastAsia="宋体" w:cs="宋体"/>
                <w:color w:val="auto"/>
                <w:sz w:val="24"/>
                <w:szCs w:val="24"/>
                <w:lang w:val="en-US" w:eastAsia="zh-CN"/>
              </w:rPr>
              <w:t>1</w:t>
            </w:r>
          </w:p>
        </w:tc>
        <w:tc>
          <w:tcPr>
            <w:tcW w:w="4711" w:type="dxa"/>
            <w:shd w:val="clear" w:color="auto" w:fill="auto"/>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（1）性能参数：1U标准机架式设备，4个千兆Combo接口（光电复用），千兆电接口≥10个，硬盘≥500G，单电源； 网络吞吐量≥5Gbps， 应用性能≥1.5Gbps， 防护全开性能≥300Mbps， 最大并发连接数≥200万；</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（2）功能描述：</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① 支持应用控制策略失效策略检查功能，检测策略可能失效的情况，如规则内容存在冲突、规则生效时间过期、规则超长时间未有匹配等情况；支持应用控制策略模拟匹配功能，支持输入源目的IP、端口，给出最可能的匹配结果，方便排查故障及设备部署前的调试，支持模拟匹配访问时间自定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② 支持基于应用类型，网站类型，文件类型进行流量控制，支持基于IP段、时间、国家/地区、认证用户、子接口和VLAN进行流量控制，包含1年防病毒库、IPS攻击特征库、应用特征库+URL特征授权，1年原厂软硬件维保。</w:t>
            </w:r>
          </w:p>
        </w:tc>
        <w:tc>
          <w:tcPr>
            <w:tcW w:w="854"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20" w:hRule="atLeast"/>
        </w:trPr>
        <w:tc>
          <w:tcPr>
            <w:tcW w:w="676" w:type="dxa"/>
            <w:shd w:val="clear" w:color="auto" w:fill="FFFFFF"/>
            <w:tcMar>
              <w:top w:w="10" w:type="dxa"/>
              <w:left w:w="10" w:type="dxa"/>
              <w:bottom w:w="0" w:type="dxa"/>
              <w:right w:w="10" w:type="dxa"/>
            </w:tcMar>
            <w:vAlign w:val="top"/>
          </w:tcPr>
          <w:p>
            <w:pPr>
              <w:pStyle w:val="13"/>
              <w:spacing w:line="360" w:lineRule="auto"/>
              <w:textAlignment w:val="center"/>
              <w:rPr>
                <w:rFonts w:hint="eastAsia" w:ascii="宋体" w:hAnsi="宋体" w:eastAsia="宋体" w:cs="宋体"/>
                <w:color w:val="FF0000"/>
                <w:sz w:val="24"/>
                <w:szCs w:val="24"/>
              </w:rPr>
            </w:pPr>
            <w:r>
              <w:rPr>
                <w:rFonts w:hint="eastAsia" w:ascii="宋体" w:hAnsi="宋体" w:eastAsia="宋体" w:cs="宋体"/>
                <w:b w:val="0"/>
                <w:color w:val="FF0000"/>
                <w:sz w:val="24"/>
                <w:lang w:val="en-US" w:eastAsia="zh-CN"/>
              </w:rPr>
              <w:t>4</w:t>
            </w:r>
          </w:p>
        </w:tc>
        <w:tc>
          <w:tcPr>
            <w:tcW w:w="1014" w:type="dxa"/>
            <w:shd w:val="clear" w:color="auto" w:fill="FFFFFF"/>
            <w:tcMar>
              <w:top w:w="10" w:type="dxa"/>
              <w:left w:w="10" w:type="dxa"/>
              <w:bottom w:w="0" w:type="dxa"/>
              <w:right w:w="10" w:type="dxa"/>
            </w:tcMar>
            <w:vAlign w:val="top"/>
          </w:tcPr>
          <w:p>
            <w:pPr>
              <w:pStyle w:val="13"/>
              <w:spacing w:line="360" w:lineRule="auto"/>
              <w:textAlignment w:val="center"/>
              <w:rPr>
                <w:rFonts w:hint="eastAsia" w:ascii="宋体" w:hAnsi="宋体" w:eastAsia="宋体" w:cs="宋体"/>
                <w:color w:val="FF0000"/>
                <w:sz w:val="24"/>
                <w:szCs w:val="24"/>
              </w:rPr>
            </w:pPr>
            <w:r>
              <w:rPr>
                <w:rFonts w:hint="eastAsia" w:ascii="宋体" w:hAnsi="宋体" w:eastAsia="宋体" w:cs="宋体"/>
                <w:b w:val="0"/>
                <w:color w:val="FF0000"/>
                <w:sz w:val="24"/>
                <w:lang w:val="en-US" w:eastAsia="zh-CN"/>
              </w:rPr>
              <w:t>安全防护</w:t>
            </w:r>
          </w:p>
        </w:tc>
        <w:tc>
          <w:tcPr>
            <w:tcW w:w="1996" w:type="dxa"/>
            <w:shd w:val="clear" w:color="auto" w:fill="auto"/>
            <w:tcMar>
              <w:top w:w="10" w:type="dxa"/>
              <w:left w:w="10" w:type="dxa"/>
              <w:bottom w:w="0" w:type="dxa"/>
              <w:right w:w="10" w:type="dxa"/>
            </w:tcMar>
            <w:vAlign w:val="top"/>
          </w:tcPr>
          <w:p>
            <w:pPr>
              <w:pStyle w:val="13"/>
              <w:spacing w:line="360" w:lineRule="auto"/>
              <w:rPr>
                <w:rFonts w:hint="eastAsia" w:ascii="宋体" w:hAnsi="宋体" w:eastAsia="宋体" w:cs="宋体"/>
                <w:color w:val="FF0000"/>
                <w:sz w:val="24"/>
                <w:szCs w:val="24"/>
                <w:lang w:val="en-US"/>
              </w:rPr>
            </w:pPr>
            <w:r>
              <w:rPr>
                <w:rFonts w:hint="eastAsia" w:ascii="宋体" w:hAnsi="宋体" w:eastAsia="宋体" w:cs="宋体"/>
                <w:b w:val="0"/>
                <w:color w:val="FF0000"/>
                <w:sz w:val="24"/>
                <w:lang w:val="en-US" w:eastAsia="zh-CN"/>
              </w:rPr>
              <w:t>防火墙2</w:t>
            </w:r>
          </w:p>
        </w:tc>
        <w:tc>
          <w:tcPr>
            <w:tcW w:w="4711" w:type="dxa"/>
            <w:shd w:val="clear" w:color="auto" w:fill="auto"/>
            <w:tcMar>
              <w:top w:w="10" w:type="dxa"/>
              <w:left w:w="10" w:type="dxa"/>
              <w:bottom w:w="0" w:type="dxa"/>
              <w:right w:w="10" w:type="dxa"/>
            </w:tcMar>
            <w:vAlign w:val="top"/>
          </w:tcPr>
          <w:p>
            <w:pPr>
              <w:pStyle w:val="13"/>
              <w:spacing w:beforeAutospacing="0" w:afterAutospacing="0" w:line="360" w:lineRule="auto"/>
              <w:rPr>
                <w:rFonts w:hint="eastAsia" w:ascii="宋体" w:hAnsi="宋体" w:eastAsia="宋体" w:cs="宋体"/>
                <w:color w:val="FF0000"/>
              </w:rPr>
            </w:pPr>
            <w:r>
              <w:rPr>
                <w:rFonts w:hint="eastAsia" w:ascii="宋体" w:hAnsi="宋体" w:eastAsia="宋体" w:cs="宋体"/>
                <w:b w:val="0"/>
                <w:color w:val="FF0000"/>
                <w:sz w:val="24"/>
              </w:rPr>
              <w:t>（1）性能参数：1U标准机架式设备，千兆Combo接口（光电复用）≥</w:t>
            </w:r>
            <w:r>
              <w:rPr>
                <w:rFonts w:hint="eastAsia" w:ascii="宋体" w:hAnsi="宋体" w:eastAsia="宋体" w:cs="宋体"/>
                <w:b w:val="0"/>
                <w:color w:val="FF0000"/>
                <w:sz w:val="24"/>
                <w:lang w:val="en-US" w:eastAsia="zh-CN"/>
              </w:rPr>
              <w:t>2</w:t>
            </w:r>
            <w:r>
              <w:rPr>
                <w:rFonts w:hint="eastAsia" w:ascii="宋体" w:hAnsi="宋体" w:eastAsia="宋体" w:cs="宋体"/>
                <w:b w:val="0"/>
                <w:color w:val="FF0000"/>
                <w:sz w:val="24"/>
              </w:rPr>
              <w:t>个，千兆电接口≥10个，硬盘≥500G，单电源； 网络吞吐量≥5Gbps， 并发连接数≥</w:t>
            </w:r>
            <w:r>
              <w:rPr>
                <w:rFonts w:hint="eastAsia" w:ascii="宋体" w:hAnsi="宋体" w:eastAsia="宋体" w:cs="宋体"/>
                <w:b w:val="0"/>
                <w:color w:val="FF0000"/>
                <w:sz w:val="24"/>
                <w:lang w:val="en-US" w:eastAsia="zh-CN"/>
              </w:rPr>
              <w:t>4</w:t>
            </w:r>
            <w:r>
              <w:rPr>
                <w:rFonts w:hint="eastAsia" w:ascii="宋体" w:hAnsi="宋体" w:eastAsia="宋体" w:cs="宋体"/>
                <w:b w:val="0"/>
                <w:color w:val="FF0000"/>
                <w:sz w:val="24"/>
              </w:rPr>
              <w:t>00万；</w:t>
            </w:r>
          </w:p>
          <w:p>
            <w:pPr>
              <w:pStyle w:val="13"/>
              <w:spacing w:beforeAutospacing="0" w:afterAutospacing="0" w:line="360" w:lineRule="auto"/>
              <w:rPr>
                <w:rFonts w:hint="eastAsia" w:ascii="宋体" w:hAnsi="宋体" w:eastAsia="宋体" w:cs="宋体"/>
                <w:color w:val="FF0000"/>
              </w:rPr>
            </w:pPr>
            <w:r>
              <w:rPr>
                <w:rFonts w:hint="eastAsia" w:ascii="宋体" w:hAnsi="宋体" w:eastAsia="宋体" w:cs="宋体"/>
                <w:b w:val="0"/>
                <w:color w:val="FF0000"/>
                <w:sz w:val="24"/>
              </w:rPr>
              <w:t>（2）功能描述：</w:t>
            </w:r>
          </w:p>
          <w:p>
            <w:pPr>
              <w:pStyle w:val="13"/>
              <w:spacing w:beforeAutospacing="0" w:afterAutospacing="0" w:line="360" w:lineRule="auto"/>
              <w:rPr>
                <w:rFonts w:hint="eastAsia" w:ascii="宋体" w:hAnsi="宋体" w:eastAsia="宋体" w:cs="宋体"/>
                <w:color w:val="FF0000"/>
                <w:sz w:val="24"/>
                <w:szCs w:val="24"/>
              </w:rPr>
            </w:pPr>
            <w:r>
              <w:rPr>
                <w:rFonts w:hint="eastAsia" w:ascii="宋体" w:hAnsi="宋体" w:eastAsia="宋体" w:cs="宋体"/>
                <w:b w:val="0"/>
                <w:color w:val="FF0000"/>
                <w:sz w:val="24"/>
              </w:rPr>
              <w:t>① 提供智能策略分析功能，支持策略命中分析、隐藏策略分析、冗余策略分析、冲突策略分析、可合并策略分析、过期策略发现、空策略发现、策略宽松度分析，并在web页面显示分析结果；</w:t>
            </w:r>
            <w:r>
              <w:rPr>
                <w:rFonts w:hint="eastAsia" w:ascii="宋体" w:hAnsi="宋体" w:eastAsia="宋体" w:cs="宋体"/>
                <w:color w:val="FF0000"/>
              </w:rPr>
              <w:br w:type="textWrapping"/>
            </w:r>
            <w:r>
              <w:rPr>
                <w:rFonts w:hint="eastAsia" w:ascii="宋体" w:hAnsi="宋体" w:eastAsia="宋体" w:cs="宋体"/>
                <w:b w:val="0"/>
                <w:color w:val="FF0000"/>
                <w:sz w:val="24"/>
              </w:rPr>
              <w:t>② 支持直连网段和特定网段的负载均衡排除，支持过载保护、会话保持，会话保持可实现用户的访问请求均分配至同一出口，包含1年防病毒库、IPS攻击特征库、应用</w:t>
            </w:r>
            <w:r>
              <w:rPr>
                <w:rFonts w:hint="eastAsia" w:ascii="宋体" w:hAnsi="宋体" w:eastAsia="宋体" w:cs="宋体"/>
                <w:b w:val="0"/>
                <w:color w:val="FF0000"/>
                <w:sz w:val="24"/>
                <w:lang w:val="en-US" w:eastAsia="zh-CN"/>
              </w:rPr>
              <w:t>识别</w:t>
            </w:r>
            <w:r>
              <w:rPr>
                <w:rFonts w:hint="eastAsia" w:ascii="宋体" w:hAnsi="宋体" w:eastAsia="宋体" w:cs="宋体"/>
                <w:b w:val="0"/>
                <w:color w:val="FF0000"/>
                <w:sz w:val="24"/>
              </w:rPr>
              <w:t>特征库授权，1年原厂软硬件维保。</w:t>
            </w:r>
          </w:p>
        </w:tc>
        <w:tc>
          <w:tcPr>
            <w:tcW w:w="854" w:type="dxa"/>
            <w:shd w:val="clear" w:color="auto" w:fill="FFFFFF"/>
            <w:tcMar>
              <w:top w:w="10" w:type="dxa"/>
              <w:left w:w="10" w:type="dxa"/>
              <w:bottom w:w="0" w:type="dxa"/>
              <w:right w:w="10" w:type="dxa"/>
            </w:tcMar>
            <w:vAlign w:val="center"/>
          </w:tcPr>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center"/>
              <w:rPr>
                <w:rFonts w:hint="eastAsia" w:ascii="宋体" w:hAnsi="宋体" w:eastAsia="宋体" w:cs="宋体"/>
                <w:color w:val="auto"/>
                <w:sz w:val="24"/>
                <w:szCs w:val="24"/>
              </w:rPr>
            </w:pPr>
          </w:p>
        </w:tc>
      </w:tr>
    </w:tbl>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交付成果：提供上表所列设备部署在</w:t>
      </w:r>
      <w:r>
        <w:rPr>
          <w:rStyle w:val="15"/>
          <w:rFonts w:hint="eastAsia" w:ascii="宋体" w:hAnsi="宋体" w:eastAsia="宋体" w:cs="宋体"/>
          <w:color w:val="auto"/>
          <w:sz w:val="24"/>
          <w:szCs w:val="24"/>
          <w:lang w:val="en-US" w:eastAsia="zh-CN"/>
        </w:rPr>
        <w:t>业主</w:t>
      </w:r>
      <w:r>
        <w:rPr>
          <w:rStyle w:val="15"/>
          <w:rFonts w:hint="eastAsia" w:ascii="宋体" w:hAnsi="宋体" w:eastAsia="宋体" w:cs="宋体"/>
          <w:color w:val="auto"/>
          <w:sz w:val="24"/>
          <w:szCs w:val="24"/>
        </w:rPr>
        <w:t>现场</w:t>
      </w:r>
      <w:r>
        <w:rPr>
          <w:rStyle w:val="15"/>
          <w:rFonts w:hint="eastAsia" w:ascii="宋体" w:hAnsi="宋体" w:eastAsia="宋体" w:cs="宋体"/>
          <w:color w:val="auto"/>
          <w:sz w:val="24"/>
          <w:szCs w:val="24"/>
          <w:lang w:val="en-US" w:eastAsia="zh-CN"/>
        </w:rPr>
        <w:t>照片</w:t>
      </w:r>
      <w:r>
        <w:rPr>
          <w:rStyle w:val="15"/>
          <w:rFonts w:hint="eastAsia" w:ascii="宋体" w:hAnsi="宋体" w:eastAsia="宋体" w:cs="宋体"/>
          <w:color w:val="auto"/>
          <w:sz w:val="24"/>
          <w:szCs w:val="24"/>
        </w:rPr>
        <w:t>，并每季度提供1份巡检报告。</w:t>
      </w:r>
    </w:p>
    <w:p>
      <w:pPr>
        <w:pStyle w:val="21"/>
        <w:keepNext/>
        <w:keepLines/>
        <w:pageBreakBefore w:val="0"/>
        <w:kinsoku/>
        <w:wordWrap/>
        <w:overflowPunct/>
        <w:topLinePunct w:val="0"/>
        <w:bidi w:val="0"/>
        <w:adjustRightInd/>
        <w:snapToGrid/>
        <w:spacing w:before="0" w:beforeLines="0" w:beforeAutospacing="0" w:after="0" w:afterLines="0" w:afterAutospacing="0" w:line="360" w:lineRule="auto"/>
        <w:ind w:firstLine="482"/>
        <w:rPr>
          <w:rFonts w:hint="eastAsia" w:ascii="宋体" w:hAnsi="宋体" w:eastAsia="宋体" w:cs="宋体"/>
          <w:color w:val="auto"/>
          <w:sz w:val="24"/>
          <w:szCs w:val="24"/>
        </w:rPr>
      </w:pPr>
      <w:r>
        <w:rPr>
          <w:rStyle w:val="15"/>
          <w:rFonts w:hint="eastAsia" w:ascii="宋体" w:hAnsi="宋体" w:eastAsia="宋体" w:cs="宋体"/>
          <w:color w:val="auto"/>
          <w:sz w:val="24"/>
          <w:szCs w:val="24"/>
        </w:rPr>
        <w:t>服务频次：日常</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lang w:eastAsia="zh-CN"/>
        </w:rPr>
      </w:pP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color w:val="auto"/>
          <w:sz w:val="24"/>
          <w:szCs w:val="24"/>
          <w:lang w:val="en-US" w:eastAsia="zh-CN"/>
        </w:rPr>
        <w:t>（项号32）</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五四路办公区安全防护服务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 服务内容：提供省市场监督管理局的五四路办公区提供防火墙和交换机等相应设备的服务，并提供相应的日常运维服务。要求本项目服务商免费提供相关设备部署于服务现场。</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b/>
          <w:bCs/>
          <w:color w:val="auto"/>
          <w:sz w:val="24"/>
          <w:szCs w:val="24"/>
        </w:rPr>
      </w:pPr>
      <w:r>
        <w:rPr>
          <w:rFonts w:hint="eastAsia" w:ascii="宋体" w:hAnsi="宋体" w:eastAsia="宋体" w:cs="宋体"/>
          <w:color w:val="auto"/>
          <w:sz w:val="24"/>
          <w:szCs w:val="24"/>
        </w:rPr>
        <w:t>2. 服务设备功能及性能要求：</w:t>
      </w:r>
    </w:p>
    <w:tbl>
      <w:tblPr>
        <w:tblStyle w:val="1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804"/>
        <w:gridCol w:w="1361"/>
        <w:gridCol w:w="5936"/>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468" w:hRule="atLeast"/>
        </w:trPr>
        <w:tc>
          <w:tcPr>
            <w:tcW w:w="804" w:type="dxa"/>
            <w:vMerge w:val="restart"/>
            <w:shd w:val="clear" w:color="auto" w:fill="D7D7D7"/>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序号</w:t>
            </w:r>
          </w:p>
        </w:tc>
        <w:tc>
          <w:tcPr>
            <w:tcW w:w="1361" w:type="dxa"/>
            <w:vMerge w:val="restart"/>
            <w:shd w:val="clear" w:color="auto" w:fill="D7D7D7"/>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名称</w:t>
            </w:r>
          </w:p>
        </w:tc>
        <w:tc>
          <w:tcPr>
            <w:tcW w:w="5936" w:type="dxa"/>
            <w:vMerge w:val="restart"/>
            <w:shd w:val="clear" w:color="auto" w:fill="D7D7D7"/>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说明</w:t>
            </w:r>
          </w:p>
        </w:tc>
        <w:tc>
          <w:tcPr>
            <w:tcW w:w="1466" w:type="dxa"/>
            <w:vMerge w:val="restart"/>
            <w:shd w:val="clear" w:color="auto" w:fill="D7D7D7"/>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468" w:hRule="atLeast"/>
        </w:trPr>
        <w:tc>
          <w:tcPr>
            <w:tcW w:w="804" w:type="dxa"/>
            <w:vMerge w:val="continue"/>
            <w:shd w:val="clear" w:color="auto" w:fill="D7D7D7"/>
            <w:tcMar>
              <w:top w:w="10" w:type="dxa"/>
              <w:left w:w="10" w:type="dxa"/>
              <w:bottom w:w="0" w:type="dxa"/>
              <w:right w:w="1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1361" w:type="dxa"/>
            <w:vMerge w:val="continue"/>
            <w:shd w:val="clear" w:color="auto" w:fill="D7D7D7"/>
            <w:tcMar>
              <w:top w:w="10" w:type="dxa"/>
              <w:left w:w="10" w:type="dxa"/>
              <w:bottom w:w="0" w:type="dxa"/>
              <w:right w:w="1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5936" w:type="dxa"/>
            <w:vMerge w:val="continue"/>
            <w:shd w:val="clear" w:color="auto" w:fill="D7D7D7"/>
            <w:tcMar>
              <w:top w:w="10" w:type="dxa"/>
              <w:left w:w="10" w:type="dxa"/>
              <w:bottom w:w="0" w:type="dxa"/>
              <w:right w:w="1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c>
          <w:tcPr>
            <w:tcW w:w="1466" w:type="dxa"/>
            <w:vMerge w:val="continue"/>
            <w:shd w:val="clear" w:color="auto" w:fill="D7D7D7"/>
            <w:tcMar>
              <w:top w:w="10" w:type="dxa"/>
              <w:left w:w="10" w:type="dxa"/>
              <w:bottom w:w="0" w:type="dxa"/>
              <w:right w:w="10" w:type="dxa"/>
            </w:tcMar>
            <w:vAlign w:val="center"/>
          </w:tcPr>
          <w:p>
            <w:pPr>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10" w:hRule="atLeast"/>
        </w:trPr>
        <w:tc>
          <w:tcPr>
            <w:tcW w:w="9567" w:type="dxa"/>
            <w:gridSpan w:val="4"/>
            <w:shd w:val="clear" w:color="auto" w:fill="D7D7D7"/>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r>
              <w:rPr>
                <w:rStyle w:val="15"/>
                <w:rFonts w:hint="eastAsia" w:ascii="宋体" w:hAnsi="宋体" w:eastAsia="宋体" w:cs="宋体"/>
                <w:color w:val="auto"/>
                <w:sz w:val="24"/>
                <w:szCs w:val="24"/>
              </w:rPr>
              <w:t>一、互联网区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1510" w:hRule="atLeast"/>
        </w:trPr>
        <w:tc>
          <w:tcPr>
            <w:tcW w:w="804"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61"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防火墙1</w:t>
            </w:r>
          </w:p>
        </w:tc>
        <w:tc>
          <w:tcPr>
            <w:tcW w:w="5936"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（1）性能参数：1U标准机架，千兆电接口≥12个，千兆光接口≥12个，硬盘≥500G，冗余电源；网络吞吐量≥10Gbps，应用性能≥3Gbps，防护全开性能≥400Mbps，最大并发连接数≥200万。</w:t>
            </w:r>
          </w:p>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（2）功能描述：</w:t>
            </w:r>
          </w:p>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① 支持应用控制策略失效策略检查功能，检测策略可能失效的情况，如规则内容存在冲突、规则生效时间过期、规则超长时间未有匹配等情况；支持应用控制策略模拟匹配功能，支持输入源目的IP、端口，给出最可能的匹配结果，方便排查故障及设备部署前的调试，支持模拟匹配访问时间自定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② 支持基于应用类型，网站类型，文件类型进行流量控制，支持基于IP段、时间、国家/地区、认证用户、子接口和VLAN进行流量控制，包含1年防病毒库、IPS攻击特征库、应用特征库+URL特征授权，1年原厂软硬件维保。</w:t>
            </w:r>
          </w:p>
        </w:tc>
        <w:tc>
          <w:tcPr>
            <w:tcW w:w="1466"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1510" w:hRule="atLeast"/>
        </w:trPr>
        <w:tc>
          <w:tcPr>
            <w:tcW w:w="804"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61"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防火墙2</w:t>
            </w:r>
          </w:p>
        </w:tc>
        <w:tc>
          <w:tcPr>
            <w:tcW w:w="5936" w:type="dxa"/>
            <w:shd w:val="clear" w:color="auto" w:fill="auto"/>
            <w:tcMar>
              <w:top w:w="10" w:type="dxa"/>
              <w:left w:w="10" w:type="dxa"/>
              <w:bottom w:w="0" w:type="dxa"/>
              <w:right w:w="10" w:type="dxa"/>
            </w:tcMar>
            <w:vAlign w:val="center"/>
          </w:tcPr>
          <w:p>
            <w:pPr>
              <w:pageBreakBefore w:val="0"/>
              <w:widowControl/>
              <w:kinsoku/>
              <w:wordWrap/>
              <w:overflowPunct/>
              <w:topLinePunct w:val="0"/>
              <w:bidi w:val="0"/>
              <w:spacing w:beforeAutospacing="0" w:afterAutospacing="0" w:line="360" w:lineRule="auto"/>
              <w:contextualSpacing/>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性能参数：≥1U标准机架，千兆Combo接口（光电复用）≥4个，千兆电接口≥10个，500G硬盘≥500G，冗余电源，网络吞吐量≥5Gbps，应用性能≥1.5Gbps，防护全开性能≥300Mbps，最大并发连接数≥200万。支持IPSECvpn、SSL VPN、L2TP等各种主流VPN功能。</w:t>
            </w:r>
          </w:p>
          <w:p>
            <w:pPr>
              <w:pageBreakBefore w:val="0"/>
              <w:widowControl/>
              <w:kinsoku/>
              <w:wordWrap/>
              <w:overflowPunct/>
              <w:topLinePunct w:val="0"/>
              <w:bidi w:val="0"/>
              <w:spacing w:beforeAutospacing="0" w:afterAutospacing="0" w:line="360" w:lineRule="auto"/>
              <w:contextualSpacing/>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（2）功能描述：</w:t>
            </w:r>
          </w:p>
          <w:p>
            <w:pPr>
              <w:pageBreakBefore w:val="0"/>
              <w:widowControl/>
              <w:kinsoku/>
              <w:wordWrap/>
              <w:overflowPunct/>
              <w:topLinePunct w:val="0"/>
              <w:bidi w:val="0"/>
              <w:spacing w:beforeAutospacing="0" w:afterAutospacing="0" w:line="360" w:lineRule="auto"/>
              <w:contextualSpacing/>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 支持应用控制策略失效策略检查功能，检测策略可能失效的情况，如规则内容存在冲突、规则生效时间过期、规则超长时间未有匹配等情况；支持应用控制策略模拟匹配功能，支持输入源目的IP、端口，给出最可能的匹配结果，方便排查故障及设备部署前的调试，支持模拟匹配访问时间自定义；</w:t>
            </w:r>
          </w:p>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② 支持基于应用类型，网站类型，文件类型进行流量控制，支持基于IP段、时间、国家/地区、认证用户、子接口和VLAN进行流量控制，包含1年防病毒库、IPS攻击特征库、应用特征库+URL特征授权，1年原厂软硬件维保。</w:t>
            </w:r>
          </w:p>
        </w:tc>
        <w:tc>
          <w:tcPr>
            <w:tcW w:w="1466"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50" w:hRule="atLeast"/>
        </w:trPr>
        <w:tc>
          <w:tcPr>
            <w:tcW w:w="9567" w:type="dxa"/>
            <w:gridSpan w:val="4"/>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r>
              <w:rPr>
                <w:rStyle w:val="15"/>
                <w:rFonts w:hint="eastAsia" w:ascii="宋体" w:hAnsi="宋体" w:eastAsia="宋体" w:cs="宋体"/>
                <w:color w:val="auto"/>
                <w:sz w:val="24"/>
                <w:szCs w:val="24"/>
              </w:rPr>
              <w:t>二、政务信息网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1540" w:hRule="atLeast"/>
        </w:trPr>
        <w:tc>
          <w:tcPr>
            <w:tcW w:w="804"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61"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防火墙</w:t>
            </w:r>
          </w:p>
        </w:tc>
        <w:tc>
          <w:tcPr>
            <w:tcW w:w="5936"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（1）性能参数：1U标准机架，千兆电接口≥12个，千兆光接口≥12个，硬盘≥500G，冗余电源；网络吞吐量≥10Gbps，应用性能≥3Gbps，防护全开性能≥400Mbps，最大并发连接数≥200万。</w:t>
            </w:r>
          </w:p>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（2）功能描述：</w:t>
            </w:r>
          </w:p>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① 支持应用控制策略失效策略检查功能，检测策略可能失效的情况，如规则内容存在冲突、规则生效时间过期、规则超长时间未有匹配等情况；支持应用控制策略模拟匹配功能，支持输入源目的IP、端口，给出最可能的匹配结果，方便排查故障及设备部署前的调试，支持模拟匹配访问时间自定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② 支持基于应用类型，网站类型，文件类型进行流量控制，支持基于IP段、时间、国家/地区、认证用户、子接口和VLAN进行流量控制，包含1年防病毒库、IPS攻击特征库、应用特征库+URL特征授权，1年原厂软硬件维保</w:t>
            </w:r>
          </w:p>
        </w:tc>
        <w:tc>
          <w:tcPr>
            <w:tcW w:w="1466"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50" w:hRule="atLeast"/>
        </w:trPr>
        <w:tc>
          <w:tcPr>
            <w:tcW w:w="804"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61"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接入交换机</w:t>
            </w:r>
          </w:p>
        </w:tc>
        <w:tc>
          <w:tcPr>
            <w:tcW w:w="5936"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（1）端口配置： 10/100/1000Base-T自适应以太网端口≥24个，100/1000 Base-X SFP光口≥4个；</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（2）功能要求：支持基于端口的VLAN。</w:t>
            </w:r>
          </w:p>
        </w:tc>
        <w:tc>
          <w:tcPr>
            <w:tcW w:w="1466"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50" w:hRule="atLeast"/>
        </w:trPr>
        <w:tc>
          <w:tcPr>
            <w:tcW w:w="9567" w:type="dxa"/>
            <w:gridSpan w:val="4"/>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r>
              <w:rPr>
                <w:rStyle w:val="15"/>
                <w:rFonts w:hint="eastAsia" w:ascii="宋体" w:hAnsi="宋体" w:eastAsia="宋体" w:cs="宋体"/>
                <w:color w:val="auto"/>
                <w:sz w:val="24"/>
                <w:szCs w:val="24"/>
              </w:rPr>
              <w:t>三、政务外网公用区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00" w:hRule="atLeast"/>
        </w:trPr>
        <w:tc>
          <w:tcPr>
            <w:tcW w:w="804"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61"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防火墙</w:t>
            </w:r>
          </w:p>
        </w:tc>
        <w:tc>
          <w:tcPr>
            <w:tcW w:w="5936"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（1）性能参数：1U标准机架，千兆Combo接口（光电复用）≥4个，千兆电接口≥10个，500G硬盘≥500G，单电源，网络吞吐量≥5Gbps，应用性能≥1.5Gbps，防护全开性能≥300Mbps，最大并发连接数≥200万。</w:t>
            </w:r>
          </w:p>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（2）功能描述：</w:t>
            </w:r>
          </w:p>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① 支持应用控制策略失效策略检查功能，检测策略可能失效的情况，如规则内容存在冲突、规则生效时间过期、规则超长时间未有匹配等情况；支持应用控制策略模拟匹配功能，支持输入源目的IP、端口，给出最可能的匹配结果，方便排查故障及设备部署前的调试，支持模拟匹配访问时间自定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② 支持基于应用类型，网站类型，文件类型进行流量控制，支持基于IP段、时间、国家/地区、认证用户、子接口和VLAN进行流量控制，包含1年防病毒库、IPS攻击特征库、应用特征库+URL特征授权，1年原厂软硬件维保。</w:t>
            </w:r>
          </w:p>
        </w:tc>
        <w:tc>
          <w:tcPr>
            <w:tcW w:w="1466"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交付成果：提供上表所列设备部署在</w:t>
      </w:r>
      <w:r>
        <w:rPr>
          <w:rStyle w:val="15"/>
          <w:rFonts w:hint="eastAsia" w:ascii="宋体" w:hAnsi="宋体" w:eastAsia="宋体" w:cs="宋体"/>
          <w:color w:val="auto"/>
          <w:sz w:val="24"/>
          <w:szCs w:val="24"/>
          <w:lang w:val="en-US" w:eastAsia="zh-CN"/>
        </w:rPr>
        <w:t>业主</w:t>
      </w:r>
      <w:r>
        <w:rPr>
          <w:rStyle w:val="15"/>
          <w:rFonts w:hint="eastAsia" w:ascii="宋体" w:hAnsi="宋体" w:eastAsia="宋体" w:cs="宋体"/>
          <w:color w:val="auto"/>
          <w:sz w:val="24"/>
          <w:szCs w:val="24"/>
        </w:rPr>
        <w:t>现场</w:t>
      </w:r>
      <w:r>
        <w:rPr>
          <w:rStyle w:val="15"/>
          <w:rFonts w:hint="eastAsia" w:ascii="宋体" w:hAnsi="宋体" w:eastAsia="宋体" w:cs="宋体"/>
          <w:color w:val="auto"/>
          <w:sz w:val="24"/>
          <w:szCs w:val="24"/>
          <w:lang w:val="en-US" w:eastAsia="zh-CN"/>
        </w:rPr>
        <w:t>照片</w:t>
      </w:r>
      <w:r>
        <w:rPr>
          <w:rStyle w:val="15"/>
          <w:rFonts w:hint="eastAsia" w:ascii="宋体" w:hAnsi="宋体" w:eastAsia="宋体" w:cs="宋体"/>
          <w:color w:val="auto"/>
          <w:sz w:val="24"/>
          <w:szCs w:val="24"/>
        </w:rPr>
        <w:t>，并每季度提供1份巡检报告。</w:t>
      </w:r>
    </w:p>
    <w:p>
      <w:pPr>
        <w:pStyle w:val="21"/>
        <w:keepNext/>
        <w:keepLines/>
        <w:pageBreakBefore w:val="0"/>
        <w:kinsoku/>
        <w:wordWrap/>
        <w:overflowPunct/>
        <w:topLinePunct w:val="0"/>
        <w:bidi w:val="0"/>
        <w:adjustRightInd/>
        <w:snapToGrid/>
        <w:spacing w:before="0" w:beforeLines="0" w:beforeAutospacing="0" w:after="0" w:afterLines="0" w:afterAutospacing="0" w:line="360" w:lineRule="auto"/>
        <w:ind w:firstLine="482"/>
        <w:rPr>
          <w:rFonts w:hint="eastAsia" w:ascii="宋体" w:hAnsi="宋体" w:eastAsia="宋体" w:cs="宋体"/>
          <w:color w:val="auto"/>
          <w:sz w:val="24"/>
          <w:szCs w:val="24"/>
        </w:rPr>
      </w:pPr>
      <w:r>
        <w:rPr>
          <w:rStyle w:val="15"/>
          <w:rFonts w:hint="eastAsia" w:ascii="宋体" w:hAnsi="宋体" w:eastAsia="宋体" w:cs="宋体"/>
          <w:color w:val="auto"/>
          <w:sz w:val="24"/>
          <w:szCs w:val="24"/>
        </w:rPr>
        <w:t>服务频次：日常</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lang w:eastAsia="zh-CN"/>
        </w:rPr>
      </w:pP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color w:val="auto"/>
          <w:sz w:val="24"/>
          <w:szCs w:val="24"/>
          <w:lang w:val="en-US" w:eastAsia="zh-CN"/>
        </w:rPr>
        <w:t>（项号33）</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八</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长乐机房局域网安全防护服务</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 服务内容：为省市场监督管理局的长乐机房省局至国家总局线路提供防火墙的服务，并提供相应的日常运维服务。要求本项目服务商免费提供相关设备部署于服务现场。</w:t>
      </w:r>
    </w:p>
    <w:p>
      <w:pPr>
        <w:pStyle w:val="13"/>
        <w:pageBreakBefore w:val="0"/>
        <w:widowControl/>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 服务设备功能及性能要求：</w:t>
      </w:r>
    </w:p>
    <w:tbl>
      <w:tblPr>
        <w:tblStyle w:val="17"/>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676"/>
        <w:gridCol w:w="1276"/>
        <w:gridCol w:w="1371"/>
        <w:gridCol w:w="5187"/>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570" w:hRule="atLeast"/>
        </w:trPr>
        <w:tc>
          <w:tcPr>
            <w:tcW w:w="676" w:type="dxa"/>
            <w:shd w:val="clear" w:color="auto" w:fill="D9D9D9"/>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序号</w:t>
            </w:r>
          </w:p>
        </w:tc>
        <w:tc>
          <w:tcPr>
            <w:tcW w:w="1276" w:type="dxa"/>
            <w:shd w:val="clear" w:color="auto" w:fill="D9D9D9"/>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设备类型</w:t>
            </w:r>
          </w:p>
        </w:tc>
        <w:tc>
          <w:tcPr>
            <w:tcW w:w="1371" w:type="dxa"/>
            <w:shd w:val="clear" w:color="auto" w:fill="D9D9D9"/>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设备名称</w:t>
            </w:r>
          </w:p>
        </w:tc>
        <w:tc>
          <w:tcPr>
            <w:tcW w:w="5187" w:type="dxa"/>
            <w:shd w:val="clear" w:color="auto" w:fill="D9D9D9"/>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参数要求</w:t>
            </w:r>
          </w:p>
        </w:tc>
        <w:tc>
          <w:tcPr>
            <w:tcW w:w="887" w:type="dxa"/>
            <w:shd w:val="clear" w:color="auto" w:fill="D9D9D9"/>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Style w:val="15"/>
                <w:rFonts w:hint="eastAsia" w:ascii="宋体" w:hAnsi="宋体" w:eastAsia="宋体" w:cs="宋体"/>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20" w:hRule="atLeast"/>
        </w:trPr>
        <w:tc>
          <w:tcPr>
            <w:tcW w:w="676" w:type="dxa"/>
            <w:shd w:val="clear" w:color="auto" w:fill="FFFFFF"/>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76" w:type="dxa"/>
            <w:shd w:val="clear" w:color="auto" w:fill="FFFFFF"/>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安全防护</w:t>
            </w:r>
          </w:p>
        </w:tc>
        <w:tc>
          <w:tcPr>
            <w:tcW w:w="1371"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防火墙</w:t>
            </w:r>
          </w:p>
        </w:tc>
        <w:tc>
          <w:tcPr>
            <w:tcW w:w="5187" w:type="dxa"/>
            <w:shd w:val="clear" w:color="auto" w:fill="auto"/>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（1）性能参数：1U标准机架，千兆Combo接口（光电复用）≥4个，千兆电接口≥10个，500G硬盘≥500G，单电源，网络吞吐量≥5Gbps，应用性能≥1.5Gbps，防护全开性能≥300Mbps，最大并发连接数≥200万。</w:t>
            </w:r>
          </w:p>
          <w:p>
            <w:pPr>
              <w:pStyle w:val="13"/>
              <w:pageBreakBefore w:val="0"/>
              <w:widowControl/>
              <w:kinsoku/>
              <w:wordWrap/>
              <w:overflowPunct/>
              <w:topLinePunct w:val="0"/>
              <w:bidi w:val="0"/>
              <w:spacing w:before="0" w:beforeAutospacing="0" w:after="0" w:afterAutospacing="0"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（2）功能描述</w:t>
            </w:r>
          </w:p>
          <w:p>
            <w:pPr>
              <w:pStyle w:val="13"/>
              <w:pageBreakBefore w:val="0"/>
              <w:widowControl/>
              <w:kinsoku/>
              <w:wordWrap/>
              <w:overflowPunct/>
              <w:topLinePunct w:val="0"/>
              <w:bidi w:val="0"/>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① 支持应用控制策略失效策略检查功能，检测策略可能失效的情况，如规则内容存在冲突、规则生效时间过期、规则超长时间未有匹配等情况；支持应用控制策略模拟匹配功能，支持输入源目的IP、端口，给出最可能的匹配结果，方便排查故障及设备部署前的调试，支持模拟匹配访问时间自定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② 支持基于应用类型，网站类型，文件类型进行流量控制，支持基于IP段、时间、国家/地区、认证用户、子接口和VLAN进行流量控制，包含1年防病毒库、IPS攻击特征库、应用特征库+URL特征授权，1年原厂软硬件维保。</w:t>
            </w:r>
          </w:p>
        </w:tc>
        <w:tc>
          <w:tcPr>
            <w:tcW w:w="887" w:type="dxa"/>
            <w:shd w:val="clear" w:color="auto" w:fill="FFFFFF"/>
            <w:tcMar>
              <w:top w:w="10" w:type="dxa"/>
              <w:left w:w="10" w:type="dxa"/>
              <w:bottom w:w="0" w:type="dxa"/>
              <w:right w:w="10" w:type="dxa"/>
            </w:tcMar>
            <w:vAlign w:val="center"/>
          </w:tcPr>
          <w:p>
            <w:pPr>
              <w:pStyle w:val="13"/>
              <w:pageBreakBefore w:val="0"/>
              <w:widowControl/>
              <w:kinsoku/>
              <w:wordWrap/>
              <w:overflowPunct/>
              <w:topLinePunct w:val="0"/>
              <w:bidi w:val="0"/>
              <w:spacing w:before="0" w:beforeAutospacing="0" w:after="0" w:afterAutospacing="0"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pPr>
        <w:pageBreakBefore w:val="0"/>
        <w:kinsoku/>
        <w:wordWrap/>
        <w:overflowPunct/>
        <w:topLinePunct w:val="0"/>
        <w:bidi w:val="0"/>
        <w:adjustRightInd w:val="0"/>
        <w:snapToGrid w:val="0"/>
        <w:spacing w:beforeAutospacing="0" w:afterAutospacing="0" w:line="360" w:lineRule="auto"/>
        <w:ind w:firstLine="482" w:firstLineChars="200"/>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rPr>
        <w:t>交付成果：提供上表所列设备部署在</w:t>
      </w:r>
      <w:r>
        <w:rPr>
          <w:rStyle w:val="15"/>
          <w:rFonts w:hint="eastAsia" w:ascii="宋体" w:hAnsi="宋体" w:eastAsia="宋体" w:cs="宋体"/>
          <w:color w:val="auto"/>
          <w:sz w:val="24"/>
          <w:szCs w:val="24"/>
          <w:lang w:val="en-US" w:eastAsia="zh-CN"/>
        </w:rPr>
        <w:t>业主</w:t>
      </w:r>
      <w:r>
        <w:rPr>
          <w:rStyle w:val="15"/>
          <w:rFonts w:hint="eastAsia" w:ascii="宋体" w:hAnsi="宋体" w:eastAsia="宋体" w:cs="宋体"/>
          <w:color w:val="auto"/>
          <w:sz w:val="24"/>
          <w:szCs w:val="24"/>
        </w:rPr>
        <w:t>现场</w:t>
      </w:r>
      <w:r>
        <w:rPr>
          <w:rStyle w:val="15"/>
          <w:rFonts w:hint="eastAsia" w:ascii="宋体" w:hAnsi="宋体" w:eastAsia="宋体" w:cs="宋体"/>
          <w:color w:val="auto"/>
          <w:sz w:val="24"/>
          <w:szCs w:val="24"/>
          <w:lang w:val="en-US" w:eastAsia="zh-CN"/>
        </w:rPr>
        <w:t>照片</w:t>
      </w:r>
      <w:r>
        <w:rPr>
          <w:rStyle w:val="15"/>
          <w:rFonts w:hint="eastAsia" w:ascii="宋体" w:hAnsi="宋体" w:eastAsia="宋体" w:cs="宋体"/>
          <w:color w:val="auto"/>
          <w:sz w:val="24"/>
          <w:szCs w:val="24"/>
        </w:rPr>
        <w:t>，并每季度提供1份巡检报告。</w:t>
      </w:r>
    </w:p>
    <w:p>
      <w:pPr>
        <w:pStyle w:val="21"/>
        <w:pageBreakBefore w:val="0"/>
        <w:kinsoku/>
        <w:wordWrap/>
        <w:overflowPunct/>
        <w:topLinePunct w:val="0"/>
        <w:bidi w:val="0"/>
        <w:spacing w:before="0" w:beforeLines="0" w:beforeAutospacing="0" w:after="0" w:afterLines="0" w:afterAutospacing="0" w:line="360" w:lineRule="auto"/>
        <w:ind w:firstLine="482"/>
        <w:rPr>
          <w:rFonts w:hint="eastAsia" w:ascii="宋体" w:hAnsi="宋体" w:eastAsia="宋体" w:cs="宋体"/>
          <w:color w:val="auto"/>
          <w:sz w:val="24"/>
          <w:szCs w:val="24"/>
        </w:rPr>
      </w:pPr>
      <w:r>
        <w:rPr>
          <w:rStyle w:val="15"/>
          <w:rFonts w:hint="eastAsia" w:ascii="宋体" w:hAnsi="宋体" w:eastAsia="宋体" w:cs="宋体"/>
          <w:color w:val="auto"/>
          <w:sz w:val="24"/>
          <w:szCs w:val="24"/>
        </w:rPr>
        <w:t>服务频次：日常</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outlineLvl w:val="2"/>
        <w:rPr>
          <w:rFonts w:hint="eastAsia" w:ascii="宋体" w:hAnsi="宋体" w:eastAsia="宋体" w:cs="宋体"/>
          <w:b/>
          <w:bCs w:val="0"/>
          <w:color w:val="auto"/>
          <w:sz w:val="24"/>
          <w:szCs w:val="24"/>
          <w:lang w:eastAsia="zh-CN"/>
        </w:rPr>
      </w:pP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color w:val="auto"/>
          <w:sz w:val="24"/>
          <w:szCs w:val="24"/>
          <w:lang w:val="en-US" w:eastAsia="zh-CN"/>
        </w:rPr>
        <w:t>（项号34）</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九</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终端安全防护服务</w:t>
      </w:r>
    </w:p>
    <w:p>
      <w:pPr>
        <w:pStyle w:val="13"/>
        <w:pageBreakBefore w:val="0"/>
        <w:widowControl/>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rPr>
        <w:t>提供550个终端授权；</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0" w:firstLineChars="200"/>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2.服务功能要求：一体化集中安全管理平台；终端病毒与恶意代码防范；XP系统安全加固；全网终端漏洞统一管理；终端安全管理措施；软硬件资产登记管理。</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outlineLvl w:val="2"/>
        <w:rPr>
          <w:rFonts w:hint="eastAsia" w:ascii="宋体" w:hAnsi="宋体" w:eastAsia="宋体" w:cs="宋体"/>
          <w:b/>
          <w:bCs w:val="0"/>
          <w:color w:val="auto"/>
          <w:sz w:val="24"/>
          <w:szCs w:val="24"/>
          <w:lang w:eastAsia="zh-CN"/>
        </w:rPr>
      </w:pP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（项号35）</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lang w:eastAsia="zh-CN"/>
        </w:rPr>
        <w:t>）计划方案</w:t>
      </w:r>
    </w:p>
    <w:p>
      <w:pPr>
        <w:pStyle w:val="20"/>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0" w:firstLineChars="200"/>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lang w:eastAsia="zh-CN"/>
        </w:rPr>
        <w:t>在合同签订后10日内，</w:t>
      </w:r>
      <w:r>
        <w:rPr>
          <w:rFonts w:hint="eastAsia" w:ascii="宋体" w:hAnsi="宋体" w:eastAsia="宋体" w:cs="宋体"/>
          <w:b w:val="0"/>
          <w:bCs/>
          <w:color w:val="auto"/>
          <w:sz w:val="24"/>
          <w:szCs w:val="24"/>
          <w:lang w:val="en-US" w:eastAsia="zh-CN"/>
        </w:rPr>
        <w:t>中标人</w:t>
      </w:r>
      <w:r>
        <w:rPr>
          <w:rFonts w:hint="eastAsia" w:ascii="宋体" w:hAnsi="宋体" w:eastAsia="宋体" w:cs="宋体"/>
          <w:b w:val="0"/>
          <w:bCs/>
          <w:color w:val="auto"/>
          <w:sz w:val="24"/>
          <w:szCs w:val="24"/>
          <w:lang w:eastAsia="zh-CN"/>
        </w:rPr>
        <w:t>须向采购人书面提交实施计划和运维方案。实施计划和运维方案必须针</w:t>
      </w:r>
      <w:r>
        <w:rPr>
          <w:rFonts w:hint="eastAsia" w:ascii="宋体" w:hAnsi="宋体" w:eastAsia="宋体" w:cs="宋体"/>
          <w:i w:val="0"/>
          <w:caps w:val="0"/>
          <w:color w:val="auto"/>
          <w:spacing w:val="0"/>
          <w:sz w:val="24"/>
          <w:szCs w:val="24"/>
        </w:rPr>
        <w:t>对运维服务的重点难点进行分析，密切贴合日常维护需求，其中至少包括运维项目内容、重点难点、详细指标、实施周期、服务团队人员等内容，并提供巡检记录、故障记录等相应配套的表单，否则视为无法履行本次合同，采购人有权单方面解除合同并要求</w:t>
      </w:r>
      <w:r>
        <w:rPr>
          <w:rFonts w:hint="eastAsia" w:ascii="宋体" w:hAnsi="宋体" w:eastAsia="宋体" w:cs="宋体"/>
          <w:i w:val="0"/>
          <w:caps w:val="0"/>
          <w:color w:val="auto"/>
          <w:spacing w:val="0"/>
          <w:sz w:val="24"/>
          <w:szCs w:val="24"/>
          <w:lang w:val="en-US" w:eastAsia="zh-CN"/>
        </w:rPr>
        <w:t>中标人</w:t>
      </w:r>
      <w:r>
        <w:rPr>
          <w:rFonts w:hint="eastAsia" w:ascii="宋体" w:hAnsi="宋体" w:eastAsia="宋体" w:cs="宋体"/>
          <w:i w:val="0"/>
          <w:caps w:val="0"/>
          <w:color w:val="auto"/>
          <w:spacing w:val="0"/>
          <w:sz w:val="24"/>
          <w:szCs w:val="24"/>
        </w:rPr>
        <w:t>支付违约金及追究相应的法律责任。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360" w:lineRule="auto"/>
        <w:ind w:left="0" w:right="0" w:firstLine="0"/>
        <w:jc w:val="both"/>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三、商务要求（以“★”标示的内容为不允许负偏离的实质性要求）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auto"/>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采购包1：</w:t>
      </w:r>
    </w:p>
    <w:tbl>
      <w:tblPr>
        <w:tblStyle w:val="17"/>
        <w:tblW w:w="95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3"/>
        <w:gridCol w:w="954"/>
        <w:gridCol w:w="1431"/>
        <w:gridCol w:w="6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序号</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参数性质</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类型</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交货时间</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云上安全服务，包含网络安全合规体系建设、云上安全保障、数据端安全保障、互联网安全防护、网络防爬虫，中标人自合同签订之日起按照要求提供上述服务，服务期为一年；局域网安全服务，包含华林路办公区安全防护、五四路办公区安全防护、长乐机房局域网安全防护服务、终端安全防护，由中标人在合同签订之日起提供一年的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交货地点</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云上安全保障服务交付地点：福建省福州市长乐区文武砂镇数字福建产业园东湖一路1号数字福建云计算中心（政务云）机房。</w:t>
            </w:r>
          </w:p>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华林路办公区安全防护服务交付地点：福州市鼓楼区华林路147号。</w:t>
            </w:r>
          </w:p>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五四路办公区安全防护服务交付地点：福州市鼓楼区五四路358号。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交货条件</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网络安全合规体系建设、云上安全保障、数据端安全保障、互联网安全防护、网络放爬虫、华林路办公区安全防护、五四路办公区安全防护、长乐机房局域网安全防护服务、终端安全防护服务。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是否邀请投标人验收</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履约验收方式</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360" w:lineRule="auto"/>
              <w:ind w:left="0" w:right="0" w:firstLine="0"/>
              <w:rPr>
                <w:rFonts w:hint="eastAsia" w:ascii="宋体" w:hAnsi="宋体" w:eastAsia="宋体" w:cs="宋体"/>
                <w:color w:val="auto"/>
                <w:sz w:val="24"/>
                <w:szCs w:val="24"/>
              </w:rPr>
            </w:pPr>
            <w:r>
              <w:rPr>
                <w:rFonts w:hint="eastAsia" w:ascii="宋体" w:hAnsi="宋体" w:eastAsia="宋体" w:cs="宋体"/>
                <w:color w:val="auto"/>
                <w:sz w:val="24"/>
                <w:szCs w:val="24"/>
              </w:rPr>
              <w:t>1、期次1，说明：按照招标文件及合同要求进行验收。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pacing w:beforeAutospacing="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合同支付方式</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360" w:lineRule="auto"/>
              <w:ind w:left="0" w:right="0" w:firstLine="0"/>
              <w:textAlignment w:val="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US" w:eastAsia="zh-CN"/>
              </w:rPr>
              <w:t>1、</w:t>
            </w:r>
            <w:r>
              <w:rPr>
                <w:rFonts w:hint="eastAsia" w:ascii="宋体" w:hAnsi="宋体" w:eastAsia="宋体" w:cs="宋体"/>
                <w:color w:val="auto"/>
                <w:kern w:val="0"/>
                <w:sz w:val="24"/>
                <w:szCs w:val="24"/>
                <w:lang w:bidi="ar"/>
              </w:rPr>
              <w:t>项目合同签订且中标人提供等额发票后，采购人支付给中标人项目费用的50%；</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360" w:lineRule="auto"/>
              <w:ind w:left="0" w:right="0" w:firstLine="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sz w:val="24"/>
                <w:szCs w:val="24"/>
              </w:rPr>
              <w:t>项目完成并通过验收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减去每月服务考核扣款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中标方提供等额发票后，达到付款条件起1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日，支</w:t>
            </w:r>
            <w:r>
              <w:rPr>
                <w:rFonts w:hint="eastAsia" w:ascii="宋体" w:hAnsi="宋体" w:eastAsia="宋体" w:cs="宋体"/>
                <w:sz w:val="24"/>
                <w:szCs w:val="24"/>
              </w:rPr>
              <w:t>付合同总金额的50.00%</w:t>
            </w:r>
            <w:r>
              <w:rPr>
                <w:rFonts w:hint="eastAsia" w:ascii="宋体" w:hAnsi="宋体" w:eastAsia="宋体" w:cs="宋体"/>
                <w:sz w:val="24"/>
                <w:szCs w:val="24"/>
                <w:lang w:eastAsia="zh-CN"/>
              </w:rPr>
              <w:t>，</w:t>
            </w:r>
            <w:r>
              <w:rPr>
                <w:rFonts w:hint="eastAsia" w:ascii="宋体" w:hAnsi="宋体" w:eastAsia="宋体" w:cs="宋体"/>
                <w:sz w:val="24"/>
                <w:szCs w:val="24"/>
              </w:rPr>
              <w:t>减去每月服务考核扣款</w:t>
            </w:r>
            <w:r>
              <w:rPr>
                <w:rFonts w:hint="eastAsia" w:ascii="宋体" w:hAnsi="宋体" w:eastAsia="宋体" w:cs="宋体"/>
                <w:sz w:val="24"/>
                <w:szCs w:val="24"/>
                <w:lang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360" w:lineRule="auto"/>
              <w:ind w:left="0" w:right="0" w:firstLine="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特别说明：由于财政拨款等手续问题导致支付延误，乙方不追究甲方责任。</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履约保证金</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不缴纳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其他商务要求</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现场驻点要求</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为确保</w:t>
      </w:r>
      <w:r>
        <w:rPr>
          <w:rFonts w:hint="eastAsia" w:ascii="宋体" w:hAnsi="宋体" w:eastAsia="宋体" w:cs="宋体"/>
          <w:color w:val="auto"/>
          <w:sz w:val="24"/>
          <w:szCs w:val="24"/>
          <w:lang w:val="en-US" w:eastAsia="zh-CN"/>
        </w:rPr>
        <w:t>福建省</w:t>
      </w:r>
      <w:r>
        <w:rPr>
          <w:rFonts w:hint="eastAsia" w:ascii="宋体" w:hAnsi="宋体" w:eastAsia="宋体" w:cs="宋体"/>
          <w:color w:val="auto"/>
          <w:sz w:val="24"/>
          <w:szCs w:val="24"/>
        </w:rPr>
        <w:t>市场监督管理局业务系统安全保障到位、安全事件应急处置高效，要求本项目服务商承诺提供相应技术服务人员驻点福建省福州市长乐区文武砂镇数字福建产业园东湖一路1号数字福建云计算中心（政务云）机房现场并提供现场安全保障服务。</w:t>
      </w:r>
      <w:r>
        <w:rPr>
          <w:rFonts w:hint="eastAsia" w:ascii="宋体" w:hAnsi="宋体" w:eastAsia="宋体" w:cs="宋体"/>
          <w:b/>
          <w:bCs/>
          <w:color w:val="auto"/>
          <w:sz w:val="24"/>
          <w:szCs w:val="24"/>
        </w:rPr>
        <w:t>（投标人须</w:t>
      </w:r>
      <w:r>
        <w:rPr>
          <w:rFonts w:hint="eastAsia" w:ascii="宋体" w:hAnsi="宋体" w:eastAsia="宋体" w:cs="宋体"/>
          <w:b/>
          <w:bCs/>
          <w:color w:val="auto"/>
          <w:sz w:val="24"/>
          <w:szCs w:val="24"/>
          <w:lang w:val="en-US" w:eastAsia="zh-CN"/>
        </w:rPr>
        <w:t>在技术商务部分</w:t>
      </w:r>
      <w:r>
        <w:rPr>
          <w:rFonts w:hint="eastAsia" w:ascii="宋体" w:hAnsi="宋体" w:eastAsia="宋体" w:cs="宋体"/>
          <w:b/>
          <w:bCs/>
          <w:color w:val="auto"/>
          <w:sz w:val="24"/>
          <w:szCs w:val="24"/>
        </w:rPr>
        <w:t>中单独提供书面承诺函，否则</w:t>
      </w:r>
      <w:r>
        <w:rPr>
          <w:rFonts w:hint="eastAsia" w:ascii="宋体" w:hAnsi="宋体" w:eastAsia="宋体" w:cs="宋体"/>
          <w:b/>
          <w:bCs/>
          <w:color w:val="auto"/>
          <w:sz w:val="24"/>
          <w:szCs w:val="24"/>
          <w:lang w:val="en-US" w:eastAsia="zh-CN"/>
        </w:rPr>
        <w:t>按</w:t>
      </w:r>
      <w:r>
        <w:rPr>
          <w:rFonts w:hint="eastAsia" w:ascii="宋体" w:hAnsi="宋体" w:eastAsia="宋体" w:cs="宋体"/>
          <w:b/>
          <w:bCs/>
          <w:color w:val="auto"/>
          <w:sz w:val="24"/>
          <w:szCs w:val="24"/>
        </w:rPr>
        <w:t>投标无效</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p>
    <w:p>
      <w:pPr>
        <w:pageBreakBefore w:val="0"/>
        <w:kinsoku/>
        <w:wordWrap/>
        <w:overflowPunct/>
        <w:topLinePunct w:val="0"/>
        <w:bidi w:val="0"/>
        <w:adjustRightInd w:val="0"/>
        <w:snapToGrid w:val="0"/>
        <w:spacing w:beforeAutospacing="0" w:afterAutospacing="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服务响应时效要求</w:t>
      </w:r>
    </w:p>
    <w:p>
      <w:pPr>
        <w:pageBreakBefore w:val="0"/>
        <w:kinsoku/>
        <w:wordWrap/>
        <w:overflowPunct/>
        <w:topLinePunct w:val="0"/>
        <w:bidi w:val="0"/>
        <w:adjustRightInd w:val="0"/>
        <w:snapToGrid w:val="0"/>
        <w:spacing w:beforeAutospacing="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数字福建云计算中心：采用现场与远程相结合的方式提供7x24小时事件响应和处置服务，随时进行故障响应与技术支撑。</w:t>
      </w:r>
    </w:p>
    <w:p>
      <w:pPr>
        <w:pageBreakBefore w:val="0"/>
        <w:kinsoku/>
        <w:wordWrap/>
        <w:overflowPunct/>
        <w:topLinePunct w:val="0"/>
        <w:bidi w:val="0"/>
        <w:adjustRightInd w:val="0"/>
        <w:snapToGrid w:val="0"/>
        <w:spacing w:beforeAutospacing="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福建省</w:t>
      </w:r>
      <w:r>
        <w:rPr>
          <w:rFonts w:hint="eastAsia" w:ascii="宋体" w:hAnsi="宋体" w:eastAsia="宋体" w:cs="宋体"/>
          <w:color w:val="auto"/>
          <w:sz w:val="24"/>
          <w:szCs w:val="24"/>
        </w:rPr>
        <w:t>市场监督管理局办公区：包含华林路办公区和五四路办公区，提供7x24小时事件远程响应和处置服务，若需要本项目服务商提供现场支持的，本项目服务商应在1个小时内提供相关事件的解决方案、3个小时内到达业主指定现场并提供本项目范围内的相关服务。</w:t>
      </w:r>
    </w:p>
    <w:p>
      <w:pPr>
        <w:keepNext/>
        <w:keepLines/>
        <w:pageBreakBefore w:val="0"/>
        <w:numPr>
          <w:ilvl w:val="2"/>
          <w:numId w:val="0"/>
        </w:numPr>
        <w:kinsoku/>
        <w:wordWrap/>
        <w:overflowPunct/>
        <w:topLinePunct w:val="0"/>
        <w:bidi w:val="0"/>
        <w:spacing w:before="0" w:beforeAutospacing="0" w:after="0" w:afterAutospacing="0" w:line="360" w:lineRule="auto"/>
        <w:ind w:leftChars="0" w:firstLine="482" w:firstLineChars="200"/>
        <w:outlineLvl w:val="9"/>
        <w:rPr>
          <w:rFonts w:hint="eastAsia" w:ascii="宋体" w:hAnsi="宋体" w:eastAsia="宋体" w:cs="宋体"/>
          <w:b/>
          <w:bCs w:val="0"/>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w:t>
      </w:r>
      <w:r>
        <w:rPr>
          <w:rFonts w:hint="eastAsia" w:ascii="宋体" w:hAnsi="宋体" w:eastAsia="宋体" w:cs="宋体"/>
          <w:b/>
          <w:bCs w:val="0"/>
          <w:i w:val="0"/>
          <w:caps w:val="0"/>
          <w:color w:val="auto"/>
          <w:spacing w:val="0"/>
          <w:sz w:val="24"/>
          <w:szCs w:val="24"/>
          <w:lang w:val="en-US" w:eastAsia="zh-CN"/>
        </w:rPr>
        <w:t>每月</w:t>
      </w:r>
      <w:r>
        <w:rPr>
          <w:rFonts w:hint="eastAsia" w:ascii="宋体" w:hAnsi="宋体" w:eastAsia="宋体" w:cs="宋体"/>
          <w:b/>
          <w:bCs w:val="0"/>
          <w:color w:val="auto"/>
          <w:sz w:val="24"/>
          <w:szCs w:val="24"/>
        </w:rPr>
        <w:t>服务</w:t>
      </w:r>
      <w:r>
        <w:rPr>
          <w:rFonts w:hint="eastAsia" w:ascii="宋体" w:hAnsi="宋体" w:eastAsia="宋体" w:cs="宋体"/>
          <w:b/>
          <w:bCs w:val="0"/>
          <w:color w:val="auto"/>
          <w:sz w:val="24"/>
          <w:szCs w:val="24"/>
          <w:lang w:val="en-US" w:eastAsia="zh-CN"/>
        </w:rPr>
        <w:t>质量</w:t>
      </w:r>
      <w:r>
        <w:rPr>
          <w:rFonts w:hint="eastAsia" w:ascii="宋体" w:hAnsi="宋体" w:eastAsia="宋体" w:cs="宋体"/>
          <w:b/>
          <w:bCs w:val="0"/>
          <w:color w:val="auto"/>
          <w:sz w:val="24"/>
          <w:szCs w:val="24"/>
        </w:rPr>
        <w:t>考核及扣款说明</w:t>
      </w:r>
    </w:p>
    <w:p>
      <w:pPr>
        <w:pStyle w:val="30"/>
        <w:ind w:firstLine="800"/>
        <w:jc w:val="center"/>
        <w:rPr>
          <w:rFonts w:hint="default" w:ascii="方正小标宋简体" w:eastAsia="方正小标宋简体" w:cs="方正小标宋简体" w:hAnsiTheme="minorEastAsia"/>
          <w:sz w:val="36"/>
          <w:szCs w:val="36"/>
        </w:rPr>
      </w:pPr>
      <w:r>
        <w:rPr>
          <w:rFonts w:ascii="方正小标宋简体" w:eastAsia="方正小标宋简体" w:cs="方正小标宋简体" w:hAnsiTheme="minorEastAsia"/>
          <w:sz w:val="36"/>
          <w:szCs w:val="36"/>
        </w:rPr>
        <w:t>运维服务质量考核评分表</w:t>
      </w:r>
    </w:p>
    <w:tbl>
      <w:tblPr>
        <w:tblStyle w:val="17"/>
        <w:tblW w:w="1030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
        <w:gridCol w:w="708"/>
        <w:gridCol w:w="3425"/>
        <w:gridCol w:w="990"/>
        <w:gridCol w:w="2130"/>
        <w:gridCol w:w="902"/>
        <w:gridCol w:w="660"/>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项目名称</w:t>
            </w:r>
          </w:p>
        </w:tc>
        <w:tc>
          <w:tcPr>
            <w:tcW w:w="9670" w:type="dxa"/>
            <w:gridSpan w:val="7"/>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总体要求</w:t>
            </w:r>
          </w:p>
        </w:tc>
        <w:tc>
          <w:tcPr>
            <w:tcW w:w="9670" w:type="dxa"/>
            <w:gridSpan w:val="7"/>
            <w:tcBorders>
              <w:tl2br w:val="nil"/>
              <w:tr2bl w:val="nil"/>
            </w:tcBorders>
            <w:tcMar>
              <w:top w:w="0" w:type="dxa"/>
              <w:left w:w="105" w:type="dxa"/>
              <w:bottom w:w="0" w:type="dxa"/>
              <w:right w:w="105" w:type="dxa"/>
            </w:tcMar>
            <w:vAlign w:val="center"/>
          </w:tcPr>
          <w:p>
            <w:pPr>
              <w:pStyle w:val="30"/>
              <w:spacing w:line="360" w:lineRule="exact"/>
              <w:rPr>
                <w:rFonts w:hint="default" w:asciiTheme="minorEastAsia" w:hAnsiTheme="minorEastAsia"/>
                <w:sz w:val="21"/>
                <w:szCs w:val="21"/>
              </w:rPr>
            </w:pPr>
            <w:r>
              <w:rPr>
                <w:rFonts w:cs="宋体" w:asciiTheme="minorEastAsia" w:hAnsiTheme="minorEastAsia"/>
                <w:sz w:val="21"/>
                <w:szCs w:val="21"/>
              </w:rPr>
              <w:t>每</w:t>
            </w:r>
            <w:r>
              <w:rPr>
                <w:rFonts w:cs="宋体" w:asciiTheme="minorEastAsia" w:hAnsiTheme="minorEastAsia"/>
                <w:sz w:val="21"/>
                <w:szCs w:val="21"/>
                <w:u w:val="single"/>
              </w:rPr>
              <w:t xml:space="preserve">        （月、季度等）</w:t>
            </w:r>
            <w:r>
              <w:rPr>
                <w:rFonts w:cs="宋体" w:asciiTheme="minorEastAsia" w:hAnsiTheme="minorEastAsia"/>
                <w:sz w:val="21"/>
                <w:szCs w:val="21"/>
              </w:rPr>
              <w:t>考核一次。按照项目招投标文件及合同要求，对运维服务单位提供的运维服务质量情况进行考核。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考核时间</w:t>
            </w:r>
          </w:p>
        </w:tc>
        <w:tc>
          <w:tcPr>
            <w:tcW w:w="9670" w:type="dxa"/>
            <w:gridSpan w:val="7"/>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u w:val="single"/>
              </w:rPr>
              <w:t xml:space="preserve">        </w:t>
            </w:r>
            <w:r>
              <w:rPr>
                <w:rFonts w:cs="宋体" w:asciiTheme="minorEastAsia" w:hAnsiTheme="minorEastAsia"/>
                <w:sz w:val="21"/>
                <w:szCs w:val="21"/>
              </w:rPr>
              <w:t>年</w:t>
            </w:r>
            <w:r>
              <w:rPr>
                <w:rFonts w:cs="宋体" w:asciiTheme="minorEastAsia" w:hAnsiTheme="minorEastAsia"/>
                <w:sz w:val="21"/>
                <w:szCs w:val="21"/>
                <w:u w:val="single"/>
              </w:rPr>
              <w:t xml:space="preserve">      </w:t>
            </w:r>
            <w:r>
              <w:rPr>
                <w:rFonts w:cs="宋体" w:asciiTheme="minorEastAsia" w:hAnsiTheme="minorEastAsia"/>
                <w:sz w:val="21"/>
                <w:szCs w:val="21"/>
              </w:rPr>
              <w:t xml:space="preserve">月 至 </w:t>
            </w:r>
            <w:r>
              <w:rPr>
                <w:rFonts w:cs="宋体" w:asciiTheme="minorEastAsia" w:hAnsiTheme="minorEastAsia"/>
                <w:sz w:val="21"/>
                <w:szCs w:val="21"/>
                <w:u w:val="single"/>
              </w:rPr>
              <w:t xml:space="preserve">        </w:t>
            </w:r>
            <w:r>
              <w:rPr>
                <w:rFonts w:cs="宋体" w:asciiTheme="minorEastAsia" w:hAnsiTheme="minorEastAsia"/>
                <w:sz w:val="21"/>
                <w:szCs w:val="21"/>
              </w:rPr>
              <w:t>年</w:t>
            </w:r>
            <w:r>
              <w:rPr>
                <w:rFonts w:cs="宋体" w:asciiTheme="minorEastAsia" w:hAnsiTheme="minorEastAsia"/>
                <w:sz w:val="21"/>
                <w:szCs w:val="21"/>
                <w:u w:val="single"/>
              </w:rPr>
              <w:t xml:space="preserve">      </w:t>
            </w:r>
            <w:r>
              <w:rPr>
                <w:rFonts w:cs="宋体" w:asciiTheme="minorEastAsia" w:hAnsiTheme="minorEastAsia"/>
                <w:sz w:val="21"/>
                <w:szCs w:val="21"/>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0"/>
              <w:jc w:val="center"/>
              <w:rPr>
                <w:rFonts w:hint="default" w:asciiTheme="minorEastAsia" w:hAnsiTheme="minorEastAsia"/>
                <w:sz w:val="21"/>
                <w:szCs w:val="21"/>
              </w:rPr>
            </w:pPr>
            <w:r>
              <w:rPr>
                <w:rFonts w:cs="宋体" w:asciiTheme="minorEastAsia" w:hAnsiTheme="minorEastAsia"/>
                <w:sz w:val="21"/>
                <w:szCs w:val="21"/>
              </w:rPr>
              <w:t>序号</w:t>
            </w:r>
          </w:p>
        </w:tc>
        <w:tc>
          <w:tcPr>
            <w:tcW w:w="708" w:type="dxa"/>
            <w:tcBorders>
              <w:tl2br w:val="nil"/>
              <w:tr2bl w:val="nil"/>
            </w:tcBorders>
            <w:tcMar>
              <w:top w:w="0" w:type="dxa"/>
              <w:left w:w="105" w:type="dxa"/>
              <w:bottom w:w="0" w:type="dxa"/>
              <w:right w:w="105" w:type="dxa"/>
            </w:tcMar>
            <w:vAlign w:val="center"/>
          </w:tcPr>
          <w:p>
            <w:pPr>
              <w:pStyle w:val="30"/>
              <w:jc w:val="center"/>
              <w:rPr>
                <w:rFonts w:hint="default" w:asciiTheme="minorEastAsia" w:hAnsiTheme="minorEastAsia"/>
                <w:sz w:val="21"/>
                <w:szCs w:val="21"/>
              </w:rPr>
            </w:pPr>
            <w:r>
              <w:rPr>
                <w:rFonts w:cs="宋体" w:asciiTheme="minorEastAsia" w:hAnsiTheme="minorEastAsia"/>
                <w:sz w:val="21"/>
                <w:szCs w:val="21"/>
              </w:rPr>
              <w:t>考核指标</w:t>
            </w:r>
          </w:p>
        </w:tc>
        <w:tc>
          <w:tcPr>
            <w:tcW w:w="3425" w:type="dxa"/>
            <w:tcBorders>
              <w:tl2br w:val="nil"/>
              <w:tr2bl w:val="nil"/>
            </w:tcBorders>
            <w:tcMar>
              <w:top w:w="0" w:type="dxa"/>
              <w:left w:w="105" w:type="dxa"/>
              <w:bottom w:w="0" w:type="dxa"/>
              <w:right w:w="105" w:type="dxa"/>
            </w:tcMar>
            <w:vAlign w:val="center"/>
          </w:tcPr>
          <w:p>
            <w:pPr>
              <w:pStyle w:val="30"/>
              <w:jc w:val="center"/>
              <w:rPr>
                <w:rFonts w:hint="default" w:asciiTheme="minorEastAsia" w:hAnsiTheme="minorEastAsia"/>
                <w:sz w:val="21"/>
                <w:szCs w:val="21"/>
              </w:rPr>
            </w:pPr>
            <w:r>
              <w:rPr>
                <w:rFonts w:cs="宋体" w:asciiTheme="minorEastAsia" w:hAnsiTheme="minorEastAsia"/>
                <w:sz w:val="21"/>
                <w:szCs w:val="21"/>
              </w:rPr>
              <w:t>指标要求</w:t>
            </w:r>
          </w:p>
        </w:tc>
        <w:tc>
          <w:tcPr>
            <w:tcW w:w="3120" w:type="dxa"/>
            <w:gridSpan w:val="2"/>
            <w:tcBorders>
              <w:tl2br w:val="nil"/>
              <w:tr2bl w:val="nil"/>
            </w:tcBorders>
            <w:tcMar>
              <w:top w:w="0" w:type="dxa"/>
              <w:left w:w="105" w:type="dxa"/>
              <w:bottom w:w="0" w:type="dxa"/>
              <w:right w:w="105" w:type="dxa"/>
            </w:tcMar>
            <w:vAlign w:val="center"/>
          </w:tcPr>
          <w:p>
            <w:pPr>
              <w:pStyle w:val="30"/>
              <w:jc w:val="center"/>
              <w:rPr>
                <w:rFonts w:hint="default" w:asciiTheme="minorEastAsia" w:hAnsiTheme="minorEastAsia"/>
                <w:sz w:val="21"/>
                <w:szCs w:val="21"/>
              </w:rPr>
            </w:pPr>
            <w:r>
              <w:rPr>
                <w:rFonts w:cs="宋体" w:asciiTheme="minorEastAsia" w:hAnsiTheme="minorEastAsia"/>
                <w:sz w:val="21"/>
                <w:szCs w:val="21"/>
              </w:rPr>
              <w:t>评分标准</w:t>
            </w:r>
          </w:p>
        </w:tc>
        <w:tc>
          <w:tcPr>
            <w:tcW w:w="902" w:type="dxa"/>
            <w:tcBorders>
              <w:tl2br w:val="nil"/>
              <w:tr2bl w:val="nil"/>
            </w:tcBorders>
            <w:tcMar>
              <w:top w:w="0" w:type="dxa"/>
              <w:left w:w="105" w:type="dxa"/>
              <w:bottom w:w="0" w:type="dxa"/>
              <w:right w:w="105" w:type="dxa"/>
            </w:tcMar>
            <w:vAlign w:val="center"/>
          </w:tcPr>
          <w:p>
            <w:pPr>
              <w:pStyle w:val="30"/>
              <w:jc w:val="center"/>
              <w:rPr>
                <w:rFonts w:hint="default" w:asciiTheme="minorEastAsia" w:hAnsiTheme="minorEastAsia"/>
                <w:sz w:val="21"/>
                <w:szCs w:val="21"/>
              </w:rPr>
            </w:pPr>
            <w:r>
              <w:rPr>
                <w:rFonts w:hint="eastAsia" w:asciiTheme="minorEastAsia" w:hAnsiTheme="minorEastAsia"/>
                <w:sz w:val="21"/>
                <w:szCs w:val="21"/>
                <w:lang w:eastAsia="zh-CN"/>
              </w:rPr>
              <w:t>服务</w:t>
            </w:r>
            <w:r>
              <w:rPr>
                <w:rFonts w:asciiTheme="minorEastAsia" w:hAnsiTheme="minorEastAsia"/>
                <w:sz w:val="21"/>
                <w:szCs w:val="21"/>
              </w:rPr>
              <w:t>方</w:t>
            </w:r>
          </w:p>
          <w:p>
            <w:pPr>
              <w:pStyle w:val="30"/>
              <w:jc w:val="center"/>
              <w:rPr>
                <w:rFonts w:hint="default" w:asciiTheme="minorEastAsia" w:hAnsiTheme="minorEastAsia"/>
                <w:sz w:val="21"/>
                <w:szCs w:val="21"/>
              </w:rPr>
            </w:pPr>
            <w:r>
              <w:rPr>
                <w:rFonts w:asciiTheme="minorEastAsia" w:hAnsiTheme="minorEastAsia"/>
                <w:sz w:val="21"/>
                <w:szCs w:val="21"/>
              </w:rPr>
              <w:t>自评分</w:t>
            </w:r>
          </w:p>
        </w:tc>
        <w:tc>
          <w:tcPr>
            <w:tcW w:w="660" w:type="dxa"/>
            <w:tcBorders>
              <w:tl2br w:val="nil"/>
              <w:tr2bl w:val="nil"/>
            </w:tcBorders>
            <w:vAlign w:val="center"/>
          </w:tcPr>
          <w:p>
            <w:pPr>
              <w:pStyle w:val="30"/>
              <w:jc w:val="center"/>
              <w:rPr>
                <w:rFonts w:hint="default" w:asciiTheme="minorEastAsia" w:hAnsiTheme="minorEastAsia"/>
                <w:sz w:val="21"/>
                <w:szCs w:val="21"/>
              </w:rPr>
            </w:pPr>
            <w:r>
              <w:rPr>
                <w:rFonts w:asciiTheme="minorEastAsia" w:hAnsiTheme="minorEastAsia"/>
                <w:sz w:val="21"/>
                <w:szCs w:val="21"/>
              </w:rPr>
              <w:t>中心</w:t>
            </w:r>
            <w:r>
              <w:rPr>
                <w:rFonts w:hint="default" w:asciiTheme="minorEastAsia" w:hAnsiTheme="minorEastAsia"/>
                <w:sz w:val="21"/>
                <w:szCs w:val="21"/>
              </w:rPr>
              <w:t>评分</w:t>
            </w:r>
          </w:p>
        </w:tc>
        <w:tc>
          <w:tcPr>
            <w:tcW w:w="855" w:type="dxa"/>
            <w:tcBorders>
              <w:tl2br w:val="nil"/>
              <w:tr2bl w:val="nil"/>
            </w:tcBorders>
            <w:vAlign w:val="center"/>
          </w:tcPr>
          <w:p>
            <w:pPr>
              <w:pStyle w:val="30"/>
              <w:jc w:val="center"/>
              <w:rPr>
                <w:rFonts w:hint="default" w:asciiTheme="minorEastAsia" w:hAnsiTheme="minorEastAsia"/>
                <w:sz w:val="21"/>
                <w:szCs w:val="21"/>
              </w:rPr>
            </w:pPr>
            <w:r>
              <w:rPr>
                <w:rFonts w:hint="default" w:asciiTheme="minorEastAsia" w:hAnsiTheme="minorEastAsia"/>
                <w:sz w:val="21"/>
                <w:szCs w:val="21"/>
              </w:rPr>
              <w:t>扣分</w:t>
            </w:r>
            <w:r>
              <w:rPr>
                <w:rFonts w:asciiTheme="minorEastAsia" w:hAnsiTheme="minorEastAsia"/>
                <w:sz w:val="21"/>
                <w:szCs w:val="21"/>
              </w:rPr>
              <w:br w:type="textWrapping"/>
            </w:r>
            <w:r>
              <w:rPr>
                <w:rFonts w:hint="default" w:asciiTheme="minorEastAsia" w:hAnsiTheme="minorEastAsia"/>
                <w:sz w:val="21"/>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26" w:hRule="atLeast"/>
          <w:jc w:val="center"/>
        </w:trPr>
        <w:tc>
          <w:tcPr>
            <w:tcW w:w="639"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1</w:t>
            </w:r>
          </w:p>
        </w:tc>
        <w:tc>
          <w:tcPr>
            <w:tcW w:w="708"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服务团队</w:t>
            </w:r>
            <w:r>
              <w:rPr>
                <w:rFonts w:asciiTheme="minorEastAsia" w:hAnsiTheme="minorEastAsia"/>
                <w:sz w:val="21"/>
                <w:szCs w:val="21"/>
              </w:rPr>
              <w:br w:type="textWrapping"/>
            </w:r>
            <w:r>
              <w:rPr>
                <w:rFonts w:cs="宋体" w:asciiTheme="minorEastAsia" w:hAnsiTheme="minorEastAsia"/>
                <w:sz w:val="21"/>
                <w:szCs w:val="21"/>
              </w:rPr>
              <w:t>（15分）</w:t>
            </w:r>
          </w:p>
        </w:tc>
        <w:tc>
          <w:tcPr>
            <w:tcW w:w="3425" w:type="dxa"/>
            <w:tcBorders>
              <w:tl2br w:val="nil"/>
              <w:tr2bl w:val="nil"/>
            </w:tcBorders>
            <w:tcMar>
              <w:top w:w="0" w:type="dxa"/>
              <w:left w:w="105" w:type="dxa"/>
              <w:bottom w:w="0" w:type="dxa"/>
              <w:right w:w="105" w:type="dxa"/>
            </w:tcMar>
            <w:vAlign w:val="center"/>
          </w:tcPr>
          <w:p>
            <w:pPr>
              <w:pStyle w:val="30"/>
              <w:spacing w:line="360" w:lineRule="exact"/>
              <w:rPr>
                <w:rFonts w:hint="default" w:asciiTheme="minorEastAsia" w:hAnsiTheme="minorEastAsia"/>
                <w:sz w:val="21"/>
                <w:szCs w:val="21"/>
              </w:rPr>
            </w:pPr>
            <w:r>
              <w:rPr>
                <w:rFonts w:cs="宋体" w:asciiTheme="minorEastAsia" w:hAnsiTheme="minorEastAsia"/>
                <w:sz w:val="21"/>
                <w:szCs w:val="21"/>
              </w:rPr>
              <w:t>1.根据信息化项目的特点组建服务团队，明确团队人员的岗位和职责分工，其中现场驻点负责人须经中心同意。</w:t>
            </w:r>
            <w:r>
              <w:rPr>
                <w:rFonts w:hint="default" w:cs="宋体" w:asciiTheme="minorEastAsia" w:hAnsiTheme="minorEastAsia"/>
                <w:sz w:val="21"/>
                <w:szCs w:val="21"/>
              </w:rPr>
              <w:br w:type="textWrapping"/>
            </w:r>
            <w:r>
              <w:rPr>
                <w:rFonts w:cs="宋体" w:asciiTheme="minorEastAsia" w:hAnsiTheme="minorEastAsia"/>
                <w:sz w:val="21"/>
                <w:szCs w:val="21"/>
              </w:rPr>
              <w:t>2.应保证服务团队人员稳定，原则上不得更换现场驻点负责人，确因员工离职等原因造成人员变动的，须配置同等能力人员并经中心书面同意，完成工作交接后方可更换。</w:t>
            </w:r>
            <w:r>
              <w:rPr>
                <w:rFonts w:hint="default" w:cs="宋体" w:asciiTheme="minorEastAsia" w:hAnsiTheme="minorEastAsia"/>
                <w:sz w:val="21"/>
                <w:szCs w:val="21"/>
              </w:rPr>
              <w:br w:type="textWrapping"/>
            </w:r>
            <w:r>
              <w:rPr>
                <w:rFonts w:cs="宋体" w:asciiTheme="minorEastAsia" w:hAnsiTheme="minorEastAsia"/>
                <w:sz w:val="21"/>
                <w:szCs w:val="21"/>
              </w:rPr>
              <w:t>3.现场驻点人员须严格遵守中心日常工作纪律，与中心工作时间保持一致，不得无故迟到、早退、旷工，现场驻点负责人请假须经中心同意。</w:t>
            </w:r>
          </w:p>
        </w:tc>
        <w:tc>
          <w:tcPr>
            <w:tcW w:w="3120" w:type="dxa"/>
            <w:gridSpan w:val="2"/>
            <w:tcBorders>
              <w:tl2br w:val="nil"/>
              <w:tr2bl w:val="nil"/>
            </w:tcBorders>
            <w:tcMar>
              <w:top w:w="0" w:type="dxa"/>
              <w:left w:w="105" w:type="dxa"/>
              <w:bottom w:w="0" w:type="dxa"/>
              <w:right w:w="105" w:type="dxa"/>
            </w:tcMar>
            <w:vAlign w:val="center"/>
          </w:tcPr>
          <w:p>
            <w:pPr>
              <w:pStyle w:val="30"/>
              <w:spacing w:line="360" w:lineRule="exact"/>
              <w:rPr>
                <w:rFonts w:hint="default" w:asciiTheme="minorEastAsia" w:hAnsiTheme="minorEastAsia"/>
                <w:sz w:val="21"/>
                <w:szCs w:val="21"/>
              </w:rPr>
            </w:pPr>
            <w:r>
              <w:rPr>
                <w:rFonts w:cs="宋体" w:asciiTheme="minorEastAsia" w:hAnsiTheme="minorEastAsia"/>
                <w:sz w:val="21"/>
                <w:szCs w:val="21"/>
              </w:rPr>
              <w:t>1.更换现场驻点负责人的，每次扣5分；更换服务团队其他现场驻点人员的，每人次扣1分；未取得中心书面同意或未配备同资质人员的，本项不得分。</w:t>
            </w:r>
            <w:r>
              <w:rPr>
                <w:rFonts w:hint="default" w:cs="宋体" w:asciiTheme="minorEastAsia" w:hAnsiTheme="minorEastAsia"/>
                <w:sz w:val="21"/>
                <w:szCs w:val="21"/>
              </w:rPr>
              <w:br w:type="textWrapping"/>
            </w:r>
            <w:r>
              <w:rPr>
                <w:rFonts w:cs="宋体" w:asciiTheme="minorEastAsia" w:hAnsiTheme="minorEastAsia"/>
                <w:sz w:val="21"/>
                <w:szCs w:val="21"/>
              </w:rPr>
              <w:t>2.现场驻点负责人请假未经中心批准的本项不得分；现场其他驻点人员未遵守中心日常工作纪律，旷工的，每人次扣2分；迟到、早退的，每人次扣0.5分。</w:t>
            </w:r>
            <w:r>
              <w:rPr>
                <w:rFonts w:asciiTheme="minorEastAsia" w:hAnsiTheme="minorEastAsia"/>
                <w:sz w:val="21"/>
                <w:szCs w:val="21"/>
              </w:rPr>
              <w:br w:type="textWrapping"/>
            </w:r>
            <w:r>
              <w:rPr>
                <w:rFonts w:cs="宋体" w:asciiTheme="minorEastAsia" w:hAnsiTheme="minorEastAsia"/>
                <w:sz w:val="21"/>
                <w:szCs w:val="21"/>
              </w:rPr>
              <w:t>3.运维人员因服务态度不佳被用户投诉的，每次扣2分；因此产生效能投诉的，本项不得分。</w:t>
            </w:r>
          </w:p>
        </w:tc>
        <w:tc>
          <w:tcPr>
            <w:tcW w:w="902"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0"/>
              <w:spacing w:line="360" w:lineRule="exact"/>
              <w:jc w:val="center"/>
              <w:rPr>
                <w:rFonts w:hint="default" w:cs="宋体" w:asciiTheme="minorEastAsia" w:hAnsiTheme="minorEastAsia"/>
                <w:sz w:val="21"/>
                <w:szCs w:val="21"/>
              </w:rPr>
            </w:pPr>
          </w:p>
        </w:tc>
        <w:tc>
          <w:tcPr>
            <w:tcW w:w="855" w:type="dxa"/>
            <w:tcBorders>
              <w:tl2br w:val="nil"/>
              <w:tr2bl w:val="nil"/>
            </w:tcBorders>
            <w:vAlign w:val="center"/>
          </w:tcPr>
          <w:p>
            <w:pPr>
              <w:pStyle w:val="30"/>
              <w:spacing w:line="360" w:lineRule="exact"/>
              <w:jc w:val="center"/>
              <w:rPr>
                <w:rFonts w:hint="default" w:cs="宋体"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38" w:hRule="atLeast"/>
          <w:jc w:val="center"/>
        </w:trPr>
        <w:tc>
          <w:tcPr>
            <w:tcW w:w="639"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2</w:t>
            </w:r>
          </w:p>
        </w:tc>
        <w:tc>
          <w:tcPr>
            <w:tcW w:w="708"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技术服务</w:t>
            </w:r>
            <w:r>
              <w:rPr>
                <w:rFonts w:asciiTheme="minorEastAsia" w:hAnsiTheme="minorEastAsia"/>
                <w:sz w:val="21"/>
                <w:szCs w:val="21"/>
              </w:rPr>
              <w:br w:type="textWrapping"/>
            </w:r>
            <w:r>
              <w:rPr>
                <w:rFonts w:cs="宋体" w:asciiTheme="minorEastAsia" w:hAnsiTheme="minorEastAsia"/>
                <w:sz w:val="21"/>
                <w:szCs w:val="21"/>
              </w:rPr>
              <w:t>（30分）</w:t>
            </w:r>
          </w:p>
        </w:tc>
        <w:tc>
          <w:tcPr>
            <w:tcW w:w="3425" w:type="dxa"/>
            <w:tcBorders>
              <w:tl2br w:val="nil"/>
              <w:tr2bl w:val="nil"/>
            </w:tcBorders>
            <w:tcMar>
              <w:top w:w="0" w:type="dxa"/>
              <w:left w:w="105" w:type="dxa"/>
              <w:bottom w:w="0" w:type="dxa"/>
              <w:right w:w="105" w:type="dxa"/>
            </w:tcMar>
            <w:vAlign w:val="center"/>
          </w:tcPr>
          <w:p>
            <w:pPr>
              <w:pStyle w:val="30"/>
              <w:spacing w:line="360" w:lineRule="exact"/>
              <w:jc w:val="both"/>
              <w:rPr>
                <w:rFonts w:hint="default" w:asciiTheme="minorEastAsia" w:hAnsiTheme="minorEastAsia"/>
                <w:sz w:val="21"/>
                <w:szCs w:val="21"/>
              </w:rPr>
            </w:pPr>
            <w:r>
              <w:rPr>
                <w:rFonts w:cs="宋体" w:asciiTheme="minorEastAsia" w:hAnsiTheme="minorEastAsia"/>
                <w:sz w:val="21"/>
                <w:szCs w:val="21"/>
              </w:rPr>
              <w:t>1.根据运维服务项目招投标文件和合同等要求，制定实施方案，并按照实施方案完成全部服务项目。</w:t>
            </w:r>
            <w:r>
              <w:rPr>
                <w:rFonts w:asciiTheme="minorEastAsia" w:hAnsiTheme="minorEastAsia"/>
                <w:sz w:val="21"/>
                <w:szCs w:val="21"/>
              </w:rPr>
              <w:br w:type="textWrapping"/>
            </w:r>
            <w:r>
              <w:rPr>
                <w:rFonts w:cs="宋体" w:asciiTheme="minorEastAsia" w:hAnsiTheme="minorEastAsia"/>
                <w:sz w:val="21"/>
                <w:szCs w:val="21"/>
              </w:rPr>
              <w:t>2.按照约定周期做好信息化项目软、硬件和数据的日常监测巡检，如实记录结果，如发现异常情况，应及时向中心报告并采取相应处置措施。</w:t>
            </w:r>
            <w:r>
              <w:rPr>
                <w:rFonts w:hint="default" w:cs="宋体" w:asciiTheme="minorEastAsia" w:hAnsiTheme="minorEastAsia"/>
                <w:sz w:val="21"/>
                <w:szCs w:val="21"/>
              </w:rPr>
              <w:br w:type="textWrapping"/>
            </w:r>
            <w:r>
              <w:rPr>
                <w:rFonts w:cs="宋体" w:asciiTheme="minorEastAsia" w:hAnsiTheme="minorEastAsia"/>
                <w:sz w:val="21"/>
                <w:szCs w:val="21"/>
              </w:rPr>
              <w:t>3.</w:t>
            </w:r>
            <w:r>
              <w:t xml:space="preserve"> </w:t>
            </w:r>
            <w:r>
              <w:rPr>
                <w:rFonts w:cs="宋体" w:asciiTheme="minorEastAsia" w:hAnsiTheme="minorEastAsia"/>
                <w:sz w:val="21"/>
                <w:szCs w:val="21"/>
              </w:rPr>
              <w:t>接收到故障信息后，运维服务单位应根据故障等级的响应时间要求进行故障处理，一般故障的响应时间应小于2小时，重大故障的响应时间应小于30分钟。</w:t>
            </w:r>
            <w:r>
              <w:rPr>
                <w:rFonts w:hint="default" w:cs="宋体" w:asciiTheme="minorEastAsia" w:hAnsiTheme="minorEastAsia"/>
                <w:sz w:val="21"/>
                <w:szCs w:val="21"/>
              </w:rPr>
              <w:br w:type="textWrapping"/>
            </w:r>
            <w:r>
              <w:rPr>
                <w:rFonts w:cs="宋体" w:asciiTheme="minorEastAsia" w:hAnsiTheme="minorEastAsia"/>
                <w:sz w:val="21"/>
                <w:szCs w:val="21"/>
              </w:rPr>
              <w:t>4.按规范开展应用程序、数据库和服务器设备维护，不得在生产环境中擅自关停或重启应用程序、数据库和服务器设备等。对应用程序或数据库更新维护前，应做好相关备份，并在测试环境中进行充分测试后实施，且更新维护完成后在生产环境中再次检验。重大更新维护应将维护方案报中心同意后进行。</w:t>
            </w:r>
            <w:r>
              <w:rPr>
                <w:rFonts w:hint="default" w:cs="宋体" w:asciiTheme="minorEastAsia" w:hAnsiTheme="minorEastAsia"/>
                <w:sz w:val="21"/>
                <w:szCs w:val="21"/>
              </w:rPr>
              <w:br w:type="textWrapping"/>
            </w:r>
            <w:r>
              <w:rPr>
                <w:rFonts w:cs="宋体" w:asciiTheme="minorEastAsia" w:hAnsiTheme="minorEastAsia"/>
                <w:sz w:val="21"/>
                <w:szCs w:val="21"/>
              </w:rPr>
              <w:t>5.根据中心要求开展应急预案的培训和演练，并根据演练情况总结经验教训，提出改进措施。</w:t>
            </w:r>
          </w:p>
        </w:tc>
        <w:tc>
          <w:tcPr>
            <w:tcW w:w="3120" w:type="dxa"/>
            <w:gridSpan w:val="2"/>
            <w:tcBorders>
              <w:tl2br w:val="nil"/>
              <w:tr2bl w:val="nil"/>
            </w:tcBorders>
            <w:tcMar>
              <w:top w:w="0" w:type="dxa"/>
              <w:left w:w="105" w:type="dxa"/>
              <w:bottom w:w="0" w:type="dxa"/>
              <w:right w:w="105" w:type="dxa"/>
            </w:tcMar>
            <w:vAlign w:val="center"/>
          </w:tcPr>
          <w:p>
            <w:pPr>
              <w:pStyle w:val="30"/>
              <w:spacing w:line="360" w:lineRule="exact"/>
              <w:jc w:val="both"/>
              <w:rPr>
                <w:rFonts w:hint="default" w:asciiTheme="minorEastAsia" w:hAnsiTheme="minorEastAsia"/>
                <w:sz w:val="21"/>
                <w:szCs w:val="21"/>
              </w:rPr>
            </w:pPr>
            <w:r>
              <w:rPr>
                <w:rFonts w:cs="宋体" w:asciiTheme="minorEastAsia" w:hAnsiTheme="minorEastAsia"/>
                <w:sz w:val="21"/>
                <w:szCs w:val="21"/>
              </w:rPr>
              <w:t>1.未按照约定周期开展日常监测巡检，每缺失1次巡检记录扣2分。</w:t>
            </w:r>
            <w:r>
              <w:rPr>
                <w:rFonts w:asciiTheme="minorEastAsia" w:hAnsiTheme="minorEastAsia"/>
                <w:sz w:val="21"/>
                <w:szCs w:val="21"/>
              </w:rPr>
              <w:br w:type="textWrapping"/>
            </w:r>
            <w:r>
              <w:rPr>
                <w:rFonts w:cs="宋体" w:asciiTheme="minorEastAsia" w:hAnsiTheme="minorEastAsia"/>
                <w:sz w:val="21"/>
                <w:szCs w:val="21"/>
              </w:rPr>
              <w:t>2.未按响应时间要求进行故障处理的，每次扣2分。</w:t>
            </w:r>
            <w:r>
              <w:rPr>
                <w:rFonts w:hint="default" w:cs="宋体" w:asciiTheme="minorEastAsia" w:hAnsiTheme="minorEastAsia"/>
                <w:sz w:val="21"/>
                <w:szCs w:val="21"/>
              </w:rPr>
              <w:br w:type="textWrapping"/>
            </w:r>
            <w:r>
              <w:rPr>
                <w:rFonts w:cs="宋体" w:asciiTheme="minorEastAsia" w:hAnsiTheme="minorEastAsia"/>
                <w:sz w:val="21"/>
                <w:szCs w:val="21"/>
              </w:rPr>
              <w:t>3.未按照规范进行应用程序、数据库和服务器设备更新维护的，每次扣2分。</w:t>
            </w:r>
            <w:r>
              <w:rPr>
                <w:rFonts w:hint="default" w:cs="宋体" w:asciiTheme="minorEastAsia" w:hAnsiTheme="minorEastAsia"/>
                <w:sz w:val="21"/>
                <w:szCs w:val="21"/>
              </w:rPr>
              <w:br w:type="textWrapping"/>
            </w:r>
            <w:r>
              <w:rPr>
                <w:rFonts w:cs="宋体" w:asciiTheme="minorEastAsia" w:hAnsiTheme="minorEastAsia"/>
                <w:sz w:val="21"/>
                <w:szCs w:val="21"/>
              </w:rPr>
              <w:t>4.未经中心批准在生产环境中擅自关停或重启应用程序、数据库和服务器设备的，本项不得分。</w:t>
            </w:r>
            <w:r>
              <w:rPr>
                <w:rFonts w:hint="default" w:cs="宋体" w:asciiTheme="minorEastAsia" w:hAnsiTheme="minorEastAsia"/>
                <w:sz w:val="21"/>
                <w:szCs w:val="21"/>
              </w:rPr>
              <w:br w:type="textWrapping"/>
            </w:r>
            <w:r>
              <w:rPr>
                <w:rFonts w:asciiTheme="minorEastAsia" w:hAnsiTheme="minorEastAsia"/>
                <w:sz w:val="21"/>
                <w:szCs w:val="21"/>
              </w:rPr>
              <w:t>5.</w:t>
            </w:r>
            <w:r>
              <w:rPr>
                <w:rFonts w:cs="宋体" w:asciiTheme="minorEastAsia" w:hAnsiTheme="minorEastAsia"/>
                <w:sz w:val="21"/>
                <w:szCs w:val="21"/>
              </w:rPr>
              <w:t>未按中心要求开展应急预案培训和演练的，本项不得分。</w:t>
            </w:r>
          </w:p>
        </w:tc>
        <w:tc>
          <w:tcPr>
            <w:tcW w:w="902"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0"/>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0"/>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cs="宋体" w:asciiTheme="minorEastAsia" w:hAnsiTheme="minorEastAsia"/>
                <w:sz w:val="21"/>
                <w:szCs w:val="21"/>
              </w:rPr>
            </w:pPr>
            <w:r>
              <w:rPr>
                <w:rFonts w:cs="宋体" w:asciiTheme="minorEastAsia" w:hAnsiTheme="minorEastAsia"/>
                <w:sz w:val="21"/>
                <w:szCs w:val="21"/>
              </w:rPr>
              <w:t>3</w:t>
            </w:r>
          </w:p>
        </w:tc>
        <w:tc>
          <w:tcPr>
            <w:tcW w:w="708"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cs="宋体" w:asciiTheme="minorEastAsia" w:hAnsiTheme="minorEastAsia"/>
                <w:sz w:val="21"/>
                <w:szCs w:val="21"/>
              </w:rPr>
            </w:pPr>
            <w:r>
              <w:rPr>
                <w:rFonts w:cs="宋体" w:asciiTheme="minorEastAsia" w:hAnsiTheme="minorEastAsia"/>
                <w:sz w:val="21"/>
                <w:szCs w:val="21"/>
              </w:rPr>
              <w:t>汇报文档</w:t>
            </w:r>
            <w:r>
              <w:rPr>
                <w:rFonts w:hint="default" w:cs="宋体" w:asciiTheme="minorEastAsia" w:hAnsiTheme="minorEastAsia"/>
                <w:sz w:val="21"/>
                <w:szCs w:val="21"/>
              </w:rPr>
              <w:br w:type="textWrapping"/>
            </w:r>
            <w:r>
              <w:rPr>
                <w:rFonts w:hint="default" w:cs="宋体" w:asciiTheme="minorEastAsia" w:hAnsiTheme="minorEastAsia"/>
                <w:sz w:val="21"/>
                <w:szCs w:val="21"/>
              </w:rPr>
              <w:t>（</w:t>
            </w:r>
            <w:r>
              <w:rPr>
                <w:rFonts w:cs="宋体" w:asciiTheme="minorEastAsia" w:hAnsiTheme="minorEastAsia"/>
                <w:sz w:val="21"/>
                <w:szCs w:val="21"/>
              </w:rPr>
              <w:t>25分</w:t>
            </w:r>
            <w:r>
              <w:rPr>
                <w:rFonts w:hint="default" w:cs="宋体" w:asciiTheme="minorEastAsia" w:hAnsiTheme="minorEastAsia"/>
                <w:sz w:val="21"/>
                <w:szCs w:val="21"/>
              </w:rPr>
              <w:t>）</w:t>
            </w:r>
          </w:p>
        </w:tc>
        <w:tc>
          <w:tcPr>
            <w:tcW w:w="3425" w:type="dxa"/>
            <w:tcBorders>
              <w:tl2br w:val="nil"/>
              <w:tr2bl w:val="nil"/>
            </w:tcBorders>
            <w:tcMar>
              <w:top w:w="0" w:type="dxa"/>
              <w:left w:w="105" w:type="dxa"/>
              <w:bottom w:w="0" w:type="dxa"/>
              <w:right w:w="105" w:type="dxa"/>
            </w:tcMar>
            <w:vAlign w:val="center"/>
          </w:tcPr>
          <w:p>
            <w:pPr>
              <w:pStyle w:val="30"/>
              <w:spacing w:line="360" w:lineRule="exact"/>
              <w:rPr>
                <w:rFonts w:hint="default" w:cs="宋体" w:asciiTheme="minorEastAsia" w:hAnsiTheme="minorEastAsia"/>
                <w:sz w:val="21"/>
                <w:szCs w:val="21"/>
              </w:rPr>
            </w:pPr>
            <w:r>
              <w:rPr>
                <w:rFonts w:cs="宋体" w:asciiTheme="minorEastAsia" w:hAnsiTheme="minorEastAsia"/>
                <w:sz w:val="21"/>
                <w:szCs w:val="21"/>
              </w:rPr>
              <w:t>1.定期向中心报告巡检、故障处置情况等运维工作情况。</w:t>
            </w:r>
            <w:r>
              <w:rPr>
                <w:rFonts w:hint="default" w:cs="宋体" w:asciiTheme="minorEastAsia" w:hAnsiTheme="minorEastAsia"/>
                <w:sz w:val="21"/>
                <w:szCs w:val="21"/>
              </w:rPr>
              <w:br w:type="textWrapping"/>
            </w:r>
            <w:r>
              <w:rPr>
                <w:rFonts w:cs="宋体" w:asciiTheme="minorEastAsia" w:hAnsiTheme="minorEastAsia"/>
                <w:sz w:val="21"/>
                <w:szCs w:val="21"/>
              </w:rPr>
              <w:t>2.做好各类会议的记录，并于会议结束后2个工作日内完成会议纪要编制，经中心同意后分发。</w:t>
            </w:r>
            <w:r>
              <w:rPr>
                <w:rFonts w:hint="default" w:cs="宋体" w:asciiTheme="minorEastAsia" w:hAnsiTheme="minorEastAsia"/>
                <w:sz w:val="21"/>
                <w:szCs w:val="21"/>
              </w:rPr>
              <w:br w:type="textWrapping"/>
            </w:r>
            <w:r>
              <w:rPr>
                <w:rFonts w:cs="宋体" w:asciiTheme="minorEastAsia" w:hAnsiTheme="minorEastAsia"/>
                <w:sz w:val="21"/>
                <w:szCs w:val="21"/>
              </w:rPr>
              <w:t>3.运维服务单位单独接收到的服务需求或与运维相关的信息，应做好书面记录并及时向中心报告，特别涉及数据修改、权限调整、系统功能改变等重要内容的，应立即向中心报告。</w:t>
            </w:r>
            <w:r>
              <w:rPr>
                <w:rFonts w:hint="default" w:cs="宋体" w:asciiTheme="minorEastAsia" w:hAnsiTheme="minorEastAsia"/>
                <w:sz w:val="21"/>
                <w:szCs w:val="21"/>
              </w:rPr>
              <w:br w:type="textWrapping"/>
            </w:r>
            <w:r>
              <w:rPr>
                <w:rFonts w:cs="宋体" w:asciiTheme="minorEastAsia" w:hAnsiTheme="minorEastAsia"/>
                <w:sz w:val="21"/>
                <w:szCs w:val="21"/>
              </w:rPr>
              <w:t>4.按照文档命名规则、更新、审核发布、存储等的要求开展运维项目文档管理，确保文档的准确性和时效性。</w:t>
            </w:r>
          </w:p>
        </w:tc>
        <w:tc>
          <w:tcPr>
            <w:tcW w:w="3120" w:type="dxa"/>
            <w:gridSpan w:val="2"/>
            <w:tcBorders>
              <w:tl2br w:val="nil"/>
              <w:tr2bl w:val="nil"/>
            </w:tcBorders>
            <w:tcMar>
              <w:top w:w="0" w:type="dxa"/>
              <w:left w:w="105" w:type="dxa"/>
              <w:bottom w:w="0" w:type="dxa"/>
              <w:right w:w="105" w:type="dxa"/>
            </w:tcMar>
            <w:vAlign w:val="center"/>
          </w:tcPr>
          <w:p>
            <w:pPr>
              <w:pStyle w:val="30"/>
              <w:spacing w:line="360" w:lineRule="exact"/>
              <w:jc w:val="both"/>
              <w:rPr>
                <w:rFonts w:hint="default" w:cs="宋体" w:asciiTheme="minorEastAsia" w:hAnsiTheme="minorEastAsia"/>
                <w:sz w:val="21"/>
                <w:szCs w:val="21"/>
              </w:rPr>
            </w:pPr>
            <w:r>
              <w:rPr>
                <w:rFonts w:cs="宋体" w:asciiTheme="minorEastAsia" w:hAnsiTheme="minorEastAsia"/>
                <w:sz w:val="21"/>
                <w:szCs w:val="21"/>
              </w:rPr>
              <w:t>1.未</w:t>
            </w:r>
            <w:r>
              <w:rPr>
                <w:rFonts w:asciiTheme="minorEastAsia" w:hAnsiTheme="minorEastAsia"/>
                <w:sz w:val="21"/>
                <w:szCs w:val="21"/>
              </w:rPr>
              <w:t>按要求</w:t>
            </w:r>
            <w:r>
              <w:rPr>
                <w:rFonts w:cs="宋体" w:asciiTheme="minorEastAsia" w:hAnsiTheme="minorEastAsia"/>
                <w:sz w:val="21"/>
                <w:szCs w:val="21"/>
              </w:rPr>
              <w:t>向中心报告巡检、故障处置情况等运维工作情况的</w:t>
            </w:r>
            <w:r>
              <w:rPr>
                <w:rFonts w:asciiTheme="minorEastAsia" w:hAnsiTheme="minorEastAsia"/>
                <w:sz w:val="21"/>
                <w:szCs w:val="21"/>
              </w:rPr>
              <w:t>，每次扣1分。</w:t>
            </w:r>
          </w:p>
          <w:p>
            <w:pPr>
              <w:pStyle w:val="30"/>
              <w:spacing w:line="360" w:lineRule="exact"/>
              <w:jc w:val="both"/>
              <w:rPr>
                <w:rFonts w:hint="default" w:asciiTheme="minorEastAsia" w:hAnsiTheme="minorEastAsia"/>
                <w:sz w:val="21"/>
                <w:szCs w:val="21"/>
              </w:rPr>
            </w:pPr>
            <w:r>
              <w:rPr>
                <w:rFonts w:cs="宋体" w:asciiTheme="minorEastAsia" w:hAnsiTheme="minorEastAsia"/>
                <w:sz w:val="21"/>
                <w:szCs w:val="21"/>
              </w:rPr>
              <w:t>2.</w:t>
            </w:r>
            <w:r>
              <w:rPr>
                <w:rFonts w:asciiTheme="minorEastAsia" w:hAnsiTheme="minorEastAsia"/>
                <w:sz w:val="21"/>
                <w:szCs w:val="21"/>
              </w:rPr>
              <w:t>未及时向中心报告</w:t>
            </w:r>
            <w:r>
              <w:rPr>
                <w:rFonts w:cs="宋体" w:asciiTheme="minorEastAsia" w:hAnsiTheme="minorEastAsia"/>
                <w:sz w:val="21"/>
                <w:szCs w:val="21"/>
              </w:rPr>
              <w:t>单独接收到的服务需求或与运维相关信息的</w:t>
            </w:r>
            <w:r>
              <w:rPr>
                <w:rFonts w:asciiTheme="minorEastAsia" w:hAnsiTheme="minorEastAsia"/>
                <w:sz w:val="21"/>
                <w:szCs w:val="21"/>
              </w:rPr>
              <w:t>，每次扣2分。</w:t>
            </w:r>
          </w:p>
          <w:p>
            <w:pPr>
              <w:pStyle w:val="30"/>
              <w:spacing w:line="360" w:lineRule="exact"/>
              <w:jc w:val="both"/>
              <w:rPr>
                <w:rFonts w:hint="default" w:cs="宋体" w:asciiTheme="minorEastAsia" w:hAnsiTheme="minorEastAsia"/>
                <w:sz w:val="21"/>
                <w:szCs w:val="21"/>
              </w:rPr>
            </w:pPr>
            <w:r>
              <w:rPr>
                <w:rFonts w:asciiTheme="minorEastAsia" w:hAnsiTheme="minorEastAsia"/>
                <w:sz w:val="21"/>
                <w:szCs w:val="21"/>
              </w:rPr>
              <w:t>3.未按要求完成会议纪要编制和分发的，每次扣1分。</w:t>
            </w:r>
            <w:r>
              <w:rPr>
                <w:rFonts w:hint="default" w:asciiTheme="minorEastAsia" w:hAnsiTheme="minorEastAsia"/>
                <w:sz w:val="21"/>
                <w:szCs w:val="21"/>
              </w:rPr>
              <w:br w:type="textWrapping"/>
            </w:r>
            <w:r>
              <w:rPr>
                <w:rFonts w:cs="宋体" w:asciiTheme="minorEastAsia" w:hAnsiTheme="minorEastAsia"/>
                <w:sz w:val="21"/>
                <w:szCs w:val="21"/>
              </w:rPr>
              <w:t>4.未按要求交付文档资料的，每缺1份扣1分；存在文档造假的，本项不得分。</w:t>
            </w:r>
          </w:p>
        </w:tc>
        <w:tc>
          <w:tcPr>
            <w:tcW w:w="902"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0"/>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0"/>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69" w:hRule="atLeast"/>
          <w:jc w:val="center"/>
        </w:trPr>
        <w:tc>
          <w:tcPr>
            <w:tcW w:w="639"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4</w:t>
            </w:r>
          </w:p>
        </w:tc>
        <w:tc>
          <w:tcPr>
            <w:tcW w:w="708"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网络安全</w:t>
            </w:r>
            <w:r>
              <w:rPr>
                <w:rFonts w:asciiTheme="minorEastAsia" w:hAnsiTheme="minorEastAsia"/>
                <w:sz w:val="21"/>
                <w:szCs w:val="21"/>
              </w:rPr>
              <w:br w:type="textWrapping"/>
            </w:r>
            <w:r>
              <w:rPr>
                <w:rFonts w:cs="宋体" w:asciiTheme="minorEastAsia" w:hAnsiTheme="minorEastAsia"/>
                <w:sz w:val="21"/>
                <w:szCs w:val="21"/>
              </w:rPr>
              <w:t>（30分）</w:t>
            </w:r>
          </w:p>
        </w:tc>
        <w:tc>
          <w:tcPr>
            <w:tcW w:w="3425" w:type="dxa"/>
            <w:tcBorders>
              <w:tl2br w:val="nil"/>
              <w:tr2bl w:val="nil"/>
            </w:tcBorders>
            <w:tcMar>
              <w:top w:w="0" w:type="dxa"/>
              <w:left w:w="105" w:type="dxa"/>
              <w:bottom w:w="0" w:type="dxa"/>
              <w:right w:w="105" w:type="dxa"/>
            </w:tcMar>
            <w:vAlign w:val="center"/>
          </w:tcPr>
          <w:p>
            <w:pPr>
              <w:pStyle w:val="30"/>
              <w:spacing w:line="360" w:lineRule="exact"/>
              <w:rPr>
                <w:rFonts w:hint="default" w:cs="宋体" w:asciiTheme="minorEastAsia" w:hAnsiTheme="minorEastAsia"/>
                <w:sz w:val="21"/>
                <w:szCs w:val="21"/>
              </w:rPr>
            </w:pPr>
            <w:r>
              <w:rPr>
                <w:rFonts w:cs="宋体" w:asciiTheme="minorEastAsia" w:hAnsiTheme="minorEastAsia"/>
                <w:sz w:val="21"/>
                <w:szCs w:val="21"/>
              </w:rPr>
              <w:t>1.定期进行漏洞扫描等网络安全相关检测、测试和安全审计，发现异常网络活动和安全事件应及时向中心报告并采取相应处置措施。</w:t>
            </w:r>
            <w:r>
              <w:rPr>
                <w:rFonts w:hint="default" w:cs="宋体" w:asciiTheme="minorEastAsia" w:hAnsiTheme="minorEastAsia"/>
                <w:sz w:val="21"/>
                <w:szCs w:val="21"/>
              </w:rPr>
              <w:br w:type="textWrapping"/>
            </w:r>
            <w:r>
              <w:rPr>
                <w:rFonts w:cs="宋体" w:asciiTheme="minorEastAsia" w:hAnsiTheme="minorEastAsia"/>
                <w:sz w:val="21"/>
                <w:szCs w:val="21"/>
              </w:rPr>
              <w:t>2.做好数据备份、重要数据加密以及信息系统、数据的访问权限控制和管理。</w:t>
            </w:r>
            <w:r>
              <w:rPr>
                <w:rFonts w:hint="default" w:cs="宋体" w:asciiTheme="minorEastAsia" w:hAnsiTheme="minorEastAsia"/>
                <w:sz w:val="21"/>
                <w:szCs w:val="21"/>
              </w:rPr>
              <w:br w:type="textWrapping"/>
            </w:r>
            <w:r>
              <w:rPr>
                <w:rFonts w:cs="宋体" w:asciiTheme="minorEastAsia" w:hAnsiTheme="minorEastAsia"/>
                <w:sz w:val="21"/>
                <w:szCs w:val="21"/>
              </w:rPr>
              <w:t>3.根据网络安全主管部门的通报、等级保护测评结果、第三方网络安全服务机构巡检等信息，及时排查和处置网络与数据安全漏洞，并将结果书面盖章后报中心。</w:t>
            </w:r>
            <w:r>
              <w:rPr>
                <w:rFonts w:hint="default" w:cs="宋体" w:asciiTheme="minorEastAsia" w:hAnsiTheme="minorEastAsia"/>
                <w:sz w:val="21"/>
                <w:szCs w:val="21"/>
              </w:rPr>
              <w:br w:type="textWrapping"/>
            </w:r>
            <w:r>
              <w:rPr>
                <w:rFonts w:cs="宋体" w:asciiTheme="minorEastAsia" w:hAnsiTheme="minorEastAsia"/>
                <w:sz w:val="21"/>
                <w:szCs w:val="21"/>
              </w:rPr>
              <w:t>4.做好账号、密码、数字证书等管理，及时撤销已离职或职责变更的服务人员权限，并回收相关账号、数字证书等。</w:t>
            </w:r>
          </w:p>
        </w:tc>
        <w:tc>
          <w:tcPr>
            <w:tcW w:w="3120" w:type="dxa"/>
            <w:gridSpan w:val="2"/>
            <w:tcBorders>
              <w:tl2br w:val="nil"/>
              <w:tr2bl w:val="nil"/>
            </w:tcBorders>
            <w:tcMar>
              <w:top w:w="0" w:type="dxa"/>
              <w:left w:w="105" w:type="dxa"/>
              <w:bottom w:w="0" w:type="dxa"/>
              <w:right w:w="105" w:type="dxa"/>
            </w:tcMar>
            <w:vAlign w:val="center"/>
          </w:tcPr>
          <w:p>
            <w:pPr>
              <w:pStyle w:val="30"/>
              <w:spacing w:line="360" w:lineRule="exact"/>
              <w:rPr>
                <w:rFonts w:hint="default" w:asciiTheme="minorEastAsia" w:hAnsiTheme="minorEastAsia"/>
                <w:sz w:val="21"/>
                <w:szCs w:val="21"/>
              </w:rPr>
            </w:pPr>
            <w:r>
              <w:rPr>
                <w:rFonts w:cs="宋体" w:asciiTheme="minorEastAsia" w:hAnsiTheme="minorEastAsia"/>
                <w:sz w:val="21"/>
                <w:szCs w:val="21"/>
              </w:rPr>
              <w:t>1.未定期开展漏洞扫描等网络安全相关检测、测试和安全审计的，每次扣2分。</w:t>
            </w:r>
            <w:r>
              <w:rPr>
                <w:rFonts w:hint="default" w:cs="宋体" w:asciiTheme="minorEastAsia" w:hAnsiTheme="minorEastAsia"/>
                <w:sz w:val="21"/>
                <w:szCs w:val="21"/>
              </w:rPr>
              <w:br w:type="textWrapping"/>
            </w:r>
            <w:r>
              <w:rPr>
                <w:rFonts w:cs="宋体" w:asciiTheme="minorEastAsia" w:hAnsiTheme="minorEastAsia"/>
                <w:sz w:val="21"/>
                <w:szCs w:val="21"/>
              </w:rPr>
              <w:t>2.发现的网络与数据安全问题未及时向中心报告并采取相应处置措施的，每项扣2分。</w:t>
            </w:r>
            <w:r>
              <w:rPr>
                <w:rFonts w:hint="default" w:cs="宋体" w:asciiTheme="minorEastAsia" w:hAnsiTheme="minorEastAsia"/>
                <w:sz w:val="21"/>
                <w:szCs w:val="21"/>
              </w:rPr>
              <w:br w:type="textWrapping"/>
            </w:r>
            <w:r>
              <w:rPr>
                <w:rFonts w:cs="宋体" w:asciiTheme="minorEastAsia" w:hAnsiTheme="minorEastAsia"/>
                <w:sz w:val="21"/>
                <w:szCs w:val="21"/>
              </w:rPr>
              <w:t>3.未按要求开展数据备份、重要数据加密的，每次扣2分。</w:t>
            </w:r>
            <w:r>
              <w:rPr>
                <w:rFonts w:hint="default" w:cs="宋体" w:asciiTheme="minorEastAsia" w:hAnsiTheme="minorEastAsia"/>
                <w:sz w:val="21"/>
                <w:szCs w:val="21"/>
              </w:rPr>
              <w:br w:type="textWrapping"/>
            </w:r>
            <w:r>
              <w:rPr>
                <w:rFonts w:cs="宋体" w:asciiTheme="minorEastAsia" w:hAnsiTheme="minorEastAsia"/>
                <w:sz w:val="21"/>
                <w:szCs w:val="21"/>
              </w:rPr>
              <w:t>4.未及时撤销已离职或职责变更的服务人员权限，并回收相关账号、数字证书的，每次扣2分。</w:t>
            </w:r>
            <w:r>
              <w:rPr>
                <w:rFonts w:hint="default" w:cs="宋体" w:asciiTheme="minorEastAsia" w:hAnsiTheme="minorEastAsia"/>
                <w:sz w:val="21"/>
                <w:szCs w:val="21"/>
              </w:rPr>
              <w:br w:type="textWrapping"/>
            </w:r>
            <w:r>
              <w:rPr>
                <w:rFonts w:cs="宋体" w:asciiTheme="minorEastAsia" w:hAnsiTheme="minorEastAsia"/>
                <w:sz w:val="21"/>
                <w:szCs w:val="21"/>
              </w:rPr>
              <w:t>5.未完成网络安全主管部门通报安全问题整改的，本项不得分。</w:t>
            </w:r>
          </w:p>
        </w:tc>
        <w:tc>
          <w:tcPr>
            <w:tcW w:w="902"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0"/>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0"/>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8" w:hRule="atLeast"/>
          <w:jc w:val="center"/>
        </w:trPr>
        <w:tc>
          <w:tcPr>
            <w:tcW w:w="639"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5</w:t>
            </w:r>
          </w:p>
        </w:tc>
        <w:tc>
          <w:tcPr>
            <w:tcW w:w="708"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一票否决项</w:t>
            </w:r>
          </w:p>
        </w:tc>
        <w:tc>
          <w:tcPr>
            <w:tcW w:w="6545" w:type="dxa"/>
            <w:gridSpan w:val="3"/>
            <w:tcBorders>
              <w:tl2br w:val="nil"/>
              <w:tr2bl w:val="nil"/>
            </w:tcBorders>
            <w:tcMar>
              <w:top w:w="0" w:type="dxa"/>
              <w:left w:w="105" w:type="dxa"/>
              <w:bottom w:w="0" w:type="dxa"/>
              <w:right w:w="105" w:type="dxa"/>
            </w:tcMar>
            <w:vAlign w:val="center"/>
          </w:tcPr>
          <w:p>
            <w:pPr>
              <w:pStyle w:val="30"/>
              <w:spacing w:line="360" w:lineRule="exact"/>
              <w:rPr>
                <w:rFonts w:hint="default" w:asciiTheme="minorEastAsia" w:hAnsiTheme="minorEastAsia"/>
                <w:sz w:val="21"/>
                <w:szCs w:val="21"/>
              </w:rPr>
            </w:pPr>
            <w:r>
              <w:rPr>
                <w:rFonts w:cs="宋体" w:asciiTheme="minorEastAsia" w:hAnsiTheme="minorEastAsia"/>
                <w:sz w:val="21"/>
                <w:szCs w:val="21"/>
              </w:rPr>
              <w:t>因运维服务单位原因造成以下情形的，当期考核不得分：</w:t>
            </w:r>
            <w:r>
              <w:rPr>
                <w:rFonts w:asciiTheme="minorEastAsia" w:hAnsiTheme="minorEastAsia"/>
                <w:sz w:val="21"/>
                <w:szCs w:val="21"/>
              </w:rPr>
              <w:br w:type="textWrapping"/>
            </w:r>
            <w:r>
              <w:rPr>
                <w:rFonts w:asciiTheme="minorEastAsia" w:hAnsiTheme="minorEastAsia"/>
                <w:sz w:val="21"/>
                <w:szCs w:val="21"/>
              </w:rPr>
              <w:t>1.违反国家网络安全、数据安全和保密安全等有关法律、法规、规章、制度。</w:t>
            </w:r>
            <w:r>
              <w:rPr>
                <w:rFonts w:hint="default" w:asciiTheme="minorEastAsia" w:hAnsiTheme="minorEastAsia"/>
                <w:sz w:val="21"/>
                <w:szCs w:val="21"/>
              </w:rPr>
              <w:br w:type="textWrapping"/>
            </w:r>
            <w:r>
              <w:rPr>
                <w:rFonts w:asciiTheme="minorEastAsia" w:hAnsiTheme="minorEastAsia"/>
                <w:sz w:val="21"/>
                <w:szCs w:val="21"/>
              </w:rPr>
              <w:t>2.发生网络与数据安全、保密安全事故被上级部门通报。</w:t>
            </w:r>
            <w:r>
              <w:rPr>
                <w:rFonts w:hint="default" w:asciiTheme="minorEastAsia" w:hAnsiTheme="minorEastAsia"/>
                <w:sz w:val="21"/>
                <w:szCs w:val="21"/>
              </w:rPr>
              <w:br w:type="textWrapping"/>
            </w:r>
            <w:r>
              <w:rPr>
                <w:rFonts w:asciiTheme="minorEastAsia" w:hAnsiTheme="minorEastAsia"/>
                <w:sz w:val="21"/>
                <w:szCs w:val="21"/>
              </w:rPr>
              <w:t>3.未经规定程序审批，擅自篡改数据和用户权限。</w:t>
            </w:r>
            <w:r>
              <w:rPr>
                <w:rFonts w:hint="default" w:asciiTheme="minorEastAsia" w:hAnsiTheme="minorEastAsia"/>
                <w:sz w:val="21"/>
                <w:szCs w:val="21"/>
              </w:rPr>
              <w:br w:type="textWrapping"/>
            </w:r>
            <w:r>
              <w:rPr>
                <w:rFonts w:asciiTheme="minorEastAsia" w:hAnsiTheme="minorEastAsia"/>
                <w:sz w:val="21"/>
                <w:szCs w:val="21"/>
              </w:rPr>
              <w:t>4.因运维措施不当造成数据错乱、丢失且无法恢复。</w:t>
            </w:r>
          </w:p>
        </w:tc>
        <w:tc>
          <w:tcPr>
            <w:tcW w:w="902"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0"/>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0"/>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8" w:hRule="atLeast"/>
          <w:jc w:val="center"/>
        </w:trPr>
        <w:tc>
          <w:tcPr>
            <w:tcW w:w="7892" w:type="dxa"/>
            <w:gridSpan w:val="5"/>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合  计</w:t>
            </w:r>
          </w:p>
        </w:tc>
        <w:tc>
          <w:tcPr>
            <w:tcW w:w="902"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0"/>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0"/>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jc w:val="center"/>
        </w:trPr>
        <w:tc>
          <w:tcPr>
            <w:tcW w:w="639"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运维服务单位意见</w:t>
            </w:r>
          </w:p>
        </w:tc>
        <w:tc>
          <w:tcPr>
            <w:tcW w:w="4133" w:type="dxa"/>
            <w:gridSpan w:val="2"/>
            <w:tcBorders>
              <w:tl2br w:val="nil"/>
              <w:tr2bl w:val="nil"/>
            </w:tcBorders>
            <w:tcMar>
              <w:top w:w="0" w:type="dxa"/>
              <w:left w:w="105" w:type="dxa"/>
              <w:bottom w:w="0" w:type="dxa"/>
              <w:right w:w="105" w:type="dxa"/>
            </w:tcMar>
            <w:vAlign w:val="center"/>
          </w:tcPr>
          <w:p>
            <w:pPr>
              <w:pStyle w:val="30"/>
              <w:spacing w:line="360" w:lineRule="exact"/>
              <w:jc w:val="center"/>
              <w:rPr>
                <w:rFonts w:cs="宋体" w:asciiTheme="minorEastAsia" w:hAnsiTheme="minorEastAsia"/>
                <w:sz w:val="21"/>
                <w:szCs w:val="21"/>
              </w:rPr>
            </w:pPr>
            <w:r>
              <w:rPr>
                <w:rFonts w:asciiTheme="minorEastAsia" w:hAnsiTheme="minorEastAsia"/>
                <w:sz w:val="21"/>
                <w:szCs w:val="21"/>
              </w:rPr>
              <w:br w:type="textWrapping"/>
            </w:r>
            <w:r>
              <w:rPr>
                <w:rFonts w:asciiTheme="minorEastAsia" w:hAnsiTheme="minorEastAsia"/>
                <w:sz w:val="21"/>
                <w:szCs w:val="21"/>
              </w:rPr>
              <w:br w:type="textWrapping"/>
            </w:r>
            <w:r>
              <w:rPr>
                <w:rFonts w:asciiTheme="minorEastAsia" w:hAnsiTheme="minorEastAsia"/>
                <w:sz w:val="21"/>
                <w:szCs w:val="21"/>
              </w:rPr>
              <w:br w:type="textWrapping"/>
            </w:r>
            <w:r>
              <w:rPr>
                <w:rFonts w:asciiTheme="minorEastAsia" w:hAnsiTheme="minorEastAsia"/>
                <w:sz w:val="21"/>
                <w:szCs w:val="21"/>
              </w:rPr>
              <w:br w:type="textWrapping"/>
            </w:r>
            <w:r>
              <w:rPr>
                <w:rFonts w:cs="宋体" w:asciiTheme="minorEastAsia" w:hAnsiTheme="minorEastAsia"/>
                <w:sz w:val="21"/>
                <w:szCs w:val="21"/>
              </w:rPr>
              <w:t xml:space="preserve">       日期：</w:t>
            </w:r>
          </w:p>
          <w:p>
            <w:pPr>
              <w:pStyle w:val="30"/>
              <w:spacing w:line="360" w:lineRule="exact"/>
              <w:jc w:val="center"/>
              <w:rPr>
                <w:rFonts w:hint="default" w:cs="宋体" w:asciiTheme="minorEastAsia" w:hAnsiTheme="minorEastAsia"/>
                <w:sz w:val="21"/>
                <w:szCs w:val="21"/>
              </w:rPr>
            </w:pPr>
          </w:p>
        </w:tc>
        <w:tc>
          <w:tcPr>
            <w:tcW w:w="990" w:type="dxa"/>
            <w:tcBorders>
              <w:tl2br w:val="nil"/>
              <w:tr2bl w:val="nil"/>
            </w:tcBorders>
            <w:tcMar>
              <w:top w:w="0" w:type="dxa"/>
              <w:left w:w="105" w:type="dxa"/>
              <w:bottom w:w="0" w:type="dxa"/>
              <w:right w:w="105" w:type="dxa"/>
            </w:tcMar>
            <w:vAlign w:val="center"/>
          </w:tcPr>
          <w:p>
            <w:pPr>
              <w:pStyle w:val="30"/>
              <w:spacing w:line="360" w:lineRule="exact"/>
              <w:jc w:val="center"/>
              <w:rPr>
                <w:rFonts w:hint="default" w:cs="宋体" w:asciiTheme="minorEastAsia" w:hAnsiTheme="minorEastAsia"/>
                <w:sz w:val="21"/>
                <w:szCs w:val="21"/>
              </w:rPr>
            </w:pPr>
            <w:r>
              <w:rPr>
                <w:rFonts w:cs="宋体" w:asciiTheme="minorEastAsia" w:hAnsiTheme="minorEastAsia"/>
                <w:sz w:val="21"/>
                <w:szCs w:val="21"/>
              </w:rPr>
              <w:t>行政</w:t>
            </w:r>
          </w:p>
          <w:p>
            <w:pPr>
              <w:pStyle w:val="30"/>
              <w:spacing w:line="360" w:lineRule="exact"/>
              <w:jc w:val="center"/>
              <w:rPr>
                <w:rFonts w:hint="default" w:cs="宋体" w:asciiTheme="minorEastAsia" w:hAnsiTheme="minorEastAsia"/>
                <w:sz w:val="21"/>
                <w:szCs w:val="21"/>
              </w:rPr>
            </w:pPr>
            <w:r>
              <w:rPr>
                <w:rFonts w:cs="宋体" w:asciiTheme="minorEastAsia" w:hAnsiTheme="minorEastAsia"/>
                <w:sz w:val="21"/>
                <w:szCs w:val="21"/>
              </w:rPr>
              <w:t>服务</w:t>
            </w:r>
          </w:p>
          <w:p>
            <w:pPr>
              <w:pStyle w:val="30"/>
              <w:spacing w:line="360" w:lineRule="exact"/>
              <w:jc w:val="center"/>
              <w:rPr>
                <w:rFonts w:hint="default" w:cs="宋体" w:asciiTheme="minorEastAsia" w:hAnsiTheme="minorEastAsia"/>
                <w:sz w:val="21"/>
                <w:szCs w:val="21"/>
              </w:rPr>
            </w:pPr>
            <w:r>
              <w:rPr>
                <w:rFonts w:cs="宋体" w:asciiTheme="minorEastAsia" w:hAnsiTheme="minorEastAsia"/>
                <w:sz w:val="21"/>
                <w:szCs w:val="21"/>
              </w:rPr>
              <w:t>中心</w:t>
            </w:r>
          </w:p>
          <w:p>
            <w:pPr>
              <w:pStyle w:val="30"/>
              <w:spacing w:line="360" w:lineRule="exact"/>
              <w:jc w:val="center"/>
              <w:rPr>
                <w:rFonts w:hint="default" w:asciiTheme="minorEastAsia" w:hAnsiTheme="minorEastAsia"/>
                <w:sz w:val="21"/>
                <w:szCs w:val="21"/>
              </w:rPr>
            </w:pPr>
            <w:r>
              <w:rPr>
                <w:rFonts w:cs="宋体" w:asciiTheme="minorEastAsia" w:hAnsiTheme="minorEastAsia"/>
                <w:sz w:val="21"/>
                <w:szCs w:val="21"/>
              </w:rPr>
              <w:t>意见</w:t>
            </w:r>
          </w:p>
        </w:tc>
        <w:tc>
          <w:tcPr>
            <w:tcW w:w="4547" w:type="dxa"/>
            <w:gridSpan w:val="4"/>
            <w:tcBorders>
              <w:tl2br w:val="nil"/>
              <w:tr2bl w:val="nil"/>
            </w:tcBorders>
            <w:tcMar>
              <w:top w:w="0" w:type="dxa"/>
              <w:left w:w="105" w:type="dxa"/>
              <w:bottom w:w="0" w:type="dxa"/>
              <w:right w:w="105" w:type="dxa"/>
            </w:tcMar>
            <w:vAlign w:val="center"/>
          </w:tcPr>
          <w:p>
            <w:pPr>
              <w:pStyle w:val="30"/>
              <w:spacing w:line="360" w:lineRule="exact"/>
              <w:jc w:val="center"/>
              <w:rPr>
                <w:rFonts w:hint="default" w:asciiTheme="minorEastAsia" w:hAnsiTheme="minorEastAsia"/>
                <w:sz w:val="21"/>
                <w:szCs w:val="21"/>
              </w:rPr>
            </w:pPr>
            <w:r>
              <w:rPr>
                <w:rFonts w:hint="default" w:asciiTheme="minorEastAsia" w:hAnsiTheme="minorEastAsia"/>
                <w:sz w:val="21"/>
                <w:szCs w:val="21"/>
              </w:rPr>
              <w:br w:type="textWrapping"/>
            </w:r>
            <w:r>
              <w:rPr>
                <w:rFonts w:asciiTheme="minorEastAsia" w:hAnsiTheme="minorEastAsia"/>
                <w:sz w:val="21"/>
                <w:szCs w:val="21"/>
              </w:rPr>
              <w:br w:type="textWrapping"/>
            </w:r>
            <w:r>
              <w:rPr>
                <w:rFonts w:asciiTheme="minorEastAsia" w:hAnsiTheme="minorEastAsia"/>
                <w:sz w:val="21"/>
                <w:szCs w:val="21"/>
              </w:rPr>
              <w:br w:type="textWrapping"/>
            </w:r>
            <w:r>
              <w:rPr>
                <w:rFonts w:asciiTheme="minorEastAsia" w:hAnsiTheme="minorEastAsia"/>
                <w:sz w:val="21"/>
                <w:szCs w:val="21"/>
              </w:rPr>
              <w:br w:type="textWrapping"/>
            </w:r>
            <w:r>
              <w:rPr>
                <w:rFonts w:cs="宋体" w:asciiTheme="minorEastAsia" w:hAnsiTheme="minorEastAsia"/>
                <w:sz w:val="21"/>
                <w:szCs w:val="21"/>
              </w:rPr>
              <w:t xml:space="preserve">        日期：</w:t>
            </w:r>
          </w:p>
        </w:tc>
      </w:tr>
    </w:tbl>
    <w:p>
      <w:pPr>
        <w:pStyle w:val="13"/>
        <w:pageBreakBefore w:val="0"/>
        <w:widowControl/>
        <w:kinsoku/>
        <w:wordWrap/>
        <w:overflowPunct/>
        <w:topLinePunct w:val="0"/>
        <w:bidi w:val="0"/>
        <w:spacing w:before="0" w:beforeAutospacing="0" w:after="0" w:afterAutospacing="0" w:line="360" w:lineRule="auto"/>
        <w:ind w:firstLine="390" w:firstLineChars="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在合同</w:t>
      </w:r>
      <w:r>
        <w:rPr>
          <w:rFonts w:hint="eastAsia" w:ascii="宋体" w:hAnsi="宋体" w:eastAsia="宋体" w:cs="宋体"/>
          <w:i w:val="0"/>
          <w:caps w:val="0"/>
          <w:color w:val="auto"/>
          <w:spacing w:val="0"/>
          <w:sz w:val="24"/>
          <w:szCs w:val="24"/>
          <w:lang w:val="en-US" w:eastAsia="zh-CN"/>
        </w:rPr>
        <w:t>期内，每月对本月的服务质量按上表进行考核，当月考核得分低于80分（不含80分），</w:t>
      </w:r>
      <w:r>
        <w:rPr>
          <w:rFonts w:hint="eastAsia" w:ascii="宋体" w:hAnsi="宋体" w:eastAsia="宋体" w:cs="宋体"/>
          <w:i w:val="0"/>
          <w:caps w:val="0"/>
          <w:color w:val="auto"/>
          <w:spacing w:val="0"/>
          <w:sz w:val="24"/>
          <w:szCs w:val="24"/>
        </w:rPr>
        <w:t>用户有权每次扣总额的</w:t>
      </w:r>
      <w:r>
        <w:rPr>
          <w:rFonts w:hint="eastAsia" w:ascii="宋体" w:hAnsi="宋体" w:eastAsia="宋体" w:cs="宋体"/>
          <w:i w:val="0"/>
          <w:caps w:val="0"/>
          <w:color w:val="auto"/>
          <w:spacing w:val="0"/>
          <w:sz w:val="24"/>
          <w:szCs w:val="24"/>
          <w:lang w:val="en-US" w:eastAsia="zh-CN"/>
        </w:rPr>
        <w:t>8</w:t>
      </w:r>
      <w:r>
        <w:rPr>
          <w:rFonts w:hint="eastAsia" w:ascii="宋体" w:hAnsi="宋体" w:eastAsia="宋体" w:cs="宋体"/>
          <w:i w:val="0"/>
          <w:caps w:val="0"/>
          <w:color w:val="auto"/>
          <w:spacing w:val="0"/>
          <w:sz w:val="24"/>
          <w:szCs w:val="24"/>
        </w:rPr>
        <w:t>%，直到扣完为止。</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63968"/>
    <w:multiLevelType w:val="multilevel"/>
    <w:tmpl w:val="33463968"/>
    <w:lvl w:ilvl="0" w:tentative="0">
      <w:start w:val="1"/>
      <w:numFmt w:val="decimal"/>
      <w:lvlText w:val="%1"/>
      <w:lvlJc w:val="left"/>
      <w:pPr>
        <w:ind w:left="432" w:hanging="432"/>
      </w:pPr>
    </w:lvl>
    <w:lvl w:ilvl="1" w:tentative="0">
      <w:start w:val="1"/>
      <w:numFmt w:val="decimal"/>
      <w:lvlText w:val="%1.%2"/>
      <w:lvlJc w:val="left"/>
      <w:pPr>
        <w:ind w:left="1144"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56E93392"/>
    <w:multiLevelType w:val="singleLevel"/>
    <w:tmpl w:val="56E93392"/>
    <w:lvl w:ilvl="0" w:tentative="0">
      <w:start w:val="2"/>
      <w:numFmt w:val="decimal"/>
      <w:suff w:val="nothing"/>
      <w:lvlText w:val="（%1）"/>
      <w:lvlJc w:val="left"/>
    </w:lvl>
  </w:abstractNum>
  <w:abstractNum w:abstractNumId="2">
    <w:nsid w:val="5CB7EDB4"/>
    <w:multiLevelType w:val="multilevel"/>
    <w:tmpl w:val="5CB7EDB4"/>
    <w:lvl w:ilvl="0" w:tentative="0">
      <w:start w:val="1"/>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sz w:val="36"/>
        <w:szCs w:val="36"/>
      </w:rPr>
    </w:lvl>
    <w:lvl w:ilvl="2" w:tentative="0">
      <w:start w:val="1"/>
      <w:numFmt w:val="decimal"/>
      <w:lvlText w:val="%1.%2.%3."/>
      <w:lvlJc w:val="left"/>
      <w:pPr>
        <w:ind w:left="720" w:hanging="720"/>
      </w:pPr>
      <w:rPr>
        <w:rFonts w:hint="default"/>
      </w:rPr>
    </w:lvl>
    <w:lvl w:ilvl="3" w:tentative="0">
      <w:start w:val="1"/>
      <w:numFmt w:val="decimal"/>
      <w:lvlText w:val="%1.%2.%3.%4."/>
      <w:lvlJc w:val="left"/>
      <w:pPr>
        <w:ind w:left="5683"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lvlText w:val="%1.%2.%3.%4.%5.%6."/>
      <w:lvlJc w:val="left"/>
      <w:pPr>
        <w:ind w:left="1151" w:hanging="1151"/>
      </w:pPr>
      <w:rPr>
        <w:rFonts w:hint="default" w:ascii="宋体" w:hAnsi="宋体" w:eastAsia="宋体" w:cs="宋体"/>
        <w:b/>
        <w:bCs/>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5DE9C911"/>
    <w:multiLevelType w:val="multilevel"/>
    <w:tmpl w:val="5DE9C911"/>
    <w:lvl w:ilvl="0" w:tentative="0">
      <w:start w:val="1"/>
      <w:numFmt w:val="decimal"/>
      <w:pStyle w:val="18"/>
      <w:suff w:val="nothing"/>
      <w:lvlText w:val="第%1章 "/>
      <w:lvlJc w:val="left"/>
      <w:pPr>
        <w:ind w:left="1276" w:firstLine="0"/>
      </w:pPr>
      <w:rPr>
        <w:rFonts w:hint="eastAsia" w:ascii="宋体" w:hAnsi="宋体" w:eastAsia="宋体"/>
        <w:b/>
        <w:i w:val="0"/>
        <w:sz w:val="44"/>
      </w:rPr>
    </w:lvl>
    <w:lvl w:ilvl="1" w:tentative="0">
      <w:start w:val="1"/>
      <w:numFmt w:val="decimal"/>
      <w:pStyle w:val="19"/>
      <w:suff w:val="nothing"/>
      <w:lvlText w:val="%1.%2."/>
      <w:lvlJc w:val="left"/>
      <w:pPr>
        <w:ind w:left="1260" w:firstLine="0"/>
      </w:pPr>
      <w:rPr>
        <w:rFonts w:hint="eastAsia" w:ascii="宋体" w:hAnsi="宋体" w:eastAsia="宋体" w:cs="宋体"/>
        <w:b/>
        <w:i w:val="0"/>
        <w:sz w:val="36"/>
        <w:szCs w:val="36"/>
      </w:rPr>
    </w:lvl>
    <w:lvl w:ilvl="2" w:tentative="0">
      <w:start w:val="1"/>
      <w:numFmt w:val="decimal"/>
      <w:pStyle w:val="20"/>
      <w:suff w:val="nothing"/>
      <w:lvlText w:val="%1.%2.%3."/>
      <w:lvlJc w:val="left"/>
      <w:pPr>
        <w:ind w:left="0" w:firstLine="0"/>
      </w:pPr>
      <w:rPr>
        <w:rFonts w:hint="eastAsia" w:ascii="宋体" w:hAnsi="宋体" w:eastAsia="宋体" w:cs="宋体"/>
        <w:b/>
        <w:i w:val="0"/>
        <w:sz w:val="32"/>
        <w:szCs w:val="32"/>
      </w:rPr>
    </w:lvl>
    <w:lvl w:ilvl="3" w:tentative="0">
      <w:start w:val="1"/>
      <w:numFmt w:val="decimal"/>
      <w:suff w:val="nothing"/>
      <w:lvlText w:val="%1.%2.%3.%4."/>
      <w:lvlJc w:val="left"/>
      <w:pPr>
        <w:ind w:left="0" w:firstLine="0"/>
      </w:pPr>
      <w:rPr>
        <w:rFonts w:hint="eastAsia" w:ascii="宋体" w:hAnsi="宋体" w:eastAsia="宋体"/>
        <w:b/>
        <w:i w:val="0"/>
        <w:sz w:val="30"/>
        <w:szCs w:val="30"/>
      </w:rPr>
    </w:lvl>
    <w:lvl w:ilvl="4" w:tentative="0">
      <w:start w:val="1"/>
      <w:numFmt w:val="decimal"/>
      <w:suff w:val="nothing"/>
      <w:lvlText w:val="%1.%2.%3.%4.%5."/>
      <w:lvlJc w:val="left"/>
      <w:pPr>
        <w:ind w:left="0" w:firstLine="0"/>
      </w:pPr>
      <w:rPr>
        <w:rFonts w:hint="eastAsia" w:ascii="宋体" w:hAnsi="宋体" w:eastAsia="宋体"/>
        <w:b/>
        <w:i w:val="0"/>
        <w:sz w:val="28"/>
        <w:szCs w:val="28"/>
      </w:rPr>
    </w:lvl>
    <w:lvl w:ilvl="5" w:tentative="0">
      <w:start w:val="1"/>
      <w:numFmt w:val="decimal"/>
      <w:suff w:val="nothing"/>
      <w:lvlText w:val="%1.%2.%3.%4.%5.%6."/>
      <w:lvlJc w:val="left"/>
      <w:pPr>
        <w:ind w:left="0" w:firstLine="0"/>
      </w:pPr>
      <w:rPr>
        <w:rFonts w:hint="default" w:ascii="宋体" w:hAnsi="宋体" w:eastAsia="宋体"/>
        <w:b/>
        <w:bCs w:val="0"/>
        <w:i w:val="0"/>
        <w:sz w:val="24"/>
      </w:rPr>
    </w:lvl>
    <w:lvl w:ilvl="6" w:tentative="0">
      <w:start w:val="1"/>
      <w:numFmt w:val="decimal"/>
      <w:lvlText w:val="%1.%2.%3.%4.%5.%6.%7."/>
      <w:lvlJc w:val="left"/>
      <w:pPr>
        <w:tabs>
          <w:tab w:val="left" w:pos="1276"/>
        </w:tabs>
        <w:ind w:left="0" w:firstLine="0"/>
      </w:pPr>
      <w:rPr>
        <w:rFonts w:hint="default" w:ascii="宋体" w:hAnsi="宋体" w:eastAsia="宋体"/>
        <w:b/>
        <w:bCs/>
        <w:i w:val="0"/>
        <w:sz w:val="24"/>
      </w:rPr>
    </w:lvl>
    <w:lvl w:ilvl="7" w:tentative="0">
      <w:start w:val="1"/>
      <w:numFmt w:val="decimal"/>
      <w:lvlText w:val="%1.%2.%3.%4.%5.%6.%7.%8."/>
      <w:lvlJc w:val="left"/>
      <w:pPr>
        <w:tabs>
          <w:tab w:val="left" w:pos="1418"/>
        </w:tabs>
        <w:ind w:left="0" w:firstLine="0"/>
      </w:pPr>
    </w:lvl>
    <w:lvl w:ilvl="8" w:tentative="0">
      <w:start w:val="1"/>
      <w:numFmt w:val="decimal"/>
      <w:lvlText w:val="%1.%2.%3.%4.%5.%6.%7.%8.%9."/>
      <w:lvlJc w:val="left"/>
      <w:pPr>
        <w:tabs>
          <w:tab w:val="left" w:pos="1559"/>
        </w:tabs>
        <w:ind w:left="0" w:firstLine="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zg0NDdkY2EzYzNiOTE0MTFiNjg1NjI0NDYzMzAifQ=="/>
  </w:docVars>
  <w:rsids>
    <w:rsidRoot w:val="1D402A9E"/>
    <w:rsid w:val="00007EC1"/>
    <w:rsid w:val="00045992"/>
    <w:rsid w:val="00057D42"/>
    <w:rsid w:val="000852E7"/>
    <w:rsid w:val="000A1605"/>
    <w:rsid w:val="000D156E"/>
    <w:rsid w:val="000D4A4C"/>
    <w:rsid w:val="000F3C3D"/>
    <w:rsid w:val="00205ABC"/>
    <w:rsid w:val="0029343E"/>
    <w:rsid w:val="002F3851"/>
    <w:rsid w:val="0033497D"/>
    <w:rsid w:val="003F4504"/>
    <w:rsid w:val="00485001"/>
    <w:rsid w:val="00495C79"/>
    <w:rsid w:val="004A2801"/>
    <w:rsid w:val="004C7188"/>
    <w:rsid w:val="005277DF"/>
    <w:rsid w:val="00574B1E"/>
    <w:rsid w:val="00590FE1"/>
    <w:rsid w:val="005944B4"/>
    <w:rsid w:val="005E2FBD"/>
    <w:rsid w:val="00605D3D"/>
    <w:rsid w:val="006275BD"/>
    <w:rsid w:val="006C3EFF"/>
    <w:rsid w:val="007429D7"/>
    <w:rsid w:val="00757346"/>
    <w:rsid w:val="00787E5B"/>
    <w:rsid w:val="00853D7B"/>
    <w:rsid w:val="00896043"/>
    <w:rsid w:val="00984786"/>
    <w:rsid w:val="009F51A4"/>
    <w:rsid w:val="00A261BB"/>
    <w:rsid w:val="00A91320"/>
    <w:rsid w:val="00AB055C"/>
    <w:rsid w:val="00AD5CA4"/>
    <w:rsid w:val="00AE3E77"/>
    <w:rsid w:val="00B053BA"/>
    <w:rsid w:val="00C3179B"/>
    <w:rsid w:val="00D86C86"/>
    <w:rsid w:val="00E023D1"/>
    <w:rsid w:val="00E83B36"/>
    <w:rsid w:val="00EE3993"/>
    <w:rsid w:val="00F65C99"/>
    <w:rsid w:val="01061784"/>
    <w:rsid w:val="0109464A"/>
    <w:rsid w:val="01202CF3"/>
    <w:rsid w:val="01285010"/>
    <w:rsid w:val="016463DB"/>
    <w:rsid w:val="016738CA"/>
    <w:rsid w:val="0180359B"/>
    <w:rsid w:val="018F665E"/>
    <w:rsid w:val="019A1B55"/>
    <w:rsid w:val="019C486D"/>
    <w:rsid w:val="01AF71CD"/>
    <w:rsid w:val="01C21380"/>
    <w:rsid w:val="01C42A94"/>
    <w:rsid w:val="01CD0E57"/>
    <w:rsid w:val="01D21FDA"/>
    <w:rsid w:val="01D46D54"/>
    <w:rsid w:val="01E6654B"/>
    <w:rsid w:val="01FB4268"/>
    <w:rsid w:val="0209417F"/>
    <w:rsid w:val="02105C3F"/>
    <w:rsid w:val="022A493A"/>
    <w:rsid w:val="024412D2"/>
    <w:rsid w:val="024E19F4"/>
    <w:rsid w:val="02506DBE"/>
    <w:rsid w:val="026C3750"/>
    <w:rsid w:val="028247D6"/>
    <w:rsid w:val="028A3D1F"/>
    <w:rsid w:val="02A03DD9"/>
    <w:rsid w:val="02B3437A"/>
    <w:rsid w:val="02B75F86"/>
    <w:rsid w:val="03335DFB"/>
    <w:rsid w:val="034858FC"/>
    <w:rsid w:val="034E2710"/>
    <w:rsid w:val="0354170E"/>
    <w:rsid w:val="0361246F"/>
    <w:rsid w:val="036F2389"/>
    <w:rsid w:val="037D75D5"/>
    <w:rsid w:val="03976643"/>
    <w:rsid w:val="03AC0713"/>
    <w:rsid w:val="03B65469"/>
    <w:rsid w:val="03BE0E2C"/>
    <w:rsid w:val="03F57CCF"/>
    <w:rsid w:val="03FF7031"/>
    <w:rsid w:val="04002CC6"/>
    <w:rsid w:val="0402471A"/>
    <w:rsid w:val="040E46D2"/>
    <w:rsid w:val="042A5739"/>
    <w:rsid w:val="043D4EB3"/>
    <w:rsid w:val="0440437E"/>
    <w:rsid w:val="04416AE0"/>
    <w:rsid w:val="049952A1"/>
    <w:rsid w:val="04D56B47"/>
    <w:rsid w:val="04D84FBA"/>
    <w:rsid w:val="04EE3672"/>
    <w:rsid w:val="052B4931"/>
    <w:rsid w:val="05355B4E"/>
    <w:rsid w:val="05511098"/>
    <w:rsid w:val="056B5EC8"/>
    <w:rsid w:val="05CA31A9"/>
    <w:rsid w:val="05D607AB"/>
    <w:rsid w:val="05F61886"/>
    <w:rsid w:val="062060A6"/>
    <w:rsid w:val="06314604"/>
    <w:rsid w:val="06361BED"/>
    <w:rsid w:val="063E32B2"/>
    <w:rsid w:val="06490AEF"/>
    <w:rsid w:val="06515400"/>
    <w:rsid w:val="06817090"/>
    <w:rsid w:val="068645E4"/>
    <w:rsid w:val="069E35FE"/>
    <w:rsid w:val="06BD2824"/>
    <w:rsid w:val="06D264D0"/>
    <w:rsid w:val="070D4021"/>
    <w:rsid w:val="07256C50"/>
    <w:rsid w:val="07493052"/>
    <w:rsid w:val="074F7702"/>
    <w:rsid w:val="075B11D7"/>
    <w:rsid w:val="076E768E"/>
    <w:rsid w:val="07713E35"/>
    <w:rsid w:val="07B72CAB"/>
    <w:rsid w:val="07BA200A"/>
    <w:rsid w:val="07C0123D"/>
    <w:rsid w:val="07E01F10"/>
    <w:rsid w:val="07E23D53"/>
    <w:rsid w:val="07E561A7"/>
    <w:rsid w:val="081F50C5"/>
    <w:rsid w:val="08266449"/>
    <w:rsid w:val="083A5B08"/>
    <w:rsid w:val="08560DE5"/>
    <w:rsid w:val="0866137F"/>
    <w:rsid w:val="087171C6"/>
    <w:rsid w:val="087A71F7"/>
    <w:rsid w:val="08866143"/>
    <w:rsid w:val="088B23D6"/>
    <w:rsid w:val="088D365A"/>
    <w:rsid w:val="08AC6194"/>
    <w:rsid w:val="08C37B4C"/>
    <w:rsid w:val="08CE4183"/>
    <w:rsid w:val="08DF56C3"/>
    <w:rsid w:val="08E20563"/>
    <w:rsid w:val="08E34D70"/>
    <w:rsid w:val="08FF0CF5"/>
    <w:rsid w:val="09205020"/>
    <w:rsid w:val="09213C99"/>
    <w:rsid w:val="095A6A7F"/>
    <w:rsid w:val="096372C5"/>
    <w:rsid w:val="096D5605"/>
    <w:rsid w:val="09850FF1"/>
    <w:rsid w:val="099153DD"/>
    <w:rsid w:val="09B27270"/>
    <w:rsid w:val="09CA7D13"/>
    <w:rsid w:val="0A1E1D47"/>
    <w:rsid w:val="0A450CDF"/>
    <w:rsid w:val="0A5847B8"/>
    <w:rsid w:val="0A6D1825"/>
    <w:rsid w:val="0A7D34D6"/>
    <w:rsid w:val="0AD47B87"/>
    <w:rsid w:val="0AEB43A3"/>
    <w:rsid w:val="0AFD14CD"/>
    <w:rsid w:val="0B0E43D2"/>
    <w:rsid w:val="0B2A4C43"/>
    <w:rsid w:val="0B351839"/>
    <w:rsid w:val="0B387901"/>
    <w:rsid w:val="0B4704EF"/>
    <w:rsid w:val="0B475F5C"/>
    <w:rsid w:val="0B4A14A2"/>
    <w:rsid w:val="0B4E580F"/>
    <w:rsid w:val="0B5C0661"/>
    <w:rsid w:val="0B7A075E"/>
    <w:rsid w:val="0B8F6AF4"/>
    <w:rsid w:val="0B9F7FAE"/>
    <w:rsid w:val="0BAA09C2"/>
    <w:rsid w:val="0BB23702"/>
    <w:rsid w:val="0BB31698"/>
    <w:rsid w:val="0BB41C4F"/>
    <w:rsid w:val="0BD41269"/>
    <w:rsid w:val="0BD623A6"/>
    <w:rsid w:val="0C097531"/>
    <w:rsid w:val="0C244B86"/>
    <w:rsid w:val="0C2C0531"/>
    <w:rsid w:val="0C3B0FF8"/>
    <w:rsid w:val="0C3C5E0B"/>
    <w:rsid w:val="0C4C2A44"/>
    <w:rsid w:val="0C705DCC"/>
    <w:rsid w:val="0C940B25"/>
    <w:rsid w:val="0CCF568B"/>
    <w:rsid w:val="0D006B19"/>
    <w:rsid w:val="0D0C028D"/>
    <w:rsid w:val="0D2F29C2"/>
    <w:rsid w:val="0D326AAF"/>
    <w:rsid w:val="0D3542BA"/>
    <w:rsid w:val="0D720016"/>
    <w:rsid w:val="0D773787"/>
    <w:rsid w:val="0D7E7FBB"/>
    <w:rsid w:val="0D8A797A"/>
    <w:rsid w:val="0D9A681D"/>
    <w:rsid w:val="0DBC2FD6"/>
    <w:rsid w:val="0DEF3741"/>
    <w:rsid w:val="0DF84D1D"/>
    <w:rsid w:val="0E153EAC"/>
    <w:rsid w:val="0E224414"/>
    <w:rsid w:val="0E366F9F"/>
    <w:rsid w:val="0E425B4E"/>
    <w:rsid w:val="0E696997"/>
    <w:rsid w:val="0E7F7433"/>
    <w:rsid w:val="0E994C1F"/>
    <w:rsid w:val="0ED564B0"/>
    <w:rsid w:val="0F0B71F3"/>
    <w:rsid w:val="0F2F3CCC"/>
    <w:rsid w:val="0F3B2449"/>
    <w:rsid w:val="0F40017E"/>
    <w:rsid w:val="0F447EC5"/>
    <w:rsid w:val="0F492381"/>
    <w:rsid w:val="0F4D1489"/>
    <w:rsid w:val="0F645FD8"/>
    <w:rsid w:val="0F667D5A"/>
    <w:rsid w:val="0F792019"/>
    <w:rsid w:val="0FA450C4"/>
    <w:rsid w:val="0FD929FB"/>
    <w:rsid w:val="0FE37E25"/>
    <w:rsid w:val="0FEE70A0"/>
    <w:rsid w:val="0FEF5A24"/>
    <w:rsid w:val="0FF94982"/>
    <w:rsid w:val="10031E5F"/>
    <w:rsid w:val="101C6305"/>
    <w:rsid w:val="102375A3"/>
    <w:rsid w:val="104C0EB8"/>
    <w:rsid w:val="105650C6"/>
    <w:rsid w:val="105C53E7"/>
    <w:rsid w:val="10711E6D"/>
    <w:rsid w:val="107321CD"/>
    <w:rsid w:val="10733128"/>
    <w:rsid w:val="10757467"/>
    <w:rsid w:val="10854F9B"/>
    <w:rsid w:val="109977E6"/>
    <w:rsid w:val="10A054EA"/>
    <w:rsid w:val="10BF7252"/>
    <w:rsid w:val="10FC526A"/>
    <w:rsid w:val="1116531D"/>
    <w:rsid w:val="115E4416"/>
    <w:rsid w:val="116D099B"/>
    <w:rsid w:val="117357B8"/>
    <w:rsid w:val="11E576C7"/>
    <w:rsid w:val="12097F00"/>
    <w:rsid w:val="12134569"/>
    <w:rsid w:val="12784795"/>
    <w:rsid w:val="12812428"/>
    <w:rsid w:val="128561A4"/>
    <w:rsid w:val="1287479D"/>
    <w:rsid w:val="12904981"/>
    <w:rsid w:val="129640D0"/>
    <w:rsid w:val="12A936EE"/>
    <w:rsid w:val="12B96C2B"/>
    <w:rsid w:val="12CC3658"/>
    <w:rsid w:val="12E45794"/>
    <w:rsid w:val="12E53009"/>
    <w:rsid w:val="13105B9A"/>
    <w:rsid w:val="133B61B7"/>
    <w:rsid w:val="133E6103"/>
    <w:rsid w:val="134F0BD6"/>
    <w:rsid w:val="13A2785E"/>
    <w:rsid w:val="13C76124"/>
    <w:rsid w:val="13DD6FB7"/>
    <w:rsid w:val="13EA7E67"/>
    <w:rsid w:val="13F15553"/>
    <w:rsid w:val="13FE738A"/>
    <w:rsid w:val="141A3F5A"/>
    <w:rsid w:val="145B43E9"/>
    <w:rsid w:val="14737C61"/>
    <w:rsid w:val="14757B82"/>
    <w:rsid w:val="147D2E61"/>
    <w:rsid w:val="149235DD"/>
    <w:rsid w:val="14AE5BEE"/>
    <w:rsid w:val="14D424C1"/>
    <w:rsid w:val="14F03A79"/>
    <w:rsid w:val="14FA08D6"/>
    <w:rsid w:val="1506135C"/>
    <w:rsid w:val="150D27C1"/>
    <w:rsid w:val="15322C8B"/>
    <w:rsid w:val="15545F6B"/>
    <w:rsid w:val="1564537D"/>
    <w:rsid w:val="159274CF"/>
    <w:rsid w:val="15A66834"/>
    <w:rsid w:val="15C519EC"/>
    <w:rsid w:val="15D64113"/>
    <w:rsid w:val="15D86131"/>
    <w:rsid w:val="15E54014"/>
    <w:rsid w:val="15E72DEE"/>
    <w:rsid w:val="160A08B2"/>
    <w:rsid w:val="1614125E"/>
    <w:rsid w:val="165179C0"/>
    <w:rsid w:val="1655688D"/>
    <w:rsid w:val="16571017"/>
    <w:rsid w:val="16694B92"/>
    <w:rsid w:val="166A0825"/>
    <w:rsid w:val="167B5639"/>
    <w:rsid w:val="167F0BB7"/>
    <w:rsid w:val="16981673"/>
    <w:rsid w:val="16A11E3D"/>
    <w:rsid w:val="16A321A2"/>
    <w:rsid w:val="16C32FBA"/>
    <w:rsid w:val="16F03F1A"/>
    <w:rsid w:val="16F15283"/>
    <w:rsid w:val="16F612EA"/>
    <w:rsid w:val="16FC6942"/>
    <w:rsid w:val="171145C0"/>
    <w:rsid w:val="17130E05"/>
    <w:rsid w:val="171A4065"/>
    <w:rsid w:val="174D27BC"/>
    <w:rsid w:val="17596C5B"/>
    <w:rsid w:val="176B7394"/>
    <w:rsid w:val="178B5510"/>
    <w:rsid w:val="17AD1413"/>
    <w:rsid w:val="17B03CBD"/>
    <w:rsid w:val="17CE66D4"/>
    <w:rsid w:val="17E02E35"/>
    <w:rsid w:val="17E868E5"/>
    <w:rsid w:val="180E292C"/>
    <w:rsid w:val="18140DA4"/>
    <w:rsid w:val="182E5254"/>
    <w:rsid w:val="183A3548"/>
    <w:rsid w:val="189009CE"/>
    <w:rsid w:val="189E5308"/>
    <w:rsid w:val="18D25D58"/>
    <w:rsid w:val="18F12622"/>
    <w:rsid w:val="18F16C56"/>
    <w:rsid w:val="19287B14"/>
    <w:rsid w:val="193C2C9E"/>
    <w:rsid w:val="193D0146"/>
    <w:rsid w:val="195D2545"/>
    <w:rsid w:val="19752590"/>
    <w:rsid w:val="19826E64"/>
    <w:rsid w:val="198960A8"/>
    <w:rsid w:val="19917E03"/>
    <w:rsid w:val="19B17258"/>
    <w:rsid w:val="19C34395"/>
    <w:rsid w:val="19C420D9"/>
    <w:rsid w:val="19C470DB"/>
    <w:rsid w:val="19D54172"/>
    <w:rsid w:val="19EC3B22"/>
    <w:rsid w:val="19F71A3D"/>
    <w:rsid w:val="1A1963D5"/>
    <w:rsid w:val="1A1B31E6"/>
    <w:rsid w:val="1A205B1B"/>
    <w:rsid w:val="1A292AD5"/>
    <w:rsid w:val="1A593A6D"/>
    <w:rsid w:val="1A85622F"/>
    <w:rsid w:val="1A950227"/>
    <w:rsid w:val="1AA232AC"/>
    <w:rsid w:val="1AE16790"/>
    <w:rsid w:val="1AEA0B81"/>
    <w:rsid w:val="1AF838AC"/>
    <w:rsid w:val="1B001D4D"/>
    <w:rsid w:val="1B3C313F"/>
    <w:rsid w:val="1B643EED"/>
    <w:rsid w:val="1B755719"/>
    <w:rsid w:val="1BA66C5F"/>
    <w:rsid w:val="1BAE7C15"/>
    <w:rsid w:val="1BB3240E"/>
    <w:rsid w:val="1BBC3A6A"/>
    <w:rsid w:val="1BDF4751"/>
    <w:rsid w:val="1BF275D0"/>
    <w:rsid w:val="1C1E6E66"/>
    <w:rsid w:val="1C233E84"/>
    <w:rsid w:val="1C35511C"/>
    <w:rsid w:val="1C630085"/>
    <w:rsid w:val="1C775121"/>
    <w:rsid w:val="1CF350B8"/>
    <w:rsid w:val="1CFF70EF"/>
    <w:rsid w:val="1D402A9E"/>
    <w:rsid w:val="1D4C5F5D"/>
    <w:rsid w:val="1D4E29EB"/>
    <w:rsid w:val="1D5532E4"/>
    <w:rsid w:val="1D643E94"/>
    <w:rsid w:val="1D6975CC"/>
    <w:rsid w:val="1DB2518E"/>
    <w:rsid w:val="1DC81B6B"/>
    <w:rsid w:val="1DEF7F1B"/>
    <w:rsid w:val="1DF07C9F"/>
    <w:rsid w:val="1DF655C9"/>
    <w:rsid w:val="1DF90007"/>
    <w:rsid w:val="1E2228C9"/>
    <w:rsid w:val="1E2E18A1"/>
    <w:rsid w:val="1E4610AA"/>
    <w:rsid w:val="1E4A757B"/>
    <w:rsid w:val="1E567EE2"/>
    <w:rsid w:val="1E570577"/>
    <w:rsid w:val="1E635B5A"/>
    <w:rsid w:val="1E696991"/>
    <w:rsid w:val="1E784015"/>
    <w:rsid w:val="1E83347E"/>
    <w:rsid w:val="1E88574C"/>
    <w:rsid w:val="1E950CDB"/>
    <w:rsid w:val="1E9712FD"/>
    <w:rsid w:val="1EA41415"/>
    <w:rsid w:val="1EB27217"/>
    <w:rsid w:val="1EB37E52"/>
    <w:rsid w:val="1EC16131"/>
    <w:rsid w:val="1EC962D3"/>
    <w:rsid w:val="1ED11F31"/>
    <w:rsid w:val="1EDC1049"/>
    <w:rsid w:val="1EDC730E"/>
    <w:rsid w:val="1EF50466"/>
    <w:rsid w:val="1EF56327"/>
    <w:rsid w:val="1F010521"/>
    <w:rsid w:val="1F0216CA"/>
    <w:rsid w:val="1F081E12"/>
    <w:rsid w:val="1F491C1D"/>
    <w:rsid w:val="1F4A55A8"/>
    <w:rsid w:val="1F5D35F5"/>
    <w:rsid w:val="1F637E0E"/>
    <w:rsid w:val="1F890765"/>
    <w:rsid w:val="1F9C4BE6"/>
    <w:rsid w:val="1FC46891"/>
    <w:rsid w:val="1FE7199E"/>
    <w:rsid w:val="1FEF27C5"/>
    <w:rsid w:val="20065F9A"/>
    <w:rsid w:val="2009129A"/>
    <w:rsid w:val="20093E5D"/>
    <w:rsid w:val="202B4A4B"/>
    <w:rsid w:val="20427C09"/>
    <w:rsid w:val="204C642D"/>
    <w:rsid w:val="20575BB7"/>
    <w:rsid w:val="206F68F1"/>
    <w:rsid w:val="207244A9"/>
    <w:rsid w:val="20920378"/>
    <w:rsid w:val="209D3FEF"/>
    <w:rsid w:val="20A506DE"/>
    <w:rsid w:val="20D779DE"/>
    <w:rsid w:val="20F54D0D"/>
    <w:rsid w:val="21335475"/>
    <w:rsid w:val="21510CF7"/>
    <w:rsid w:val="216162E4"/>
    <w:rsid w:val="21761247"/>
    <w:rsid w:val="21772B83"/>
    <w:rsid w:val="21A46CDD"/>
    <w:rsid w:val="21E13994"/>
    <w:rsid w:val="21EA2C61"/>
    <w:rsid w:val="21FC62F2"/>
    <w:rsid w:val="220364D9"/>
    <w:rsid w:val="2206426E"/>
    <w:rsid w:val="220D4533"/>
    <w:rsid w:val="222463D5"/>
    <w:rsid w:val="222C13C2"/>
    <w:rsid w:val="222C4A81"/>
    <w:rsid w:val="22503C12"/>
    <w:rsid w:val="22546B5D"/>
    <w:rsid w:val="22552720"/>
    <w:rsid w:val="225C6357"/>
    <w:rsid w:val="226C09F4"/>
    <w:rsid w:val="22733872"/>
    <w:rsid w:val="22767E75"/>
    <w:rsid w:val="22B833B9"/>
    <w:rsid w:val="22C0333E"/>
    <w:rsid w:val="22F53C8D"/>
    <w:rsid w:val="230218D6"/>
    <w:rsid w:val="23287FB9"/>
    <w:rsid w:val="23344599"/>
    <w:rsid w:val="23384265"/>
    <w:rsid w:val="234B53D5"/>
    <w:rsid w:val="236A6215"/>
    <w:rsid w:val="237651AD"/>
    <w:rsid w:val="23961AB8"/>
    <w:rsid w:val="23A34087"/>
    <w:rsid w:val="23DB20EA"/>
    <w:rsid w:val="23E42236"/>
    <w:rsid w:val="23F202EC"/>
    <w:rsid w:val="23FF2A92"/>
    <w:rsid w:val="24185D0B"/>
    <w:rsid w:val="241C3EF0"/>
    <w:rsid w:val="241D5D7A"/>
    <w:rsid w:val="243C7026"/>
    <w:rsid w:val="24721C02"/>
    <w:rsid w:val="247B35BD"/>
    <w:rsid w:val="24852E7E"/>
    <w:rsid w:val="24A071B0"/>
    <w:rsid w:val="24DC4818"/>
    <w:rsid w:val="24DC7B4B"/>
    <w:rsid w:val="24DE08B9"/>
    <w:rsid w:val="24FE1E2E"/>
    <w:rsid w:val="251505D3"/>
    <w:rsid w:val="25157500"/>
    <w:rsid w:val="251E7FFD"/>
    <w:rsid w:val="251F42E1"/>
    <w:rsid w:val="2527792A"/>
    <w:rsid w:val="253C5783"/>
    <w:rsid w:val="253D3ED0"/>
    <w:rsid w:val="2550324B"/>
    <w:rsid w:val="25694031"/>
    <w:rsid w:val="256A4DEB"/>
    <w:rsid w:val="25890E7B"/>
    <w:rsid w:val="258F7140"/>
    <w:rsid w:val="259023CE"/>
    <w:rsid w:val="25904C87"/>
    <w:rsid w:val="259F1096"/>
    <w:rsid w:val="25A1045C"/>
    <w:rsid w:val="25A472D8"/>
    <w:rsid w:val="25BA348D"/>
    <w:rsid w:val="25BC18CF"/>
    <w:rsid w:val="25C40645"/>
    <w:rsid w:val="25D15822"/>
    <w:rsid w:val="25DC790F"/>
    <w:rsid w:val="25DE5E07"/>
    <w:rsid w:val="25E3017F"/>
    <w:rsid w:val="25E35B8B"/>
    <w:rsid w:val="25F331DE"/>
    <w:rsid w:val="2603068A"/>
    <w:rsid w:val="26092F74"/>
    <w:rsid w:val="26217BCF"/>
    <w:rsid w:val="262201D0"/>
    <w:rsid w:val="26272471"/>
    <w:rsid w:val="262A0DE8"/>
    <w:rsid w:val="263F4642"/>
    <w:rsid w:val="263F5BA4"/>
    <w:rsid w:val="26466F14"/>
    <w:rsid w:val="2651535E"/>
    <w:rsid w:val="2669364B"/>
    <w:rsid w:val="2672033D"/>
    <w:rsid w:val="267D4AB2"/>
    <w:rsid w:val="26A20F70"/>
    <w:rsid w:val="26A25CFA"/>
    <w:rsid w:val="26B81246"/>
    <w:rsid w:val="26BD2EB0"/>
    <w:rsid w:val="26C960A0"/>
    <w:rsid w:val="26CF532F"/>
    <w:rsid w:val="26E17F34"/>
    <w:rsid w:val="272807E3"/>
    <w:rsid w:val="27447824"/>
    <w:rsid w:val="274E5D16"/>
    <w:rsid w:val="276250A7"/>
    <w:rsid w:val="27634653"/>
    <w:rsid w:val="276A7198"/>
    <w:rsid w:val="277A6BBC"/>
    <w:rsid w:val="277B1108"/>
    <w:rsid w:val="27870405"/>
    <w:rsid w:val="27915163"/>
    <w:rsid w:val="279F01B2"/>
    <w:rsid w:val="27BA066D"/>
    <w:rsid w:val="27D857FB"/>
    <w:rsid w:val="284D508E"/>
    <w:rsid w:val="284E140A"/>
    <w:rsid w:val="285F3CEA"/>
    <w:rsid w:val="289F6DDB"/>
    <w:rsid w:val="28C914A8"/>
    <w:rsid w:val="28E1641E"/>
    <w:rsid w:val="292A511A"/>
    <w:rsid w:val="295A4D5A"/>
    <w:rsid w:val="295C6E37"/>
    <w:rsid w:val="296F1A7D"/>
    <w:rsid w:val="297455E7"/>
    <w:rsid w:val="298914F5"/>
    <w:rsid w:val="29926952"/>
    <w:rsid w:val="29A000FB"/>
    <w:rsid w:val="29AF031D"/>
    <w:rsid w:val="29B43850"/>
    <w:rsid w:val="29C20545"/>
    <w:rsid w:val="29D162D2"/>
    <w:rsid w:val="29D446E0"/>
    <w:rsid w:val="29F12369"/>
    <w:rsid w:val="2A37753A"/>
    <w:rsid w:val="2A404749"/>
    <w:rsid w:val="2A4775DA"/>
    <w:rsid w:val="2A642431"/>
    <w:rsid w:val="2A68552B"/>
    <w:rsid w:val="2A6D4BBA"/>
    <w:rsid w:val="2A6E08F9"/>
    <w:rsid w:val="2A7F7BAD"/>
    <w:rsid w:val="2ABD72FC"/>
    <w:rsid w:val="2ACF3EEC"/>
    <w:rsid w:val="2ADC7E6C"/>
    <w:rsid w:val="2AF32CB1"/>
    <w:rsid w:val="2B036E4E"/>
    <w:rsid w:val="2B342B1D"/>
    <w:rsid w:val="2B4512C5"/>
    <w:rsid w:val="2B483312"/>
    <w:rsid w:val="2B6C6D7B"/>
    <w:rsid w:val="2B8D4E34"/>
    <w:rsid w:val="2B9B3349"/>
    <w:rsid w:val="2BA62679"/>
    <w:rsid w:val="2BD317D0"/>
    <w:rsid w:val="2BE3588C"/>
    <w:rsid w:val="2BED7083"/>
    <w:rsid w:val="2C002405"/>
    <w:rsid w:val="2C0847CD"/>
    <w:rsid w:val="2C0857BD"/>
    <w:rsid w:val="2C183C58"/>
    <w:rsid w:val="2C2A381F"/>
    <w:rsid w:val="2C420AE5"/>
    <w:rsid w:val="2C5D518E"/>
    <w:rsid w:val="2C791BC6"/>
    <w:rsid w:val="2C8574EB"/>
    <w:rsid w:val="2C9E44A6"/>
    <w:rsid w:val="2CCF0721"/>
    <w:rsid w:val="2CE53636"/>
    <w:rsid w:val="2CF977B0"/>
    <w:rsid w:val="2D071453"/>
    <w:rsid w:val="2D1F5F28"/>
    <w:rsid w:val="2D323750"/>
    <w:rsid w:val="2D531A8F"/>
    <w:rsid w:val="2D8665A7"/>
    <w:rsid w:val="2D9B7E47"/>
    <w:rsid w:val="2DC410BA"/>
    <w:rsid w:val="2DCF7387"/>
    <w:rsid w:val="2DE40DF4"/>
    <w:rsid w:val="2DF550AA"/>
    <w:rsid w:val="2E004453"/>
    <w:rsid w:val="2E2B7019"/>
    <w:rsid w:val="2E422940"/>
    <w:rsid w:val="2E5E37DD"/>
    <w:rsid w:val="2EA461FB"/>
    <w:rsid w:val="2EA6049B"/>
    <w:rsid w:val="2EAF438B"/>
    <w:rsid w:val="2EBE5A96"/>
    <w:rsid w:val="2EFF45E0"/>
    <w:rsid w:val="2EFF6E3C"/>
    <w:rsid w:val="2F054CDA"/>
    <w:rsid w:val="2F102064"/>
    <w:rsid w:val="2F121983"/>
    <w:rsid w:val="2F151F35"/>
    <w:rsid w:val="2F4B65F6"/>
    <w:rsid w:val="2F4B7181"/>
    <w:rsid w:val="2F5B7967"/>
    <w:rsid w:val="2F786947"/>
    <w:rsid w:val="2FB160CE"/>
    <w:rsid w:val="2FB53E3E"/>
    <w:rsid w:val="2FB64AB7"/>
    <w:rsid w:val="2FD04782"/>
    <w:rsid w:val="2FD616B2"/>
    <w:rsid w:val="2FD97A65"/>
    <w:rsid w:val="2FDD5E37"/>
    <w:rsid w:val="2FE74A9C"/>
    <w:rsid w:val="2FED24A5"/>
    <w:rsid w:val="2FFF517C"/>
    <w:rsid w:val="300F78EC"/>
    <w:rsid w:val="30167D79"/>
    <w:rsid w:val="30654E3C"/>
    <w:rsid w:val="30736242"/>
    <w:rsid w:val="30877367"/>
    <w:rsid w:val="309F0474"/>
    <w:rsid w:val="30BE58B1"/>
    <w:rsid w:val="30D75E2B"/>
    <w:rsid w:val="30E6632B"/>
    <w:rsid w:val="30EE16AE"/>
    <w:rsid w:val="30F20ACE"/>
    <w:rsid w:val="31163A7E"/>
    <w:rsid w:val="3124480B"/>
    <w:rsid w:val="312549F1"/>
    <w:rsid w:val="313566C1"/>
    <w:rsid w:val="31636209"/>
    <w:rsid w:val="31642A54"/>
    <w:rsid w:val="31AA13D5"/>
    <w:rsid w:val="31EC16B3"/>
    <w:rsid w:val="31FF1464"/>
    <w:rsid w:val="322D2F4A"/>
    <w:rsid w:val="3253625C"/>
    <w:rsid w:val="325D00EB"/>
    <w:rsid w:val="326323F9"/>
    <w:rsid w:val="3292247F"/>
    <w:rsid w:val="329A11C3"/>
    <w:rsid w:val="32BA553B"/>
    <w:rsid w:val="32D42B87"/>
    <w:rsid w:val="32E90451"/>
    <w:rsid w:val="32FA6BE3"/>
    <w:rsid w:val="331C4357"/>
    <w:rsid w:val="332D21D8"/>
    <w:rsid w:val="333A4E82"/>
    <w:rsid w:val="33440FEE"/>
    <w:rsid w:val="33492C42"/>
    <w:rsid w:val="334D1E01"/>
    <w:rsid w:val="33511092"/>
    <w:rsid w:val="335E3E3F"/>
    <w:rsid w:val="335F0B53"/>
    <w:rsid w:val="335F2CC1"/>
    <w:rsid w:val="3383421F"/>
    <w:rsid w:val="33A10A8A"/>
    <w:rsid w:val="33B252D6"/>
    <w:rsid w:val="33C14182"/>
    <w:rsid w:val="33D03B1F"/>
    <w:rsid w:val="33D67C6F"/>
    <w:rsid w:val="33E81C02"/>
    <w:rsid w:val="33EB7A9A"/>
    <w:rsid w:val="33FF2A07"/>
    <w:rsid w:val="3414038B"/>
    <w:rsid w:val="34291509"/>
    <w:rsid w:val="343E6FAF"/>
    <w:rsid w:val="343F5051"/>
    <w:rsid w:val="344356CD"/>
    <w:rsid w:val="34445A5C"/>
    <w:rsid w:val="344567A9"/>
    <w:rsid w:val="34714951"/>
    <w:rsid w:val="347962F4"/>
    <w:rsid w:val="347C2125"/>
    <w:rsid w:val="3499394B"/>
    <w:rsid w:val="349A3260"/>
    <w:rsid w:val="34C171E2"/>
    <w:rsid w:val="34CD77B4"/>
    <w:rsid w:val="34E81760"/>
    <w:rsid w:val="34FA123B"/>
    <w:rsid w:val="35054C42"/>
    <w:rsid w:val="3520348C"/>
    <w:rsid w:val="352C19E9"/>
    <w:rsid w:val="356962C7"/>
    <w:rsid w:val="357C010A"/>
    <w:rsid w:val="3597426B"/>
    <w:rsid w:val="35AB3437"/>
    <w:rsid w:val="35B15E06"/>
    <w:rsid w:val="35D824C0"/>
    <w:rsid w:val="35E7120B"/>
    <w:rsid w:val="3605014B"/>
    <w:rsid w:val="360F33EE"/>
    <w:rsid w:val="360F768F"/>
    <w:rsid w:val="36347B1A"/>
    <w:rsid w:val="364B7675"/>
    <w:rsid w:val="366120E4"/>
    <w:rsid w:val="3665452C"/>
    <w:rsid w:val="368D3AEB"/>
    <w:rsid w:val="368E0242"/>
    <w:rsid w:val="36966586"/>
    <w:rsid w:val="36A6051E"/>
    <w:rsid w:val="36CA6FA1"/>
    <w:rsid w:val="36DA5B57"/>
    <w:rsid w:val="37083691"/>
    <w:rsid w:val="371D0516"/>
    <w:rsid w:val="3733444D"/>
    <w:rsid w:val="3740486F"/>
    <w:rsid w:val="37562B20"/>
    <w:rsid w:val="3761442C"/>
    <w:rsid w:val="376A5CE6"/>
    <w:rsid w:val="376F7783"/>
    <w:rsid w:val="377B71F5"/>
    <w:rsid w:val="37822166"/>
    <w:rsid w:val="37997559"/>
    <w:rsid w:val="379B095A"/>
    <w:rsid w:val="37AE4A95"/>
    <w:rsid w:val="37AE7F90"/>
    <w:rsid w:val="37B355F0"/>
    <w:rsid w:val="37CF4B69"/>
    <w:rsid w:val="38207388"/>
    <w:rsid w:val="3822259A"/>
    <w:rsid w:val="383B267E"/>
    <w:rsid w:val="386B380E"/>
    <w:rsid w:val="38B41030"/>
    <w:rsid w:val="38C13E1E"/>
    <w:rsid w:val="38C35693"/>
    <w:rsid w:val="38CE2BBB"/>
    <w:rsid w:val="38DD71FB"/>
    <w:rsid w:val="38FE5C2A"/>
    <w:rsid w:val="39247A74"/>
    <w:rsid w:val="39642B5A"/>
    <w:rsid w:val="39647643"/>
    <w:rsid w:val="39654833"/>
    <w:rsid w:val="396E453C"/>
    <w:rsid w:val="39717500"/>
    <w:rsid w:val="39A16ECA"/>
    <w:rsid w:val="39AA5CB3"/>
    <w:rsid w:val="39C272ED"/>
    <w:rsid w:val="39FA4695"/>
    <w:rsid w:val="3A0F25D0"/>
    <w:rsid w:val="3A160931"/>
    <w:rsid w:val="3A2626F0"/>
    <w:rsid w:val="3A446CDF"/>
    <w:rsid w:val="3A555334"/>
    <w:rsid w:val="3A600C68"/>
    <w:rsid w:val="3A60660E"/>
    <w:rsid w:val="3A6976E6"/>
    <w:rsid w:val="3AA907D4"/>
    <w:rsid w:val="3ABB41C2"/>
    <w:rsid w:val="3AC8332F"/>
    <w:rsid w:val="3ACD57DF"/>
    <w:rsid w:val="3ADB5B94"/>
    <w:rsid w:val="3ADB7005"/>
    <w:rsid w:val="3AE94DCD"/>
    <w:rsid w:val="3AF01512"/>
    <w:rsid w:val="3B0E618B"/>
    <w:rsid w:val="3B197F0E"/>
    <w:rsid w:val="3B276E44"/>
    <w:rsid w:val="3B4C6233"/>
    <w:rsid w:val="3B54139C"/>
    <w:rsid w:val="3B763ABD"/>
    <w:rsid w:val="3B961BE8"/>
    <w:rsid w:val="3BBB72F9"/>
    <w:rsid w:val="3BD2009F"/>
    <w:rsid w:val="3BF74D0A"/>
    <w:rsid w:val="3BFA70F4"/>
    <w:rsid w:val="3C082EA4"/>
    <w:rsid w:val="3C10067B"/>
    <w:rsid w:val="3C2F5239"/>
    <w:rsid w:val="3C387F10"/>
    <w:rsid w:val="3C4E58E9"/>
    <w:rsid w:val="3C4F64C4"/>
    <w:rsid w:val="3C6C27B7"/>
    <w:rsid w:val="3C6E2B7E"/>
    <w:rsid w:val="3C8630D7"/>
    <w:rsid w:val="3C8835F3"/>
    <w:rsid w:val="3CB90D68"/>
    <w:rsid w:val="3CCA2241"/>
    <w:rsid w:val="3CCB7DB8"/>
    <w:rsid w:val="3CDA589A"/>
    <w:rsid w:val="3CEA6BE2"/>
    <w:rsid w:val="3CF5054A"/>
    <w:rsid w:val="3D06664A"/>
    <w:rsid w:val="3D0F272C"/>
    <w:rsid w:val="3D2A15B6"/>
    <w:rsid w:val="3D2C21F0"/>
    <w:rsid w:val="3D5A6537"/>
    <w:rsid w:val="3D6023B7"/>
    <w:rsid w:val="3D646F89"/>
    <w:rsid w:val="3D6635D0"/>
    <w:rsid w:val="3D6D20DE"/>
    <w:rsid w:val="3D895DBF"/>
    <w:rsid w:val="3D902C0D"/>
    <w:rsid w:val="3DC14A1D"/>
    <w:rsid w:val="3DF96401"/>
    <w:rsid w:val="3E0F24C8"/>
    <w:rsid w:val="3E455633"/>
    <w:rsid w:val="3E582F7D"/>
    <w:rsid w:val="3E654E52"/>
    <w:rsid w:val="3E8072A2"/>
    <w:rsid w:val="3E925BB1"/>
    <w:rsid w:val="3EB219E2"/>
    <w:rsid w:val="3EBC3708"/>
    <w:rsid w:val="3EC42879"/>
    <w:rsid w:val="3ED107E5"/>
    <w:rsid w:val="3EDF3528"/>
    <w:rsid w:val="3EE64C4E"/>
    <w:rsid w:val="3F5433A7"/>
    <w:rsid w:val="3F955B54"/>
    <w:rsid w:val="3F9B33A7"/>
    <w:rsid w:val="3F9F0B6B"/>
    <w:rsid w:val="3FDE1DE6"/>
    <w:rsid w:val="3FF3738A"/>
    <w:rsid w:val="3FF45307"/>
    <w:rsid w:val="3FF55D83"/>
    <w:rsid w:val="40105BE0"/>
    <w:rsid w:val="401E1390"/>
    <w:rsid w:val="402F7D36"/>
    <w:rsid w:val="4048250D"/>
    <w:rsid w:val="404A38B4"/>
    <w:rsid w:val="405352F1"/>
    <w:rsid w:val="409C70FB"/>
    <w:rsid w:val="40A32263"/>
    <w:rsid w:val="40B24D53"/>
    <w:rsid w:val="410751CF"/>
    <w:rsid w:val="410B743A"/>
    <w:rsid w:val="41115A7E"/>
    <w:rsid w:val="411A0376"/>
    <w:rsid w:val="411B4056"/>
    <w:rsid w:val="411F01E8"/>
    <w:rsid w:val="411F7FBC"/>
    <w:rsid w:val="412D0B1D"/>
    <w:rsid w:val="41470B6F"/>
    <w:rsid w:val="416B55E1"/>
    <w:rsid w:val="416C752D"/>
    <w:rsid w:val="416F3459"/>
    <w:rsid w:val="41782C63"/>
    <w:rsid w:val="41D36D67"/>
    <w:rsid w:val="41E7683F"/>
    <w:rsid w:val="420C0779"/>
    <w:rsid w:val="422F5AC3"/>
    <w:rsid w:val="422F6BC5"/>
    <w:rsid w:val="422F7340"/>
    <w:rsid w:val="4246558F"/>
    <w:rsid w:val="42545D52"/>
    <w:rsid w:val="429768F1"/>
    <w:rsid w:val="42AB3E1D"/>
    <w:rsid w:val="42AF06A6"/>
    <w:rsid w:val="42C70648"/>
    <w:rsid w:val="430669FC"/>
    <w:rsid w:val="431F0C25"/>
    <w:rsid w:val="432E6024"/>
    <w:rsid w:val="434F6087"/>
    <w:rsid w:val="434F7363"/>
    <w:rsid w:val="437B5D6D"/>
    <w:rsid w:val="439502CE"/>
    <w:rsid w:val="43A84A86"/>
    <w:rsid w:val="43B026FE"/>
    <w:rsid w:val="43DB5D1A"/>
    <w:rsid w:val="43EE30D0"/>
    <w:rsid w:val="442F0427"/>
    <w:rsid w:val="444D4454"/>
    <w:rsid w:val="44604692"/>
    <w:rsid w:val="44655E49"/>
    <w:rsid w:val="44773DAC"/>
    <w:rsid w:val="44902A33"/>
    <w:rsid w:val="44A31E03"/>
    <w:rsid w:val="44D44BA7"/>
    <w:rsid w:val="44DD7BC5"/>
    <w:rsid w:val="44F36852"/>
    <w:rsid w:val="44F91DCE"/>
    <w:rsid w:val="450B2C76"/>
    <w:rsid w:val="455E1073"/>
    <w:rsid w:val="45650E24"/>
    <w:rsid w:val="45790DD3"/>
    <w:rsid w:val="4586795E"/>
    <w:rsid w:val="45C62303"/>
    <w:rsid w:val="45D040B9"/>
    <w:rsid w:val="45D869F8"/>
    <w:rsid w:val="45FC66A5"/>
    <w:rsid w:val="46075206"/>
    <w:rsid w:val="461C43D6"/>
    <w:rsid w:val="461F4737"/>
    <w:rsid w:val="462262A0"/>
    <w:rsid w:val="4659291A"/>
    <w:rsid w:val="46864992"/>
    <w:rsid w:val="46872977"/>
    <w:rsid w:val="469F01E1"/>
    <w:rsid w:val="46A07FB1"/>
    <w:rsid w:val="46AC64D8"/>
    <w:rsid w:val="46B71FE4"/>
    <w:rsid w:val="47125C07"/>
    <w:rsid w:val="47207382"/>
    <w:rsid w:val="47294706"/>
    <w:rsid w:val="472B649D"/>
    <w:rsid w:val="472B7472"/>
    <w:rsid w:val="473B1FC0"/>
    <w:rsid w:val="473E4891"/>
    <w:rsid w:val="474F3759"/>
    <w:rsid w:val="47903B36"/>
    <w:rsid w:val="479A4549"/>
    <w:rsid w:val="47C3454C"/>
    <w:rsid w:val="47F7042F"/>
    <w:rsid w:val="48111F79"/>
    <w:rsid w:val="4812682B"/>
    <w:rsid w:val="48142511"/>
    <w:rsid w:val="48472D3E"/>
    <w:rsid w:val="48472F1D"/>
    <w:rsid w:val="4855435F"/>
    <w:rsid w:val="486F6C9F"/>
    <w:rsid w:val="487017DE"/>
    <w:rsid w:val="48A10C30"/>
    <w:rsid w:val="48A5298F"/>
    <w:rsid w:val="48BE33B2"/>
    <w:rsid w:val="48C83722"/>
    <w:rsid w:val="48D41224"/>
    <w:rsid w:val="48D87ACE"/>
    <w:rsid w:val="48E44E22"/>
    <w:rsid w:val="48E60E89"/>
    <w:rsid w:val="4915503E"/>
    <w:rsid w:val="492076FB"/>
    <w:rsid w:val="497A053F"/>
    <w:rsid w:val="4984787A"/>
    <w:rsid w:val="499634C5"/>
    <w:rsid w:val="499F6234"/>
    <w:rsid w:val="49A40004"/>
    <w:rsid w:val="49AC5D48"/>
    <w:rsid w:val="49D104F5"/>
    <w:rsid w:val="49D124EE"/>
    <w:rsid w:val="49E47E3E"/>
    <w:rsid w:val="4A0962EC"/>
    <w:rsid w:val="4A0C0762"/>
    <w:rsid w:val="4A120EF3"/>
    <w:rsid w:val="4A1440CB"/>
    <w:rsid w:val="4A19694A"/>
    <w:rsid w:val="4A27279C"/>
    <w:rsid w:val="4A47658D"/>
    <w:rsid w:val="4A556AB2"/>
    <w:rsid w:val="4A5A383F"/>
    <w:rsid w:val="4A7378B7"/>
    <w:rsid w:val="4A742A84"/>
    <w:rsid w:val="4A804C86"/>
    <w:rsid w:val="4A857F7B"/>
    <w:rsid w:val="4AA31619"/>
    <w:rsid w:val="4AB04B82"/>
    <w:rsid w:val="4AB371AD"/>
    <w:rsid w:val="4AC115A1"/>
    <w:rsid w:val="4AC51D97"/>
    <w:rsid w:val="4AD52699"/>
    <w:rsid w:val="4B3052C0"/>
    <w:rsid w:val="4B5B7753"/>
    <w:rsid w:val="4B6B6513"/>
    <w:rsid w:val="4BA75F33"/>
    <w:rsid w:val="4BB543F8"/>
    <w:rsid w:val="4BC63ABA"/>
    <w:rsid w:val="4BD26EC9"/>
    <w:rsid w:val="4BE42A4E"/>
    <w:rsid w:val="4BE61DF7"/>
    <w:rsid w:val="4BEE4BF8"/>
    <w:rsid w:val="4C04299F"/>
    <w:rsid w:val="4C052BE6"/>
    <w:rsid w:val="4C0612FA"/>
    <w:rsid w:val="4C094FC0"/>
    <w:rsid w:val="4C15219C"/>
    <w:rsid w:val="4C1703C0"/>
    <w:rsid w:val="4C3077E8"/>
    <w:rsid w:val="4C4E373D"/>
    <w:rsid w:val="4C6F3A2B"/>
    <w:rsid w:val="4CF00B4A"/>
    <w:rsid w:val="4D183CE3"/>
    <w:rsid w:val="4D191FF6"/>
    <w:rsid w:val="4D1D68D1"/>
    <w:rsid w:val="4D4344D7"/>
    <w:rsid w:val="4D5C22A0"/>
    <w:rsid w:val="4D725259"/>
    <w:rsid w:val="4D7B597E"/>
    <w:rsid w:val="4DB32BE1"/>
    <w:rsid w:val="4DC501B6"/>
    <w:rsid w:val="4DD10CD9"/>
    <w:rsid w:val="4DE00F8D"/>
    <w:rsid w:val="4E0D7279"/>
    <w:rsid w:val="4E164305"/>
    <w:rsid w:val="4E396C69"/>
    <w:rsid w:val="4E3A40BF"/>
    <w:rsid w:val="4E526C9B"/>
    <w:rsid w:val="4E7E6245"/>
    <w:rsid w:val="4E9505A1"/>
    <w:rsid w:val="4E9A099F"/>
    <w:rsid w:val="4E9D572B"/>
    <w:rsid w:val="4EA311F8"/>
    <w:rsid w:val="4ECE4E83"/>
    <w:rsid w:val="4ED01795"/>
    <w:rsid w:val="4ED83E5B"/>
    <w:rsid w:val="4ED95DDD"/>
    <w:rsid w:val="4EE56070"/>
    <w:rsid w:val="4F0306E8"/>
    <w:rsid w:val="4F051223"/>
    <w:rsid w:val="4F0C6F98"/>
    <w:rsid w:val="4F2A7A61"/>
    <w:rsid w:val="4F337FD5"/>
    <w:rsid w:val="4F371833"/>
    <w:rsid w:val="4F453E7B"/>
    <w:rsid w:val="4F6B4B32"/>
    <w:rsid w:val="4F7219A6"/>
    <w:rsid w:val="4F7E7F76"/>
    <w:rsid w:val="4F8C78CF"/>
    <w:rsid w:val="4FA113C5"/>
    <w:rsid w:val="4FA56150"/>
    <w:rsid w:val="4FC42444"/>
    <w:rsid w:val="4FD60D41"/>
    <w:rsid w:val="4FE32563"/>
    <w:rsid w:val="50017CE5"/>
    <w:rsid w:val="5014596B"/>
    <w:rsid w:val="5021417B"/>
    <w:rsid w:val="505652DC"/>
    <w:rsid w:val="506D75AB"/>
    <w:rsid w:val="508A026A"/>
    <w:rsid w:val="50917C37"/>
    <w:rsid w:val="50A37174"/>
    <w:rsid w:val="50C2281F"/>
    <w:rsid w:val="50C65B01"/>
    <w:rsid w:val="50C7432F"/>
    <w:rsid w:val="50E0034C"/>
    <w:rsid w:val="50E55A44"/>
    <w:rsid w:val="50EA78F0"/>
    <w:rsid w:val="50F37C43"/>
    <w:rsid w:val="511E70B0"/>
    <w:rsid w:val="51242D25"/>
    <w:rsid w:val="5126276E"/>
    <w:rsid w:val="513E0A1A"/>
    <w:rsid w:val="51451E40"/>
    <w:rsid w:val="514B6890"/>
    <w:rsid w:val="51535C99"/>
    <w:rsid w:val="5154034B"/>
    <w:rsid w:val="515A3778"/>
    <w:rsid w:val="516C3696"/>
    <w:rsid w:val="51760E5F"/>
    <w:rsid w:val="517E7046"/>
    <w:rsid w:val="518E00FC"/>
    <w:rsid w:val="51933575"/>
    <w:rsid w:val="51B0168B"/>
    <w:rsid w:val="51C067CA"/>
    <w:rsid w:val="51DF5B25"/>
    <w:rsid w:val="51ED77D2"/>
    <w:rsid w:val="51F1167A"/>
    <w:rsid w:val="521049F0"/>
    <w:rsid w:val="526F7FB3"/>
    <w:rsid w:val="527243EB"/>
    <w:rsid w:val="52930E01"/>
    <w:rsid w:val="529665E6"/>
    <w:rsid w:val="52B06731"/>
    <w:rsid w:val="52B60382"/>
    <w:rsid w:val="52D23DBC"/>
    <w:rsid w:val="52DD343C"/>
    <w:rsid w:val="52F87D2A"/>
    <w:rsid w:val="52F90C1C"/>
    <w:rsid w:val="530B7793"/>
    <w:rsid w:val="5321353F"/>
    <w:rsid w:val="53222EE7"/>
    <w:rsid w:val="534D765A"/>
    <w:rsid w:val="53540114"/>
    <w:rsid w:val="535A33DA"/>
    <w:rsid w:val="536330FA"/>
    <w:rsid w:val="537970D0"/>
    <w:rsid w:val="539868E0"/>
    <w:rsid w:val="53A47969"/>
    <w:rsid w:val="53BF0089"/>
    <w:rsid w:val="53CE29D1"/>
    <w:rsid w:val="53D94E9F"/>
    <w:rsid w:val="53DB17B9"/>
    <w:rsid w:val="53E5129E"/>
    <w:rsid w:val="54057C58"/>
    <w:rsid w:val="541F1749"/>
    <w:rsid w:val="542C167C"/>
    <w:rsid w:val="54482DD1"/>
    <w:rsid w:val="5455474D"/>
    <w:rsid w:val="545B7AC0"/>
    <w:rsid w:val="54694DFB"/>
    <w:rsid w:val="546F29D4"/>
    <w:rsid w:val="54953F82"/>
    <w:rsid w:val="54C0542F"/>
    <w:rsid w:val="54D107E9"/>
    <w:rsid w:val="54E90BFD"/>
    <w:rsid w:val="54E96A18"/>
    <w:rsid w:val="54F56BB2"/>
    <w:rsid w:val="54FF61BE"/>
    <w:rsid w:val="55041307"/>
    <w:rsid w:val="551576AA"/>
    <w:rsid w:val="55212B67"/>
    <w:rsid w:val="552140EA"/>
    <w:rsid w:val="55226D5D"/>
    <w:rsid w:val="553111D9"/>
    <w:rsid w:val="556E3124"/>
    <w:rsid w:val="55766B43"/>
    <w:rsid w:val="55856D6F"/>
    <w:rsid w:val="558C043F"/>
    <w:rsid w:val="55A5580E"/>
    <w:rsid w:val="55AE03B4"/>
    <w:rsid w:val="55AE5676"/>
    <w:rsid w:val="55B82D7F"/>
    <w:rsid w:val="55E50ACF"/>
    <w:rsid w:val="56030522"/>
    <w:rsid w:val="560D5972"/>
    <w:rsid w:val="560E402E"/>
    <w:rsid w:val="561340C5"/>
    <w:rsid w:val="561E5DFF"/>
    <w:rsid w:val="563445A6"/>
    <w:rsid w:val="56417D7F"/>
    <w:rsid w:val="564B2284"/>
    <w:rsid w:val="564D6DB6"/>
    <w:rsid w:val="56593C87"/>
    <w:rsid w:val="56603854"/>
    <w:rsid w:val="56791F7B"/>
    <w:rsid w:val="56821236"/>
    <w:rsid w:val="568B2BB9"/>
    <w:rsid w:val="568B3F73"/>
    <w:rsid w:val="56B2171A"/>
    <w:rsid w:val="56EC370C"/>
    <w:rsid w:val="56F30601"/>
    <w:rsid w:val="57191EDF"/>
    <w:rsid w:val="57233DEA"/>
    <w:rsid w:val="5739000A"/>
    <w:rsid w:val="5745756B"/>
    <w:rsid w:val="576A4F6C"/>
    <w:rsid w:val="57781196"/>
    <w:rsid w:val="57790029"/>
    <w:rsid w:val="578879F4"/>
    <w:rsid w:val="578B66F5"/>
    <w:rsid w:val="57AD0601"/>
    <w:rsid w:val="57AF03E7"/>
    <w:rsid w:val="57BF1EB9"/>
    <w:rsid w:val="57E179DE"/>
    <w:rsid w:val="58147FB5"/>
    <w:rsid w:val="582A31CF"/>
    <w:rsid w:val="584B5D73"/>
    <w:rsid w:val="58695CD2"/>
    <w:rsid w:val="58773154"/>
    <w:rsid w:val="58A93D34"/>
    <w:rsid w:val="58B227FD"/>
    <w:rsid w:val="58B31895"/>
    <w:rsid w:val="58D10769"/>
    <w:rsid w:val="58F343AF"/>
    <w:rsid w:val="58F447CF"/>
    <w:rsid w:val="58F45B87"/>
    <w:rsid w:val="59030F12"/>
    <w:rsid w:val="590B0873"/>
    <w:rsid w:val="595E4CA8"/>
    <w:rsid w:val="596032B2"/>
    <w:rsid w:val="596E1588"/>
    <w:rsid w:val="598A148C"/>
    <w:rsid w:val="59A1345E"/>
    <w:rsid w:val="59C35227"/>
    <w:rsid w:val="59D07F49"/>
    <w:rsid w:val="59D15162"/>
    <w:rsid w:val="59F97C29"/>
    <w:rsid w:val="59FF2E55"/>
    <w:rsid w:val="5A326091"/>
    <w:rsid w:val="5A3327B9"/>
    <w:rsid w:val="5A443352"/>
    <w:rsid w:val="5A7051F2"/>
    <w:rsid w:val="5AA62FCE"/>
    <w:rsid w:val="5AAF49D1"/>
    <w:rsid w:val="5AC079AA"/>
    <w:rsid w:val="5ACB139C"/>
    <w:rsid w:val="5AD30371"/>
    <w:rsid w:val="5AF76D2D"/>
    <w:rsid w:val="5B005206"/>
    <w:rsid w:val="5B010B39"/>
    <w:rsid w:val="5B296D42"/>
    <w:rsid w:val="5B451FEF"/>
    <w:rsid w:val="5B48398F"/>
    <w:rsid w:val="5B48782C"/>
    <w:rsid w:val="5B492F9F"/>
    <w:rsid w:val="5B5733CF"/>
    <w:rsid w:val="5B634A59"/>
    <w:rsid w:val="5B686C87"/>
    <w:rsid w:val="5B727A30"/>
    <w:rsid w:val="5B7412EA"/>
    <w:rsid w:val="5B7F7608"/>
    <w:rsid w:val="5B9F7870"/>
    <w:rsid w:val="5BA94C3A"/>
    <w:rsid w:val="5BD2472B"/>
    <w:rsid w:val="5C353D5D"/>
    <w:rsid w:val="5C672B7B"/>
    <w:rsid w:val="5C6C4340"/>
    <w:rsid w:val="5C896A93"/>
    <w:rsid w:val="5CCA20E7"/>
    <w:rsid w:val="5CCC25C6"/>
    <w:rsid w:val="5CF00256"/>
    <w:rsid w:val="5D310147"/>
    <w:rsid w:val="5D311396"/>
    <w:rsid w:val="5D3E462A"/>
    <w:rsid w:val="5D3F0FE2"/>
    <w:rsid w:val="5D492DFF"/>
    <w:rsid w:val="5D88422D"/>
    <w:rsid w:val="5D965109"/>
    <w:rsid w:val="5DBC5392"/>
    <w:rsid w:val="5DC52873"/>
    <w:rsid w:val="5DC707E3"/>
    <w:rsid w:val="5DD34B2A"/>
    <w:rsid w:val="5DE03DDF"/>
    <w:rsid w:val="5DF61D94"/>
    <w:rsid w:val="5E014DED"/>
    <w:rsid w:val="5E0C6F7F"/>
    <w:rsid w:val="5E125043"/>
    <w:rsid w:val="5E300533"/>
    <w:rsid w:val="5E3A3904"/>
    <w:rsid w:val="5E476791"/>
    <w:rsid w:val="5E756789"/>
    <w:rsid w:val="5E9A6C52"/>
    <w:rsid w:val="5EAE4023"/>
    <w:rsid w:val="5ED701AB"/>
    <w:rsid w:val="5F046725"/>
    <w:rsid w:val="5F24793A"/>
    <w:rsid w:val="5F657D44"/>
    <w:rsid w:val="5F990E8A"/>
    <w:rsid w:val="5FB6646F"/>
    <w:rsid w:val="5FC73304"/>
    <w:rsid w:val="5FD86BAD"/>
    <w:rsid w:val="5FDA5E1F"/>
    <w:rsid w:val="5FE27189"/>
    <w:rsid w:val="5FE27E1D"/>
    <w:rsid w:val="5FE50020"/>
    <w:rsid w:val="5FE9458D"/>
    <w:rsid w:val="5FF21794"/>
    <w:rsid w:val="5FF83DE3"/>
    <w:rsid w:val="60006363"/>
    <w:rsid w:val="600E5B1E"/>
    <w:rsid w:val="603029C5"/>
    <w:rsid w:val="6042451C"/>
    <w:rsid w:val="60533814"/>
    <w:rsid w:val="60661241"/>
    <w:rsid w:val="60715F9E"/>
    <w:rsid w:val="609551E5"/>
    <w:rsid w:val="60A5404A"/>
    <w:rsid w:val="60B571CB"/>
    <w:rsid w:val="60B71BC5"/>
    <w:rsid w:val="60CB2D10"/>
    <w:rsid w:val="60DC4019"/>
    <w:rsid w:val="61030396"/>
    <w:rsid w:val="6105340B"/>
    <w:rsid w:val="61186716"/>
    <w:rsid w:val="613D0F83"/>
    <w:rsid w:val="61554566"/>
    <w:rsid w:val="616B370A"/>
    <w:rsid w:val="61990045"/>
    <w:rsid w:val="619F4562"/>
    <w:rsid w:val="61AE1F72"/>
    <w:rsid w:val="61B00F6F"/>
    <w:rsid w:val="61B2100A"/>
    <w:rsid w:val="61C06715"/>
    <w:rsid w:val="61CF26E5"/>
    <w:rsid w:val="61D40795"/>
    <w:rsid w:val="61DD322C"/>
    <w:rsid w:val="6217768B"/>
    <w:rsid w:val="622F66EC"/>
    <w:rsid w:val="624E459A"/>
    <w:rsid w:val="6270318F"/>
    <w:rsid w:val="627A0608"/>
    <w:rsid w:val="627F7CFF"/>
    <w:rsid w:val="62824A1E"/>
    <w:rsid w:val="62870684"/>
    <w:rsid w:val="6296380B"/>
    <w:rsid w:val="62A77984"/>
    <w:rsid w:val="62B05E13"/>
    <w:rsid w:val="62B061AF"/>
    <w:rsid w:val="62B66449"/>
    <w:rsid w:val="62CB7305"/>
    <w:rsid w:val="62D61655"/>
    <w:rsid w:val="62E0452A"/>
    <w:rsid w:val="62E73039"/>
    <w:rsid w:val="631E0FF7"/>
    <w:rsid w:val="63243DA9"/>
    <w:rsid w:val="632F00CB"/>
    <w:rsid w:val="63394DD9"/>
    <w:rsid w:val="63457CE2"/>
    <w:rsid w:val="636A1309"/>
    <w:rsid w:val="63790B64"/>
    <w:rsid w:val="638C0F42"/>
    <w:rsid w:val="639126EF"/>
    <w:rsid w:val="63AB153A"/>
    <w:rsid w:val="63AE3DDE"/>
    <w:rsid w:val="63C74EDF"/>
    <w:rsid w:val="63CA4F0E"/>
    <w:rsid w:val="63D76796"/>
    <w:rsid w:val="63E33D62"/>
    <w:rsid w:val="641D7575"/>
    <w:rsid w:val="64206E48"/>
    <w:rsid w:val="642342BD"/>
    <w:rsid w:val="64636766"/>
    <w:rsid w:val="64797B05"/>
    <w:rsid w:val="64821F8F"/>
    <w:rsid w:val="648900C6"/>
    <w:rsid w:val="649E5B09"/>
    <w:rsid w:val="64E06555"/>
    <w:rsid w:val="64F04276"/>
    <w:rsid w:val="64F15CFD"/>
    <w:rsid w:val="65106256"/>
    <w:rsid w:val="652A26ED"/>
    <w:rsid w:val="652A735E"/>
    <w:rsid w:val="652C79DC"/>
    <w:rsid w:val="65537538"/>
    <w:rsid w:val="65573DDF"/>
    <w:rsid w:val="655F4948"/>
    <w:rsid w:val="65AB050A"/>
    <w:rsid w:val="65B93DF7"/>
    <w:rsid w:val="65E21DB9"/>
    <w:rsid w:val="65E52F80"/>
    <w:rsid w:val="660E4854"/>
    <w:rsid w:val="662325A2"/>
    <w:rsid w:val="66436E06"/>
    <w:rsid w:val="665B56F4"/>
    <w:rsid w:val="66697C63"/>
    <w:rsid w:val="666C1579"/>
    <w:rsid w:val="6698528A"/>
    <w:rsid w:val="66D65C26"/>
    <w:rsid w:val="66EE7B3A"/>
    <w:rsid w:val="671431F4"/>
    <w:rsid w:val="673A557F"/>
    <w:rsid w:val="67422F6C"/>
    <w:rsid w:val="67485F78"/>
    <w:rsid w:val="675054FB"/>
    <w:rsid w:val="67525A04"/>
    <w:rsid w:val="67563FB5"/>
    <w:rsid w:val="67584694"/>
    <w:rsid w:val="67843B66"/>
    <w:rsid w:val="67A0135D"/>
    <w:rsid w:val="67AB132F"/>
    <w:rsid w:val="67B87A05"/>
    <w:rsid w:val="67BA7A04"/>
    <w:rsid w:val="67BB0B81"/>
    <w:rsid w:val="67E85CE8"/>
    <w:rsid w:val="68244B11"/>
    <w:rsid w:val="682B2C67"/>
    <w:rsid w:val="682D584D"/>
    <w:rsid w:val="683E76B7"/>
    <w:rsid w:val="68587729"/>
    <w:rsid w:val="68982117"/>
    <w:rsid w:val="689F0CAB"/>
    <w:rsid w:val="68AE6355"/>
    <w:rsid w:val="68AF125D"/>
    <w:rsid w:val="68D4190D"/>
    <w:rsid w:val="68D4276E"/>
    <w:rsid w:val="68ED6208"/>
    <w:rsid w:val="690D76D8"/>
    <w:rsid w:val="690F602E"/>
    <w:rsid w:val="691164BA"/>
    <w:rsid w:val="693C1D4F"/>
    <w:rsid w:val="693D530D"/>
    <w:rsid w:val="69517BF2"/>
    <w:rsid w:val="695A7D6A"/>
    <w:rsid w:val="69DA2C7D"/>
    <w:rsid w:val="69DF27F8"/>
    <w:rsid w:val="69FF30F3"/>
    <w:rsid w:val="6A014FCE"/>
    <w:rsid w:val="6A01727C"/>
    <w:rsid w:val="6A174B3C"/>
    <w:rsid w:val="6A4B72F5"/>
    <w:rsid w:val="6A4F649D"/>
    <w:rsid w:val="6A513A8D"/>
    <w:rsid w:val="6A616209"/>
    <w:rsid w:val="6A6538C2"/>
    <w:rsid w:val="6A9F6397"/>
    <w:rsid w:val="6AFD783A"/>
    <w:rsid w:val="6AFE46FE"/>
    <w:rsid w:val="6B336B46"/>
    <w:rsid w:val="6B3A79A6"/>
    <w:rsid w:val="6B496E29"/>
    <w:rsid w:val="6B5467DE"/>
    <w:rsid w:val="6B7B7AA0"/>
    <w:rsid w:val="6B8474E2"/>
    <w:rsid w:val="6B96158F"/>
    <w:rsid w:val="6B9751A0"/>
    <w:rsid w:val="6B9D2F4E"/>
    <w:rsid w:val="6BB57664"/>
    <w:rsid w:val="6BCA64D1"/>
    <w:rsid w:val="6C0F4DA3"/>
    <w:rsid w:val="6C153F69"/>
    <w:rsid w:val="6C3D18F9"/>
    <w:rsid w:val="6C4745BD"/>
    <w:rsid w:val="6C4D1F44"/>
    <w:rsid w:val="6C864E9C"/>
    <w:rsid w:val="6CAA5208"/>
    <w:rsid w:val="6CD57947"/>
    <w:rsid w:val="6CDB1E06"/>
    <w:rsid w:val="6CDE62FA"/>
    <w:rsid w:val="6CE749A6"/>
    <w:rsid w:val="6CEB3DE6"/>
    <w:rsid w:val="6CFB28A3"/>
    <w:rsid w:val="6D02094A"/>
    <w:rsid w:val="6D0A4910"/>
    <w:rsid w:val="6D855DD9"/>
    <w:rsid w:val="6D91463F"/>
    <w:rsid w:val="6D9363D6"/>
    <w:rsid w:val="6DAC3202"/>
    <w:rsid w:val="6DC1414C"/>
    <w:rsid w:val="6DC45F94"/>
    <w:rsid w:val="6DC71A5C"/>
    <w:rsid w:val="6DDD4B9C"/>
    <w:rsid w:val="6DEC3D19"/>
    <w:rsid w:val="6DED70FE"/>
    <w:rsid w:val="6DF953D5"/>
    <w:rsid w:val="6DFE772A"/>
    <w:rsid w:val="6E011BA4"/>
    <w:rsid w:val="6E076C4B"/>
    <w:rsid w:val="6E09452D"/>
    <w:rsid w:val="6E210C63"/>
    <w:rsid w:val="6E2F3104"/>
    <w:rsid w:val="6E376660"/>
    <w:rsid w:val="6E3B7BEC"/>
    <w:rsid w:val="6E475D08"/>
    <w:rsid w:val="6E7A4F77"/>
    <w:rsid w:val="6E940672"/>
    <w:rsid w:val="6EBA22E3"/>
    <w:rsid w:val="6EC53A3E"/>
    <w:rsid w:val="6EED5376"/>
    <w:rsid w:val="6EED54E5"/>
    <w:rsid w:val="6EFC5612"/>
    <w:rsid w:val="6F0F53D8"/>
    <w:rsid w:val="6F1427BE"/>
    <w:rsid w:val="6F26517B"/>
    <w:rsid w:val="6F36710C"/>
    <w:rsid w:val="6F7560E5"/>
    <w:rsid w:val="6F7C6021"/>
    <w:rsid w:val="6F970583"/>
    <w:rsid w:val="6F9B2C5F"/>
    <w:rsid w:val="6FA82B17"/>
    <w:rsid w:val="6FC06400"/>
    <w:rsid w:val="6FCB4F5B"/>
    <w:rsid w:val="6FE51880"/>
    <w:rsid w:val="6FF56B8E"/>
    <w:rsid w:val="6FFB05DA"/>
    <w:rsid w:val="700E580E"/>
    <w:rsid w:val="701107B5"/>
    <w:rsid w:val="70134182"/>
    <w:rsid w:val="7022504B"/>
    <w:rsid w:val="702757C1"/>
    <w:rsid w:val="702D3692"/>
    <w:rsid w:val="70497584"/>
    <w:rsid w:val="705669C2"/>
    <w:rsid w:val="705B5374"/>
    <w:rsid w:val="705C07A4"/>
    <w:rsid w:val="705D7B36"/>
    <w:rsid w:val="70BF690E"/>
    <w:rsid w:val="70CF7B3E"/>
    <w:rsid w:val="70F047D5"/>
    <w:rsid w:val="710A53DF"/>
    <w:rsid w:val="712D1967"/>
    <w:rsid w:val="712F239F"/>
    <w:rsid w:val="71456326"/>
    <w:rsid w:val="71466FA0"/>
    <w:rsid w:val="714B1910"/>
    <w:rsid w:val="7178717A"/>
    <w:rsid w:val="719D1D3F"/>
    <w:rsid w:val="71CB12E6"/>
    <w:rsid w:val="71E52DD1"/>
    <w:rsid w:val="71EE0736"/>
    <w:rsid w:val="72021223"/>
    <w:rsid w:val="72125E12"/>
    <w:rsid w:val="721E2D97"/>
    <w:rsid w:val="722345FB"/>
    <w:rsid w:val="723E5741"/>
    <w:rsid w:val="724C36DA"/>
    <w:rsid w:val="725211B1"/>
    <w:rsid w:val="72680DBD"/>
    <w:rsid w:val="726A21E4"/>
    <w:rsid w:val="726B62FC"/>
    <w:rsid w:val="72737CD5"/>
    <w:rsid w:val="7277466A"/>
    <w:rsid w:val="729A6AAA"/>
    <w:rsid w:val="72B12B8B"/>
    <w:rsid w:val="72BC5A2F"/>
    <w:rsid w:val="72D907C4"/>
    <w:rsid w:val="72EB0E0B"/>
    <w:rsid w:val="730C7574"/>
    <w:rsid w:val="731509BA"/>
    <w:rsid w:val="733B7B29"/>
    <w:rsid w:val="73596261"/>
    <w:rsid w:val="736571AF"/>
    <w:rsid w:val="73662D29"/>
    <w:rsid w:val="73741DFF"/>
    <w:rsid w:val="73785099"/>
    <w:rsid w:val="73887F8B"/>
    <w:rsid w:val="739917ED"/>
    <w:rsid w:val="73BA3745"/>
    <w:rsid w:val="73BD4086"/>
    <w:rsid w:val="73BE1E57"/>
    <w:rsid w:val="73C739B0"/>
    <w:rsid w:val="73CA4CF6"/>
    <w:rsid w:val="73D11F47"/>
    <w:rsid w:val="741A2D4E"/>
    <w:rsid w:val="744C4BE5"/>
    <w:rsid w:val="745C3654"/>
    <w:rsid w:val="74667882"/>
    <w:rsid w:val="74C1353B"/>
    <w:rsid w:val="74CE3552"/>
    <w:rsid w:val="751477FD"/>
    <w:rsid w:val="7528773F"/>
    <w:rsid w:val="753E65D1"/>
    <w:rsid w:val="75414019"/>
    <w:rsid w:val="75661EE8"/>
    <w:rsid w:val="757856D7"/>
    <w:rsid w:val="75D554AE"/>
    <w:rsid w:val="760C4A2D"/>
    <w:rsid w:val="761922BE"/>
    <w:rsid w:val="766A0BBA"/>
    <w:rsid w:val="76854F78"/>
    <w:rsid w:val="76A052D7"/>
    <w:rsid w:val="76C5453C"/>
    <w:rsid w:val="76D75B00"/>
    <w:rsid w:val="76E4575D"/>
    <w:rsid w:val="76E86081"/>
    <w:rsid w:val="772A0F86"/>
    <w:rsid w:val="7738447C"/>
    <w:rsid w:val="77431C88"/>
    <w:rsid w:val="775300AC"/>
    <w:rsid w:val="77617EDD"/>
    <w:rsid w:val="779A76AE"/>
    <w:rsid w:val="77C619E6"/>
    <w:rsid w:val="77F13906"/>
    <w:rsid w:val="77FD70F5"/>
    <w:rsid w:val="77FE644C"/>
    <w:rsid w:val="78334793"/>
    <w:rsid w:val="78343942"/>
    <w:rsid w:val="78420E5E"/>
    <w:rsid w:val="784518F9"/>
    <w:rsid w:val="784E154C"/>
    <w:rsid w:val="78623B2D"/>
    <w:rsid w:val="78695B62"/>
    <w:rsid w:val="787F6091"/>
    <w:rsid w:val="78A54577"/>
    <w:rsid w:val="78A903DF"/>
    <w:rsid w:val="78AC3447"/>
    <w:rsid w:val="78BE6B1C"/>
    <w:rsid w:val="78C94406"/>
    <w:rsid w:val="78D4185D"/>
    <w:rsid w:val="78DF7871"/>
    <w:rsid w:val="793301B8"/>
    <w:rsid w:val="793C65A9"/>
    <w:rsid w:val="795118DD"/>
    <w:rsid w:val="79657AEB"/>
    <w:rsid w:val="796F42C3"/>
    <w:rsid w:val="79966DE4"/>
    <w:rsid w:val="79A35616"/>
    <w:rsid w:val="79AC11A3"/>
    <w:rsid w:val="79C16755"/>
    <w:rsid w:val="79C51078"/>
    <w:rsid w:val="79CC0A1D"/>
    <w:rsid w:val="79DC7790"/>
    <w:rsid w:val="79E06D4C"/>
    <w:rsid w:val="79F77823"/>
    <w:rsid w:val="79FC693F"/>
    <w:rsid w:val="7A015546"/>
    <w:rsid w:val="7A0C7AA3"/>
    <w:rsid w:val="7A254CA6"/>
    <w:rsid w:val="7A2F4DE4"/>
    <w:rsid w:val="7A7372F8"/>
    <w:rsid w:val="7A8658E7"/>
    <w:rsid w:val="7A8931BF"/>
    <w:rsid w:val="7A946822"/>
    <w:rsid w:val="7AB47212"/>
    <w:rsid w:val="7ABD7B55"/>
    <w:rsid w:val="7AD154C8"/>
    <w:rsid w:val="7AF909E7"/>
    <w:rsid w:val="7B214A78"/>
    <w:rsid w:val="7B247D28"/>
    <w:rsid w:val="7B2573B3"/>
    <w:rsid w:val="7B3B40A0"/>
    <w:rsid w:val="7B4B75D8"/>
    <w:rsid w:val="7B575BC7"/>
    <w:rsid w:val="7B822AE3"/>
    <w:rsid w:val="7B8E55ED"/>
    <w:rsid w:val="7B982DB4"/>
    <w:rsid w:val="7B9B0884"/>
    <w:rsid w:val="7BAC091D"/>
    <w:rsid w:val="7BB5605E"/>
    <w:rsid w:val="7BC42C68"/>
    <w:rsid w:val="7BDF2A2B"/>
    <w:rsid w:val="7BE92E7F"/>
    <w:rsid w:val="7C09434E"/>
    <w:rsid w:val="7C2101F7"/>
    <w:rsid w:val="7C285416"/>
    <w:rsid w:val="7C497A06"/>
    <w:rsid w:val="7C657F71"/>
    <w:rsid w:val="7C7F473E"/>
    <w:rsid w:val="7CED4C31"/>
    <w:rsid w:val="7CF72C09"/>
    <w:rsid w:val="7D022925"/>
    <w:rsid w:val="7D2F77F9"/>
    <w:rsid w:val="7D646B4D"/>
    <w:rsid w:val="7DA16514"/>
    <w:rsid w:val="7DAC19B8"/>
    <w:rsid w:val="7DD9435F"/>
    <w:rsid w:val="7DDC3759"/>
    <w:rsid w:val="7DFE2F37"/>
    <w:rsid w:val="7E326906"/>
    <w:rsid w:val="7E4C606C"/>
    <w:rsid w:val="7E6A4968"/>
    <w:rsid w:val="7E930FC7"/>
    <w:rsid w:val="7EA32BB3"/>
    <w:rsid w:val="7EB52B5C"/>
    <w:rsid w:val="7EF532DE"/>
    <w:rsid w:val="7EFB5CA2"/>
    <w:rsid w:val="7F0F0B9D"/>
    <w:rsid w:val="7F162709"/>
    <w:rsid w:val="7F1C59F2"/>
    <w:rsid w:val="7F27274E"/>
    <w:rsid w:val="7F2C40CC"/>
    <w:rsid w:val="7F624F8C"/>
    <w:rsid w:val="7F796C6B"/>
    <w:rsid w:val="7F7C6FB9"/>
    <w:rsid w:val="7F8E4C95"/>
    <w:rsid w:val="7FB11CCC"/>
    <w:rsid w:val="7FC83EF7"/>
    <w:rsid w:val="7FD050B5"/>
    <w:rsid w:val="7FE80210"/>
    <w:rsid w:val="7FEB2E34"/>
    <w:rsid w:val="7FEC735E"/>
    <w:rsid w:val="7FEE09E8"/>
    <w:rsid w:val="7FF5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4"/>
    <w:basedOn w:val="1"/>
    <w:next w:val="1"/>
    <w:qFormat/>
    <w:uiPriority w:val="0"/>
    <w:pPr>
      <w:keepNext/>
      <w:keepLines/>
      <w:spacing w:before="280" w:after="290" w:line="400" w:lineRule="exact"/>
      <w:ind w:left="862" w:hanging="862"/>
      <w:outlineLvl w:val="3"/>
    </w:pPr>
    <w:rPr>
      <w:rFonts w:ascii="Calibri Light" w:hAnsi="Calibri Light" w:eastAsia="宋体" w:cs="Times New Roman"/>
      <w:b/>
      <w:bCs/>
      <w:szCs w:val="28"/>
    </w:rPr>
  </w:style>
  <w:style w:type="paragraph" w:styleId="7">
    <w:name w:val="heading 5"/>
    <w:basedOn w:val="1"/>
    <w:next w:val="1"/>
    <w:unhideWhenUsed/>
    <w:qFormat/>
    <w:uiPriority w:val="0"/>
    <w:pPr>
      <w:keepNext/>
      <w:keepLines/>
      <w:numPr>
        <w:ilvl w:val="4"/>
        <w:numId w:val="1"/>
      </w:numPr>
      <w:spacing w:before="280" w:after="290" w:line="376" w:lineRule="auto"/>
      <w:outlineLvl w:val="4"/>
    </w:pPr>
    <w:rPr>
      <w:rFonts w:ascii="黑体" w:hAnsi="黑体" w:eastAsia="黑体" w:cstheme="majorEastAsia"/>
      <w:b/>
      <w:bCs/>
    </w:rPr>
  </w:style>
  <w:style w:type="paragraph" w:styleId="8">
    <w:name w:val="heading 6"/>
    <w:basedOn w:val="1"/>
    <w:next w:val="1"/>
    <w:qFormat/>
    <w:uiPriority w:val="0"/>
    <w:pPr>
      <w:keepNext/>
      <w:keepLines/>
      <w:numPr>
        <w:ilvl w:val="5"/>
        <w:numId w:val="2"/>
      </w:numPr>
      <w:spacing w:before="240" w:after="64" w:line="320" w:lineRule="auto"/>
      <w:outlineLvl w:val="5"/>
    </w:pPr>
    <w:rPr>
      <w:rFonts w:ascii="黑体" w:hAnsi="黑体" w:eastAsia="黑体" w:cs="黑体"/>
      <w:bCs/>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cs="宋体" w:eastAsiaTheme="minorEastAsia"/>
      <w:color w:val="000000"/>
      <w:kern w:val="2"/>
      <w:sz w:val="24"/>
      <w:szCs w:val="24"/>
      <w:lang w:val="en-US" w:eastAsia="zh-CN" w:bidi="ar-SA"/>
    </w:rPr>
  </w:style>
  <w:style w:type="paragraph" w:styleId="9">
    <w:name w:val="annotation text"/>
    <w:basedOn w:val="1"/>
    <w:qFormat/>
    <w:uiPriority w:val="0"/>
    <w:pPr>
      <w:jc w:val="left"/>
    </w:pPr>
  </w:style>
  <w:style w:type="paragraph" w:styleId="10">
    <w:name w:val="Plain Text"/>
    <w:basedOn w:val="1"/>
    <w:qFormat/>
    <w:uiPriority w:val="0"/>
    <w:rPr>
      <w:rFonts w:ascii="宋体" w:hAnsi="Courier New"/>
      <w:szCs w:val="20"/>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8">
    <w:name w:val="_标题1"/>
    <w:basedOn w:val="3"/>
    <w:next w:val="1"/>
    <w:qFormat/>
    <w:uiPriority w:val="0"/>
    <w:pPr>
      <w:pageBreakBefore/>
      <w:widowControl/>
      <w:numPr>
        <w:ilvl w:val="0"/>
        <w:numId w:val="3"/>
      </w:numPr>
      <w:spacing w:line="576" w:lineRule="auto"/>
      <w:jc w:val="center"/>
    </w:pPr>
    <w:rPr>
      <w:rFonts w:ascii="Arial" w:hAnsi="Arial" w:eastAsia="黑体" w:cs="宋体"/>
      <w:b w:val="0"/>
    </w:rPr>
  </w:style>
  <w:style w:type="paragraph" w:customStyle="1" w:styleId="19">
    <w:name w:val="_标题2"/>
    <w:basedOn w:val="4"/>
    <w:next w:val="1"/>
    <w:qFormat/>
    <w:uiPriority w:val="0"/>
    <w:pPr>
      <w:widowControl/>
      <w:numPr>
        <w:ilvl w:val="1"/>
        <w:numId w:val="3"/>
      </w:numPr>
      <w:spacing w:line="360" w:lineRule="auto"/>
      <w:jc w:val="left"/>
    </w:pPr>
    <w:rPr>
      <w:rFonts w:ascii="Arial" w:hAnsi="Arial" w:eastAsia="黑体" w:cs="宋体"/>
      <w:b w:val="0"/>
      <w:kern w:val="0"/>
    </w:rPr>
  </w:style>
  <w:style w:type="paragraph" w:customStyle="1" w:styleId="20">
    <w:name w:val="_标题3"/>
    <w:basedOn w:val="5"/>
    <w:next w:val="1"/>
    <w:qFormat/>
    <w:uiPriority w:val="0"/>
    <w:pPr>
      <w:widowControl/>
      <w:numPr>
        <w:ilvl w:val="2"/>
        <w:numId w:val="3"/>
      </w:numPr>
      <w:adjustRightInd w:val="0"/>
      <w:snapToGrid w:val="0"/>
      <w:spacing w:before="60" w:after="60" w:line="360" w:lineRule="auto"/>
    </w:pPr>
    <w:rPr>
      <w:rFonts w:ascii="Arial" w:hAnsi="Arial" w:eastAsia="黑体" w:cs="宋体"/>
      <w:b w:val="0"/>
      <w:sz w:val="30"/>
    </w:rPr>
  </w:style>
  <w:style w:type="paragraph" w:customStyle="1" w:styleId="21">
    <w:name w:val="FC正文"/>
    <w:basedOn w:val="1"/>
    <w:qFormat/>
    <w:uiPriority w:val="0"/>
    <w:pPr>
      <w:snapToGrid w:val="0"/>
      <w:spacing w:before="50" w:beforeLines="50" w:after="50" w:afterLines="50"/>
      <w:ind w:firstLine="200" w:firstLineChars="200"/>
      <w:contextualSpacing/>
    </w:pPr>
    <w:rPr>
      <w:rFonts w:ascii="宋体" w:hAnsi="宋体" w:eastAsia="宋体" w:cs="宋体"/>
      <w:szCs w:val="21"/>
    </w:rPr>
  </w:style>
  <w:style w:type="paragraph" w:customStyle="1" w:styleId="2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页眉 字符"/>
    <w:basedOn w:val="14"/>
    <w:link w:val="12"/>
    <w:qFormat/>
    <w:uiPriority w:val="0"/>
    <w:rPr>
      <w:rFonts w:asciiTheme="minorHAnsi" w:hAnsiTheme="minorHAnsi" w:eastAsiaTheme="minorEastAsia" w:cstheme="minorBidi"/>
      <w:kern w:val="2"/>
      <w:sz w:val="18"/>
      <w:szCs w:val="18"/>
    </w:rPr>
  </w:style>
  <w:style w:type="character" w:customStyle="1" w:styleId="24">
    <w:name w:val="页脚 字符"/>
    <w:basedOn w:val="14"/>
    <w:link w:val="11"/>
    <w:qFormat/>
    <w:uiPriority w:val="0"/>
    <w:rPr>
      <w:rFonts w:asciiTheme="minorHAnsi" w:hAnsiTheme="minorHAnsi" w:eastAsiaTheme="minorEastAsia" w:cstheme="minorBidi"/>
      <w:kern w:val="2"/>
      <w:sz w:val="18"/>
      <w:szCs w:val="18"/>
    </w:rPr>
  </w:style>
  <w:style w:type="paragraph" w:customStyle="1" w:styleId="25">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font61"/>
    <w:basedOn w:val="14"/>
    <w:qFormat/>
    <w:uiPriority w:val="0"/>
    <w:rPr>
      <w:rFonts w:hint="eastAsia" w:ascii="宋体" w:hAnsi="宋体" w:eastAsia="宋体" w:cs="宋体"/>
      <w:color w:val="000000"/>
      <w:sz w:val="21"/>
      <w:szCs w:val="21"/>
      <w:u w:val="none"/>
    </w:rPr>
  </w:style>
  <w:style w:type="character" w:customStyle="1" w:styleId="27">
    <w:name w:val="font51"/>
    <w:basedOn w:val="14"/>
    <w:qFormat/>
    <w:uiPriority w:val="0"/>
    <w:rPr>
      <w:rFonts w:hint="eastAsia" w:ascii="宋体" w:hAnsi="宋体" w:eastAsia="宋体" w:cs="宋体"/>
      <w:color w:val="FF0000"/>
      <w:sz w:val="21"/>
      <w:szCs w:val="21"/>
      <w:u w:val="none"/>
    </w:rPr>
  </w:style>
  <w:style w:type="character" w:customStyle="1" w:styleId="28">
    <w:name w:val="font71"/>
    <w:basedOn w:val="14"/>
    <w:qFormat/>
    <w:uiPriority w:val="0"/>
    <w:rPr>
      <w:rFonts w:hint="eastAsia" w:ascii="宋体" w:hAnsi="宋体" w:eastAsia="宋体" w:cs="宋体"/>
      <w:color w:val="000000"/>
      <w:sz w:val="20"/>
      <w:szCs w:val="20"/>
      <w:u w:val="none"/>
    </w:rPr>
  </w:style>
  <w:style w:type="character" w:customStyle="1" w:styleId="29">
    <w:name w:val="font01"/>
    <w:basedOn w:val="14"/>
    <w:qFormat/>
    <w:uiPriority w:val="0"/>
    <w:rPr>
      <w:rFonts w:hint="eastAsia" w:ascii="宋体" w:hAnsi="宋体" w:eastAsia="宋体" w:cs="宋体"/>
      <w:color w:val="FF0000"/>
      <w:sz w:val="20"/>
      <w:szCs w:val="20"/>
      <w:u w:val="none"/>
    </w:rPr>
  </w:style>
  <w:style w:type="paragraph" w:customStyle="1" w:styleId="3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10731</Words>
  <Characters>11252</Characters>
  <Lines>89</Lines>
  <Paragraphs>25</Paragraphs>
  <TotalTime>11</TotalTime>
  <ScaleCrop>false</ScaleCrop>
  <LinksUpToDate>false</LinksUpToDate>
  <CharactersWithSpaces>11313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2023-02-22T08:34:00Z</dcterms:created>
  <dc:creator>linx</dc:creator>
  <cp:lastModifiedBy>林昕</cp:lastModifiedBy>
  <cp:lastPrinted>2023-02-24T01:53:00Z</cp:lastPrinted>
  <dcterms:modified xsi:type="dcterms:W3CDTF">2024-07-08T07:42:49Z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88161CD715C844CBB9CE7511A3C517C5</vt:lpwstr>
  </property>
</Properties>
</file>