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方正仿宋简体"/>
        </w:rPr>
      </w:pPr>
      <w:bookmarkStart w:id="0" w:name="_Toc498001357"/>
      <w:bookmarkStart w:id="1" w:name="_Toc498001258"/>
    </w:p>
    <w:p>
      <w:pPr>
        <w:spacing w:line="240" w:lineRule="auto"/>
        <w:jc w:val="both"/>
        <w:rPr>
          <w:rFonts w:hint="eastAsia" w:ascii="方正小标宋简体" w:eastAsia="方正小标宋简体"/>
          <w:spacing w:val="157"/>
          <w:kern w:val="0"/>
          <w:sz w:val="84"/>
          <w:szCs w:val="84"/>
        </w:rPr>
      </w:pPr>
    </w:p>
    <w:p>
      <w:pPr>
        <w:spacing w:line="240" w:lineRule="auto"/>
        <w:jc w:val="center"/>
        <w:rPr>
          <w:rFonts w:hint="eastAsia" w:ascii="方正小标宋简体" w:eastAsia="方正小标宋简体"/>
          <w:spacing w:val="157"/>
          <w:kern w:val="0"/>
          <w:sz w:val="100"/>
          <w:szCs w:val="100"/>
        </w:rPr>
      </w:pPr>
      <w:r>
        <w:rPr>
          <w:rFonts w:hint="eastAsia" w:ascii="方正小标宋简体" w:eastAsia="方正小标宋简体"/>
          <w:spacing w:val="157"/>
          <w:kern w:val="0"/>
          <w:sz w:val="100"/>
          <w:szCs w:val="100"/>
        </w:rPr>
        <w:t>采</w:t>
      </w:r>
    </w:p>
    <w:p>
      <w:pPr>
        <w:spacing w:line="240" w:lineRule="auto"/>
        <w:jc w:val="center"/>
        <w:rPr>
          <w:rFonts w:hint="eastAsia" w:ascii="方正小标宋简体" w:eastAsia="方正小标宋简体"/>
          <w:spacing w:val="157"/>
          <w:kern w:val="0"/>
          <w:sz w:val="100"/>
          <w:szCs w:val="100"/>
        </w:rPr>
      </w:pPr>
      <w:r>
        <w:rPr>
          <w:rFonts w:hint="eastAsia" w:ascii="方正小标宋简体" w:eastAsia="方正小标宋简体"/>
          <w:spacing w:val="157"/>
          <w:kern w:val="0"/>
          <w:sz w:val="100"/>
          <w:szCs w:val="100"/>
        </w:rPr>
        <w:t>购</w:t>
      </w:r>
    </w:p>
    <w:p>
      <w:pPr>
        <w:spacing w:line="240" w:lineRule="auto"/>
        <w:jc w:val="center"/>
        <w:rPr>
          <w:rFonts w:hint="eastAsia" w:ascii="方正小标宋简体" w:eastAsia="方正小标宋简体"/>
          <w:spacing w:val="157"/>
          <w:kern w:val="0"/>
          <w:sz w:val="100"/>
          <w:szCs w:val="100"/>
        </w:rPr>
      </w:pPr>
      <w:r>
        <w:rPr>
          <w:rFonts w:hint="eastAsia" w:ascii="方正小标宋简体" w:eastAsia="方正小标宋简体"/>
          <w:spacing w:val="157"/>
          <w:kern w:val="0"/>
          <w:sz w:val="100"/>
          <w:szCs w:val="100"/>
        </w:rPr>
        <w:t>文</w:t>
      </w:r>
    </w:p>
    <w:p>
      <w:pPr>
        <w:spacing w:line="240" w:lineRule="auto"/>
        <w:jc w:val="center"/>
        <w:rPr>
          <w:rFonts w:hint="eastAsia" w:ascii="方正小标宋简体" w:eastAsia="方正小标宋简体"/>
          <w:sz w:val="84"/>
          <w:szCs w:val="84"/>
        </w:rPr>
      </w:pPr>
      <w:r>
        <w:rPr>
          <w:rFonts w:hint="eastAsia" w:ascii="方正小标宋简体" w:eastAsia="方正小标宋简体"/>
          <w:spacing w:val="157"/>
          <w:kern w:val="0"/>
          <w:sz w:val="100"/>
          <w:szCs w:val="100"/>
        </w:rPr>
        <w:t>件</w:t>
      </w:r>
    </w:p>
    <w:p>
      <w:pPr>
        <w:spacing w:line="514" w:lineRule="exact"/>
        <w:rPr>
          <w:rFonts w:hint="eastAsia" w:eastAsia="黑体" w:cs="黑体"/>
          <w:szCs w:val="32"/>
        </w:rPr>
      </w:pPr>
      <w:r>
        <w:rPr>
          <w:rFonts w:ascii="宋体" w:hAnsi="宋体" w:eastAsia="宋体"/>
          <w:b/>
          <w:color w:val="000000"/>
          <w:sz w:val="24"/>
        </w:rPr>
        <w:br w:type="page"/>
      </w:r>
      <w:bookmarkEnd w:id="0"/>
      <w:bookmarkEnd w:id="1"/>
      <w:r>
        <w:rPr>
          <w:rFonts w:hint="eastAsia" w:ascii="宋体" w:hAnsi="宋体" w:eastAsia="宋体"/>
          <w:b/>
          <w:color w:val="000000"/>
          <w:sz w:val="24"/>
        </w:rPr>
        <w:t xml:space="preserve"> </w:t>
      </w:r>
      <w:r>
        <w:rPr>
          <w:rFonts w:hint="eastAsia" w:eastAsia="黑体" w:cs="黑体"/>
          <w:b/>
          <w:color w:val="000000"/>
          <w:sz w:val="24"/>
        </w:rPr>
        <w:t xml:space="preserve"> </w:t>
      </w:r>
      <w:r>
        <w:rPr>
          <w:rFonts w:hint="eastAsia" w:eastAsia="黑体" w:cs="黑体"/>
          <w:szCs w:val="32"/>
        </w:rPr>
        <w:t>一、项目说明</w:t>
      </w:r>
    </w:p>
    <w:p>
      <w:pPr>
        <w:spacing w:line="514" w:lineRule="exact"/>
        <w:ind w:firstLine="643" w:firstLineChars="200"/>
        <w:rPr>
          <w:rFonts w:hint="eastAsia" w:ascii="仿宋" w:hAnsi="仿宋" w:eastAsia="仿宋" w:cs="仿宋_GB2312"/>
          <w:szCs w:val="32"/>
        </w:rPr>
      </w:pPr>
      <w:r>
        <w:rPr>
          <w:rFonts w:hint="eastAsia" w:ascii="楷体" w:hAnsi="楷体" w:eastAsia="楷体" w:cs="楷体"/>
          <w:b/>
          <w:bCs/>
          <w:szCs w:val="32"/>
        </w:rPr>
        <w:t>（一）项目名称：</w:t>
      </w:r>
      <w:r>
        <w:rPr>
          <w:rFonts w:hint="eastAsia" w:ascii="仿宋" w:hAnsi="仿宋" w:eastAsia="仿宋" w:cs="仿宋_GB2312"/>
          <w:szCs w:val="32"/>
        </w:rPr>
        <w:t>202</w:t>
      </w:r>
      <w:r>
        <w:rPr>
          <w:rFonts w:ascii="仿宋" w:hAnsi="仿宋" w:eastAsia="仿宋" w:cs="仿宋_GB2312"/>
          <w:szCs w:val="32"/>
        </w:rPr>
        <w:t>4</w:t>
      </w:r>
      <w:r>
        <w:rPr>
          <w:rFonts w:hint="eastAsia" w:ascii="仿宋" w:hAnsi="仿宋" w:eastAsia="仿宋" w:cs="仿宋_GB2312"/>
          <w:szCs w:val="32"/>
        </w:rPr>
        <w:t>年福建省</w:t>
      </w:r>
      <w:r>
        <w:rPr>
          <w:rFonts w:hint="eastAsia" w:ascii="仿宋" w:hAnsi="仿宋" w:eastAsia="仿宋" w:cs="微软雅黑"/>
          <w:szCs w:val="32"/>
        </w:rPr>
        <w:t>地</w:t>
      </w:r>
      <w:r>
        <w:rPr>
          <w:rFonts w:hint="eastAsia" w:ascii="仿宋" w:hAnsi="仿宋" w:eastAsia="仿宋" w:cs="___WRD_EMBED_SUB_45"/>
          <w:szCs w:val="32"/>
        </w:rPr>
        <w:t>理</w:t>
      </w:r>
      <w:r>
        <w:rPr>
          <w:rFonts w:hint="eastAsia" w:ascii="仿宋" w:hAnsi="仿宋" w:eastAsia="仿宋" w:cs="仿宋_GB2312"/>
          <w:szCs w:val="32"/>
        </w:rPr>
        <w:t>标</w:t>
      </w:r>
      <w:r>
        <w:rPr>
          <w:rFonts w:hint="eastAsia" w:ascii="仿宋" w:hAnsi="仿宋" w:eastAsia="仿宋" w:cs="微软雅黑"/>
          <w:szCs w:val="32"/>
        </w:rPr>
        <w:t>志产业发展研究</w:t>
      </w:r>
      <w:r>
        <w:rPr>
          <w:rFonts w:hint="eastAsia" w:ascii="仿宋" w:hAnsi="仿宋" w:eastAsia="仿宋" w:cs="仿宋_GB2312"/>
          <w:szCs w:val="32"/>
        </w:rPr>
        <w:t>服务项目</w:t>
      </w:r>
    </w:p>
    <w:p>
      <w:pPr>
        <w:spacing w:line="514" w:lineRule="exact"/>
        <w:ind w:firstLine="643" w:firstLineChars="200"/>
        <w:rPr>
          <w:rFonts w:hint="eastAsia" w:ascii="楷体" w:hAnsi="楷体" w:eastAsia="楷体" w:cs="楷体"/>
          <w:b/>
          <w:bCs/>
          <w:szCs w:val="32"/>
        </w:rPr>
      </w:pPr>
      <w:bookmarkStart w:id="2" w:name="_Toc498001358"/>
      <w:bookmarkStart w:id="3" w:name="_Toc498001259"/>
      <w:r>
        <w:rPr>
          <w:rFonts w:hint="eastAsia" w:ascii="楷体" w:hAnsi="楷体" w:eastAsia="楷体" w:cs="楷体"/>
          <w:b/>
          <w:bCs/>
          <w:szCs w:val="32"/>
        </w:rPr>
        <w:t>（二）资格要求</w:t>
      </w:r>
      <w:bookmarkEnd w:id="2"/>
      <w:bookmarkEnd w:id="3"/>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1.供应商应具备下列资格条件，并提供证明材料（包括但不限于）：</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（1）依法登记具有独立法人资格的社会组织、企业和事业单位（提供相应登记证书副本复印件，提供法人或者营业执照，自然人身份证）。</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（2）具有良好的商业信誉和健全的财务会计制度（提供参加本次采购活动上一年度或上一季度财务报告复印件，至少包括“</w:t>
      </w:r>
      <w:r>
        <w:rPr>
          <w:rFonts w:ascii="仿宋" w:hAnsi="仿宋" w:eastAsia="仿宋" w:cs="仿宋_GB2312"/>
          <w:szCs w:val="32"/>
        </w:rPr>
        <w:t>包括资产负</w:t>
      </w:r>
      <w:r>
        <w:rPr>
          <w:rFonts w:hint="eastAsia" w:ascii="仿宋" w:hAnsi="仿宋" w:eastAsia="仿宋" w:cs="仿宋_GB2312"/>
          <w:szCs w:val="32"/>
        </w:rPr>
        <w:t>债表、利润表、现金流量表、所有者权益变动表（若有）及其附注（</w:t>
      </w:r>
      <w:r>
        <w:rPr>
          <w:rFonts w:ascii="仿宋" w:hAnsi="仿宋" w:eastAsia="仿宋" w:cs="仿宋_GB2312"/>
          <w:szCs w:val="32"/>
        </w:rPr>
        <w:t>若有）</w:t>
      </w:r>
      <w:r>
        <w:rPr>
          <w:rFonts w:hint="eastAsia" w:ascii="仿宋" w:hAnsi="仿宋" w:eastAsia="仿宋" w:cs="仿宋_GB2312"/>
          <w:szCs w:val="32"/>
        </w:rPr>
        <w:t>”）。</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（3）具有履行合同所必需的设备和专业技术能力（根据项目需求提供履行合同所必需的设备和专业技术能力的声明及证明材料）。</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（4）有依法缴纳税收和社会保障资金的良好记录（提供参加本次政府采购活动前一年内任一个月的依法缴纳税收和社会保障资金的相关材料）。</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（5）参加采购活动前一年内，在经营活动中没有重大违法记录（提供参加本次采购活动前</w:t>
      </w:r>
      <w:r>
        <w:rPr>
          <w:rFonts w:ascii="仿宋" w:hAnsi="仿宋" w:eastAsia="仿宋" w:cs="仿宋_GB2312"/>
          <w:szCs w:val="32"/>
        </w:rPr>
        <w:t>1</w:t>
      </w:r>
      <w:r>
        <w:rPr>
          <w:rFonts w:hint="eastAsia" w:ascii="仿宋" w:hAnsi="仿宋" w:eastAsia="仿宋" w:cs="仿宋_GB2312"/>
          <w:szCs w:val="32"/>
        </w:rPr>
        <w:t>年内在经营活动中没有违法记录的书面声明）。</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（6）法律、行政法规规定的其他条件（提供项目实施所必须的许可资质证明材料）。</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2.本项目不接受下列供应商：</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（1）联合体形式的供应商。</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（2）供应商被“信用中国”网站（www.creditchina.gov.cn）、“中国政府采购网”(www.ccgp.gov.cn)列入失信被执行人、重大税收违法案件当事人名单、政府采购严重违法失信行为记录名单。</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（3）供应商存在其它失信情况的。</w:t>
      </w:r>
    </w:p>
    <w:p>
      <w:pPr>
        <w:spacing w:line="514" w:lineRule="exact"/>
        <w:ind w:firstLine="643" w:firstLineChars="200"/>
        <w:rPr>
          <w:rFonts w:hint="eastAsia" w:ascii="楷体" w:hAnsi="楷体" w:eastAsia="楷体" w:cs="楷体"/>
          <w:b/>
          <w:bCs/>
          <w:szCs w:val="32"/>
        </w:rPr>
      </w:pPr>
      <w:bookmarkStart w:id="4" w:name="_Toc498001359"/>
      <w:bookmarkStart w:id="5" w:name="_Toc498001260"/>
      <w:r>
        <w:rPr>
          <w:rFonts w:hint="eastAsia" w:ascii="楷体" w:hAnsi="楷体" w:eastAsia="楷体" w:cs="楷体"/>
          <w:b/>
          <w:bCs/>
          <w:szCs w:val="32"/>
        </w:rPr>
        <w:t>（三）投标须知</w:t>
      </w:r>
      <w:bookmarkEnd w:id="4"/>
      <w:bookmarkEnd w:id="5"/>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1.各供应商填列价格以人民币为单位，须包括完成本项目所涉及的一切费用。</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2.</w:t>
      </w:r>
      <w:bookmarkStart w:id="6" w:name="_Toc498001360"/>
      <w:bookmarkStart w:id="7" w:name="_Toc498001261"/>
      <w:r>
        <w:rPr>
          <w:rFonts w:hint="eastAsia" w:ascii="仿宋" w:hAnsi="仿宋" w:eastAsia="仿宋" w:cs="仿宋_GB2312"/>
          <w:szCs w:val="32"/>
        </w:rPr>
        <w:t>本项目最高限价</w:t>
      </w:r>
      <w:r>
        <w:rPr>
          <w:rFonts w:ascii="仿宋" w:hAnsi="仿宋" w:eastAsia="仿宋" w:cs="仿宋_GB2312"/>
          <w:szCs w:val="32"/>
        </w:rPr>
        <w:t>48</w:t>
      </w:r>
      <w:r>
        <w:rPr>
          <w:rFonts w:hint="eastAsia" w:ascii="仿宋" w:hAnsi="仿宋" w:eastAsia="仿宋" w:cs="仿宋_GB2312"/>
          <w:szCs w:val="32"/>
        </w:rPr>
        <w:t>万元。</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3.按综合评标法评定。</w:t>
      </w:r>
    </w:p>
    <w:p>
      <w:pPr>
        <w:spacing w:line="514" w:lineRule="exact"/>
        <w:ind w:firstLine="643" w:firstLineChars="200"/>
        <w:rPr>
          <w:rFonts w:hint="eastAsia" w:ascii="仿宋_GB2312" w:hAnsi="仿宋_GB2312" w:eastAsia="仿宋_GB2312" w:cs="仿宋_GB2312"/>
          <w:szCs w:val="32"/>
        </w:rPr>
      </w:pPr>
      <w:r>
        <w:rPr>
          <w:rFonts w:hint="eastAsia" w:ascii="楷体" w:hAnsi="楷体" w:eastAsia="楷体" w:cs="楷体"/>
          <w:b/>
          <w:bCs/>
          <w:szCs w:val="32"/>
        </w:rPr>
        <w:t>（四）投标</w:t>
      </w:r>
      <w:bookmarkEnd w:id="6"/>
      <w:bookmarkEnd w:id="7"/>
      <w:r>
        <w:rPr>
          <w:rFonts w:hint="eastAsia" w:ascii="楷体" w:hAnsi="楷体" w:eastAsia="楷体" w:cs="楷体"/>
          <w:b/>
          <w:bCs/>
          <w:szCs w:val="32"/>
        </w:rPr>
        <w:t>要求</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供应商应仔细阅读的本项目说明及要求的所有内容，按照要求提交响应文件。响应文件应对本项目的要求做出实质性响应，并对所提供的证明或佐证材料真实性负责，提供虚假材料谋取成交的其报价无效。响应文件应当包括但不限于以下内容：</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1.商务文件：</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（1）有关承诺函；</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（2）报价单；</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（3）营业执照(法人证书)复印件；</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（4）法定代表人授权委托书；</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（5）法定代表人有效身份证复印件；</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（6）委托代理人有效身份证复印件（若有）；</w:t>
      </w:r>
    </w:p>
    <w:p>
      <w:pPr>
        <w:spacing w:line="514" w:lineRule="exact"/>
        <w:ind w:firstLine="640" w:firstLineChars="200"/>
        <w:rPr>
          <w:rFonts w:hint="eastAsia" w:ascii="仿宋" w:hAnsi="仿宋" w:eastAsia="仿宋" w:cs="仿宋_GB2312"/>
          <w:szCs w:val="32"/>
        </w:rPr>
      </w:pPr>
      <w:bookmarkStart w:id="8" w:name="_Hlk160823965"/>
      <w:r>
        <w:rPr>
          <w:rFonts w:hint="eastAsia" w:ascii="仿宋" w:hAnsi="仿宋" w:eastAsia="仿宋" w:cs="仿宋_GB2312"/>
          <w:szCs w:val="32"/>
        </w:rPr>
        <w:t>（7）信用、财务状况报告、纳税、社保等良好记录相关材料以及</w:t>
      </w:r>
      <w:bookmarkEnd w:id="8"/>
      <w:r>
        <w:rPr>
          <w:rFonts w:hint="eastAsia" w:ascii="仿宋" w:hAnsi="仿宋" w:eastAsia="仿宋" w:cs="仿宋_GB2312"/>
          <w:szCs w:val="32"/>
        </w:rPr>
        <w:t>履行合同所必须的设备和专业技术能力等证明材料。</w:t>
      </w:r>
    </w:p>
    <w:p>
      <w:pPr>
        <w:spacing w:line="514" w:lineRule="exact"/>
        <w:ind w:firstLine="640" w:firstLineChars="200"/>
        <w:rPr>
          <w:rFonts w:ascii="仿宋" w:hAnsi="仿宋" w:eastAsia="仿宋" w:cs="仿宋_GB2312"/>
          <w:szCs w:val="32"/>
        </w:rPr>
      </w:pPr>
      <w:r>
        <w:rPr>
          <w:rFonts w:hint="eastAsia" w:ascii="仿宋" w:hAnsi="仿宋" w:eastAsia="仿宋" w:cs="仿宋_GB2312"/>
          <w:szCs w:val="32"/>
        </w:rPr>
        <w:t>2.技术文件：</w:t>
      </w:r>
    </w:p>
    <w:p>
      <w:pPr>
        <w:spacing w:line="514" w:lineRule="exact"/>
        <w:ind w:firstLine="640" w:firstLineChars="200"/>
        <w:rPr>
          <w:rFonts w:ascii="仿宋" w:hAnsi="仿宋" w:eastAsia="仿宋" w:cs="仿宋_GB2312"/>
          <w:szCs w:val="32"/>
        </w:rPr>
      </w:pPr>
      <w:r>
        <w:rPr>
          <w:rFonts w:hint="eastAsia" w:ascii="仿宋" w:hAnsi="仿宋" w:eastAsia="仿宋" w:cs="仿宋_GB2312"/>
          <w:szCs w:val="32"/>
        </w:rPr>
        <w:t>（1）提交项目整体服务方案和项目实施计划，对本采购文件“项目技术要求”进行回应。</w:t>
      </w:r>
    </w:p>
    <w:p>
      <w:pPr>
        <w:spacing w:line="514" w:lineRule="exact"/>
        <w:ind w:firstLine="640" w:firstLineChars="200"/>
        <w:rPr>
          <w:rFonts w:hint="eastAsia" w:ascii="仿宋" w:hAnsi="仿宋" w:eastAsia="仿宋" w:cs="微软雅黑"/>
          <w:szCs w:val="32"/>
        </w:rPr>
      </w:pPr>
      <w:r>
        <w:rPr>
          <w:rFonts w:hint="eastAsia" w:ascii="仿宋" w:hAnsi="仿宋" w:eastAsia="仿宋" w:cs="微软雅黑"/>
          <w:szCs w:val="32"/>
        </w:rPr>
        <w:t>（2）供应商认为应提交的其他文件。</w:t>
      </w:r>
    </w:p>
    <w:p>
      <w:pPr>
        <w:spacing w:line="514" w:lineRule="exact"/>
        <w:ind w:firstLine="640" w:firstLineChars="200"/>
        <w:rPr>
          <w:rFonts w:hint="eastAsia" w:ascii="仿宋_GB2312" w:hAnsi="仿宋_GB2312" w:eastAsia="仿宋_GB2312" w:cs="仿宋_GB2312"/>
          <w:szCs w:val="32"/>
        </w:rPr>
        <w:sectPr>
          <w:footerReference r:id="rId5" w:type="default"/>
          <w:pgSz w:w="16838" w:h="11906" w:orient="landscape"/>
          <w:pgMar w:top="1418" w:right="1985" w:bottom="1418" w:left="1418" w:header="850" w:footer="850" w:gutter="0"/>
          <w:cols w:space="720" w:num="1"/>
          <w:titlePg/>
          <w:docGrid w:linePitch="435" w:charSpace="0"/>
        </w:sectPr>
      </w:pPr>
    </w:p>
    <w:p>
      <w:pPr>
        <w:spacing w:line="514" w:lineRule="exact"/>
        <w:ind w:firstLine="640" w:firstLineChars="200"/>
        <w:rPr>
          <w:rFonts w:hint="eastAsia" w:eastAsia="黑体" w:cs="黑体"/>
          <w:szCs w:val="32"/>
        </w:rPr>
      </w:pPr>
      <w:bookmarkStart w:id="9" w:name="_Toc498001263"/>
      <w:bookmarkStart w:id="10" w:name="_Toc498001362"/>
      <w:r>
        <w:rPr>
          <w:rFonts w:hint="eastAsia" w:eastAsia="黑体" w:cs="黑体"/>
          <w:szCs w:val="32"/>
        </w:rPr>
        <w:t>二、项目内容及具体要求</w:t>
      </w:r>
      <w:bookmarkEnd w:id="9"/>
      <w:bookmarkEnd w:id="10"/>
    </w:p>
    <w:p>
      <w:pPr>
        <w:spacing w:line="514" w:lineRule="exact"/>
        <w:ind w:firstLine="643" w:firstLineChars="200"/>
        <w:rPr>
          <w:rFonts w:ascii="楷体" w:hAnsi="楷体" w:eastAsia="楷体" w:cs="楷体"/>
          <w:b/>
          <w:bCs/>
          <w:szCs w:val="32"/>
        </w:rPr>
      </w:pPr>
      <w:bookmarkStart w:id="11" w:name="_Toc333485789"/>
      <w:bookmarkStart w:id="12" w:name="_Toc378522713"/>
      <w:bookmarkStart w:id="13" w:name="_Toc328999466"/>
      <w:bookmarkStart w:id="14" w:name="_Toc333485787"/>
      <w:bookmarkStart w:id="15" w:name="_Toc498001363"/>
      <w:bookmarkStart w:id="16" w:name="_Toc325446792"/>
      <w:bookmarkStart w:id="17" w:name="_Toc366651469"/>
      <w:bookmarkStart w:id="18" w:name="_Toc455746732"/>
      <w:bookmarkStart w:id="19" w:name="_Toc326331734"/>
      <w:bookmarkStart w:id="20" w:name="_Toc325446794"/>
      <w:bookmarkStart w:id="21" w:name="_Toc326331732"/>
      <w:bookmarkStart w:id="22" w:name="_Toc366651467"/>
      <w:bookmarkStart w:id="23" w:name="_Toc330549052"/>
      <w:bookmarkStart w:id="24" w:name="_Toc330549050"/>
      <w:bookmarkStart w:id="25" w:name="_Toc330451571"/>
      <w:bookmarkStart w:id="26" w:name="_Toc332898723"/>
      <w:bookmarkStart w:id="27" w:name="_Toc337546423"/>
      <w:bookmarkStart w:id="28" w:name="_Toc386100207"/>
      <w:bookmarkStart w:id="29" w:name="_Toc375925092"/>
      <w:bookmarkStart w:id="30" w:name="_Toc347903956"/>
      <w:bookmarkStart w:id="31" w:name="_Toc320803478"/>
      <w:bookmarkStart w:id="32" w:name="_Toc498001264"/>
      <w:bookmarkStart w:id="33" w:name="_Toc325981871"/>
      <w:r>
        <w:rPr>
          <w:rFonts w:hint="eastAsia" w:ascii="楷体" w:hAnsi="楷体" w:eastAsia="楷体" w:cs="楷体"/>
          <w:b/>
          <w:bCs/>
          <w:szCs w:val="32"/>
        </w:rPr>
        <w:t>（一）项目概述</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Start w:id="34" w:name="_Toc498001265"/>
      <w:bookmarkStart w:id="35" w:name="_Toc498001364"/>
      <w:bookmarkStart w:id="36" w:name="_Toc351982587"/>
      <w:bookmarkStart w:id="37" w:name="_Toc362425411"/>
      <w:bookmarkStart w:id="38" w:name="_Toc363110617"/>
    </w:p>
    <w:p>
      <w:pPr>
        <w:spacing w:line="514" w:lineRule="exact"/>
        <w:ind w:firstLine="640" w:firstLineChars="200"/>
        <w:rPr>
          <w:rFonts w:ascii="仿宋" w:hAnsi="仿宋" w:eastAsia="仿宋" w:cs="微软雅黑"/>
          <w:szCs w:val="32"/>
        </w:rPr>
      </w:pPr>
      <w:r>
        <w:rPr>
          <w:rFonts w:hint="eastAsia" w:ascii="仿宋" w:hAnsi="仿宋" w:eastAsia="仿宋" w:cs="微软雅黑"/>
          <w:szCs w:val="32"/>
        </w:rPr>
        <w:t>地理标志产业高质量发展不仅能够促进农业结构的转型升级，还能带动就业和促进地方特色经济发展，助力乡村振兴，实现可持续发展。福建省是地理标志大省，地理标志商标总数位居全国第二，累计获批使用地理标志专用标志总数居全国第一位。地理标志产业在促进福建经济社会高质量发展、助力乡村振兴方面发挥了积极作用。福建省市场监督管理局为更好地掌握地理标志产业发展现状，了解地理标志产业在促进地方经济发展和助力乡村振兴方面的作用，拟对全省地理标志产业进行全面调查，发现地理标志产业的特色亮点和存在问题，以便为将来出台相关政策提供依据，更好地促进地理标志产业高质量发展，为福建省经济社会高质量发展作出贡献。</w:t>
      </w:r>
    </w:p>
    <w:p>
      <w:pPr>
        <w:spacing w:line="514" w:lineRule="exact"/>
        <w:ind w:firstLine="643" w:firstLineChars="200"/>
        <w:rPr>
          <w:rFonts w:hint="eastAsia" w:ascii="楷体" w:hAnsi="楷体" w:eastAsia="楷体" w:cs="楷体"/>
          <w:b/>
          <w:bCs/>
          <w:szCs w:val="32"/>
        </w:rPr>
      </w:pPr>
      <w:r>
        <w:rPr>
          <w:rFonts w:hint="eastAsia" w:ascii="楷体" w:hAnsi="楷体" w:eastAsia="楷体" w:cs="楷体"/>
          <w:b/>
          <w:bCs/>
          <w:szCs w:val="32"/>
        </w:rPr>
        <w:t>（二）项目技术要求</w:t>
      </w:r>
      <w:bookmarkEnd w:id="34"/>
      <w:bookmarkEnd w:id="35"/>
    </w:p>
    <w:p>
      <w:pPr>
        <w:spacing w:line="514" w:lineRule="exact"/>
        <w:ind w:firstLine="640" w:firstLineChars="200"/>
        <w:rPr>
          <w:rFonts w:ascii="仿宋" w:hAnsi="仿宋" w:eastAsia="仿宋" w:cs="微软雅黑"/>
          <w:szCs w:val="32"/>
        </w:rPr>
      </w:pPr>
      <w:bookmarkStart w:id="39" w:name="_Hlk161002655"/>
      <w:r>
        <w:rPr>
          <w:rFonts w:hint="eastAsia" w:ascii="仿宋" w:hAnsi="仿宋" w:eastAsia="仿宋" w:cs="仿宋_GB2312"/>
          <w:szCs w:val="32"/>
        </w:rPr>
        <w:t>1.调研福建省地理标志产业。</w:t>
      </w:r>
      <w:bookmarkEnd w:id="39"/>
      <w:r>
        <w:rPr>
          <w:rFonts w:hint="eastAsia" w:ascii="仿宋" w:hAnsi="仿宋" w:eastAsia="仿宋" w:cs="微软雅黑"/>
          <w:szCs w:val="32"/>
        </w:rPr>
        <w:t>对福建省各设区市和</w:t>
      </w:r>
      <w:r>
        <w:rPr>
          <w:rFonts w:hint="eastAsia" w:ascii="仿宋" w:hAnsi="仿宋" w:eastAsia="仿宋" w:cs="微软雅黑"/>
          <w:szCs w:val="32"/>
          <w:lang w:eastAsia="zh-CN"/>
        </w:rPr>
        <w:t>平潭综合实验区</w:t>
      </w:r>
      <w:r>
        <w:rPr>
          <w:rFonts w:hint="eastAsia" w:ascii="仿宋" w:hAnsi="仿宋" w:eastAsia="仿宋" w:cs="微软雅黑"/>
          <w:szCs w:val="32"/>
        </w:rPr>
        <w:t>、全部县（市、区）地理标志产业进行实地调研和问卷调研，了解各设区市和</w:t>
      </w:r>
      <w:r>
        <w:rPr>
          <w:rFonts w:hint="eastAsia" w:ascii="仿宋" w:hAnsi="仿宋" w:eastAsia="仿宋" w:cs="微软雅黑"/>
          <w:szCs w:val="32"/>
          <w:lang w:eastAsia="zh-CN"/>
        </w:rPr>
        <w:t>平潭综合实验区</w:t>
      </w:r>
      <w:r>
        <w:rPr>
          <w:rFonts w:hint="eastAsia" w:ascii="仿宋" w:hAnsi="仿宋" w:eastAsia="仿宋" w:cs="微软雅黑"/>
          <w:szCs w:val="32"/>
        </w:rPr>
        <w:t>、全部县（市、区）地理标志产业发展情况</w:t>
      </w:r>
      <w:r>
        <w:rPr>
          <w:rFonts w:ascii="仿宋" w:hAnsi="仿宋" w:eastAsia="仿宋" w:cs="微软雅黑"/>
          <w:szCs w:val="32"/>
        </w:rPr>
        <w:t>。</w:t>
      </w:r>
      <w:r>
        <w:rPr>
          <w:rFonts w:hint="eastAsia" w:ascii="仿宋" w:hAnsi="仿宋" w:eastAsia="仿宋" w:cs="微软雅黑"/>
          <w:szCs w:val="32"/>
        </w:rPr>
        <w:t>各设区市至少实地调研3个以上县（市、区）。</w:t>
      </w:r>
    </w:p>
    <w:p>
      <w:pPr>
        <w:spacing w:line="514" w:lineRule="exact"/>
        <w:ind w:firstLine="640" w:firstLineChars="200"/>
        <w:rPr>
          <w:rFonts w:ascii="仿宋" w:hAnsi="仿宋" w:eastAsia="仿宋" w:cs="微软雅黑"/>
          <w:szCs w:val="32"/>
        </w:rPr>
      </w:pPr>
      <w:r>
        <w:rPr>
          <w:rFonts w:hint="eastAsia" w:ascii="仿宋" w:hAnsi="仿宋" w:eastAsia="仿宋" w:cs="仿宋_GB2312"/>
          <w:szCs w:val="32"/>
        </w:rPr>
        <w:t>2.搜集</w:t>
      </w:r>
      <w:r>
        <w:rPr>
          <w:rFonts w:hint="eastAsia" w:ascii="仿宋" w:hAnsi="仿宋" w:eastAsia="仿宋" w:cs="微软雅黑"/>
          <w:szCs w:val="32"/>
        </w:rPr>
        <w:t>2</w:t>
      </w:r>
      <w:r>
        <w:rPr>
          <w:rFonts w:ascii="仿宋" w:hAnsi="仿宋" w:eastAsia="仿宋" w:cs="微软雅黑"/>
          <w:szCs w:val="32"/>
        </w:rPr>
        <w:t>-3</w:t>
      </w:r>
      <w:r>
        <w:rPr>
          <w:rFonts w:hint="eastAsia" w:ascii="仿宋" w:hAnsi="仿宋" w:eastAsia="仿宋" w:cs="微软雅黑"/>
          <w:szCs w:val="32"/>
        </w:rPr>
        <w:t>个国内地理标志强省的地理标志产业发展资料。</w:t>
      </w:r>
    </w:p>
    <w:p>
      <w:pPr>
        <w:spacing w:line="514" w:lineRule="exact"/>
        <w:ind w:firstLine="640" w:firstLineChars="200"/>
        <w:rPr>
          <w:rFonts w:hint="eastAsia" w:ascii="仿宋" w:hAnsi="仿宋" w:eastAsia="仿宋" w:cs="仿宋_GB2312"/>
          <w:szCs w:val="32"/>
        </w:rPr>
      </w:pPr>
      <w:r>
        <w:rPr>
          <w:rFonts w:hint="eastAsia" w:ascii="仿宋" w:hAnsi="仿宋" w:eastAsia="仿宋" w:cs="微软雅黑"/>
          <w:szCs w:val="32"/>
        </w:rPr>
        <w:t xml:space="preserve">3.搜集国外地理标志产业发展文献。 </w:t>
      </w:r>
    </w:p>
    <w:p>
      <w:pPr>
        <w:spacing w:line="514" w:lineRule="exact"/>
        <w:ind w:firstLine="640" w:firstLineChars="200"/>
        <w:rPr>
          <w:rFonts w:ascii="仿宋" w:hAnsi="仿宋" w:eastAsia="仿宋" w:cs="微软雅黑"/>
          <w:szCs w:val="32"/>
        </w:rPr>
      </w:pPr>
      <w:bookmarkStart w:id="40" w:name="_Hlk159514285"/>
      <w:r>
        <w:rPr>
          <w:rFonts w:hint="eastAsia" w:ascii="仿宋" w:hAnsi="仿宋" w:eastAsia="仿宋" w:cs="仿宋_GB2312"/>
          <w:szCs w:val="32"/>
        </w:rPr>
        <w:t>4.分析研究</w:t>
      </w:r>
      <w:r>
        <w:rPr>
          <w:rFonts w:hint="eastAsia" w:ascii="仿宋" w:hAnsi="仿宋" w:eastAsia="仿宋" w:cs="微软雅黑"/>
          <w:szCs w:val="32"/>
        </w:rPr>
        <w:t>福建省地理标志产业。</w:t>
      </w:r>
      <w:bookmarkEnd w:id="40"/>
      <w:r>
        <w:rPr>
          <w:rFonts w:hint="eastAsia" w:ascii="仿宋" w:hAnsi="仿宋" w:eastAsia="仿宋" w:cs="微软雅黑"/>
          <w:szCs w:val="32"/>
        </w:rPr>
        <w:t>分析福建省地理标志产业发展现状、特色亮点、存在问题。</w:t>
      </w:r>
    </w:p>
    <w:p>
      <w:pPr>
        <w:spacing w:line="514" w:lineRule="exact"/>
        <w:ind w:firstLine="640" w:firstLineChars="200"/>
        <w:rPr>
          <w:rFonts w:hint="eastAsia" w:ascii="仿宋" w:hAnsi="仿宋" w:eastAsia="仿宋" w:cs="仿宋_GB2312"/>
          <w:szCs w:val="32"/>
        </w:rPr>
      </w:pPr>
      <w:r>
        <w:rPr>
          <w:rFonts w:hint="eastAsia" w:ascii="仿宋" w:hAnsi="仿宋" w:eastAsia="仿宋" w:cs="微软雅黑"/>
          <w:szCs w:val="32"/>
        </w:rPr>
        <w:t>5.绘制福建省地理标志产业地图。</w:t>
      </w:r>
    </w:p>
    <w:p>
      <w:pPr>
        <w:spacing w:line="514" w:lineRule="exact"/>
        <w:ind w:firstLine="640" w:firstLineChars="200"/>
        <w:rPr>
          <w:rFonts w:ascii="仿宋" w:hAnsi="仿宋" w:eastAsia="仿宋" w:cs="微软雅黑"/>
          <w:szCs w:val="32"/>
        </w:rPr>
      </w:pPr>
      <w:bookmarkStart w:id="41" w:name="_Toc498001367"/>
      <w:bookmarkStart w:id="42" w:name="_Toc498001268"/>
      <w:bookmarkStart w:id="43" w:name="_Toc455746740"/>
      <w:bookmarkStart w:id="44" w:name="_Toc419485050"/>
      <w:bookmarkStart w:id="45" w:name="_Toc347060298"/>
      <w:bookmarkStart w:id="46" w:name="_Toc346300369"/>
      <w:bookmarkStart w:id="47" w:name="_Toc351968248"/>
      <w:bookmarkStart w:id="48" w:name="_Toc430180165"/>
      <w:bookmarkStart w:id="49" w:name="_Toc330567036"/>
      <w:bookmarkStart w:id="50" w:name="_Toc450320511"/>
      <w:bookmarkStart w:id="51" w:name="_Toc421023428"/>
      <w:r>
        <w:rPr>
          <w:rFonts w:hint="eastAsia" w:ascii="仿宋" w:hAnsi="仿宋" w:eastAsia="仿宋" w:cs="微软雅黑"/>
          <w:szCs w:val="32"/>
        </w:rPr>
        <w:t xml:space="preserve">6.分析研究福建省地理标志重点产业。分析福建省种植业、养殖业、加工业、茶产业地理标志产业发展现状、特色亮点、存在问题，提出相应对策建议。 </w:t>
      </w:r>
    </w:p>
    <w:p>
      <w:pPr>
        <w:spacing w:line="514" w:lineRule="exact"/>
        <w:ind w:firstLine="640" w:firstLineChars="200"/>
        <w:rPr>
          <w:rFonts w:ascii="仿宋" w:hAnsi="仿宋" w:eastAsia="仿宋" w:cs="微软雅黑"/>
          <w:szCs w:val="32"/>
        </w:rPr>
      </w:pPr>
      <w:bookmarkStart w:id="52" w:name="_Hlk159514623"/>
      <w:r>
        <w:rPr>
          <w:rFonts w:hint="eastAsia" w:ascii="仿宋" w:hAnsi="仿宋" w:eastAsia="仿宋" w:cs="微软雅黑"/>
          <w:szCs w:val="32"/>
        </w:rPr>
        <w:t>7.分析研究福建省各设区市地理标志产业。</w:t>
      </w:r>
      <w:bookmarkEnd w:id="52"/>
      <w:r>
        <w:rPr>
          <w:rFonts w:hint="eastAsia" w:ascii="仿宋" w:hAnsi="仿宋" w:eastAsia="仿宋" w:cs="微软雅黑"/>
          <w:szCs w:val="32"/>
        </w:rPr>
        <w:t>分析福建省</w:t>
      </w:r>
      <w:bookmarkStart w:id="53" w:name="_Hlk159514427"/>
      <w:r>
        <w:rPr>
          <w:rFonts w:hint="eastAsia" w:ascii="仿宋" w:hAnsi="仿宋" w:eastAsia="仿宋" w:cs="微软雅黑"/>
          <w:szCs w:val="32"/>
        </w:rPr>
        <w:t>9各设区市和</w:t>
      </w:r>
      <w:r>
        <w:rPr>
          <w:rFonts w:hint="eastAsia" w:ascii="仿宋" w:hAnsi="仿宋" w:eastAsia="仿宋" w:cs="微软雅黑"/>
          <w:szCs w:val="32"/>
          <w:lang w:eastAsia="zh-CN"/>
        </w:rPr>
        <w:t>平潭综合实验区</w:t>
      </w:r>
      <w:r>
        <w:rPr>
          <w:rFonts w:hint="eastAsia" w:ascii="仿宋" w:hAnsi="仿宋" w:eastAsia="仿宋" w:cs="微软雅黑"/>
          <w:szCs w:val="32"/>
        </w:rPr>
        <w:t>地理标志产业</w:t>
      </w:r>
      <w:bookmarkEnd w:id="53"/>
      <w:r>
        <w:rPr>
          <w:rFonts w:hint="eastAsia" w:ascii="仿宋" w:hAnsi="仿宋" w:eastAsia="仿宋" w:cs="微软雅黑"/>
          <w:szCs w:val="32"/>
        </w:rPr>
        <w:t>发展现状、特色亮点、存在问题，提出相应对策建议。</w:t>
      </w:r>
    </w:p>
    <w:p>
      <w:pPr>
        <w:spacing w:line="514" w:lineRule="exact"/>
        <w:ind w:firstLine="640" w:firstLineChars="200"/>
        <w:rPr>
          <w:rFonts w:hint="eastAsia" w:ascii="仿宋" w:hAnsi="仿宋" w:eastAsia="仿宋" w:cs="微软雅黑"/>
          <w:szCs w:val="32"/>
        </w:rPr>
      </w:pPr>
      <w:r>
        <w:rPr>
          <w:rFonts w:hint="eastAsia" w:ascii="仿宋" w:hAnsi="仿宋" w:eastAsia="仿宋" w:cs="微软雅黑"/>
          <w:szCs w:val="32"/>
        </w:rPr>
        <w:t>8.绘制福建省各设区市地理标志产业地图。</w:t>
      </w:r>
    </w:p>
    <w:p>
      <w:pPr>
        <w:spacing w:line="514" w:lineRule="exact"/>
        <w:ind w:firstLine="640" w:firstLineChars="200"/>
        <w:rPr>
          <w:rFonts w:ascii="仿宋" w:hAnsi="仿宋" w:eastAsia="仿宋" w:cs="微软雅黑"/>
          <w:szCs w:val="32"/>
        </w:rPr>
      </w:pPr>
      <w:r>
        <w:rPr>
          <w:rFonts w:hint="eastAsia" w:ascii="仿宋" w:hAnsi="仿宋" w:eastAsia="仿宋" w:cs="微软雅黑"/>
          <w:szCs w:val="32"/>
        </w:rPr>
        <w:t>9.凝练地理标志产业助力乡村振兴发展案例。</w:t>
      </w:r>
      <w:bookmarkStart w:id="54" w:name="_Hlk158217958"/>
      <w:r>
        <w:rPr>
          <w:rFonts w:hint="eastAsia" w:ascii="仿宋" w:hAnsi="仿宋" w:eastAsia="仿宋" w:cs="微软雅黑"/>
          <w:szCs w:val="32"/>
        </w:rPr>
        <w:t>根据9个设区市和平潭综合实验区地理标志产业调研结果，每个地方遴选1-2个地理标志助力乡村振兴发展典型案例。</w:t>
      </w:r>
    </w:p>
    <w:p>
      <w:pPr>
        <w:pStyle w:val="2"/>
        <w:spacing w:line="600" w:lineRule="exact"/>
        <w:ind w:firstLine="640"/>
        <w:rPr>
          <w:rFonts w:ascii="仿宋" w:hAnsi="仿宋" w:eastAsia="仿宋" w:cs="微软雅黑"/>
          <w:szCs w:val="32"/>
        </w:rPr>
      </w:pPr>
      <w:r>
        <w:rPr>
          <w:rFonts w:hint="eastAsia" w:ascii="仿宋" w:hAnsi="仿宋" w:eastAsia="仿宋" w:cs="微软雅黑"/>
          <w:szCs w:val="32"/>
        </w:rPr>
        <w:t>10.汇总地理标志产业发展优惠政策。搜集福建以及各地市地理标志产业发展优惠政策。</w:t>
      </w:r>
      <w:bookmarkEnd w:id="54"/>
    </w:p>
    <w:p>
      <w:pPr>
        <w:pStyle w:val="2"/>
        <w:spacing w:line="600" w:lineRule="exact"/>
        <w:ind w:firstLine="640"/>
        <w:rPr>
          <w:rFonts w:hint="eastAsia" w:ascii="仿宋" w:hAnsi="仿宋" w:eastAsia="仿宋" w:cs="微软雅黑"/>
          <w:szCs w:val="32"/>
        </w:rPr>
      </w:pPr>
      <w:r>
        <w:rPr>
          <w:rFonts w:hint="eastAsia" w:ascii="仿宋" w:hAnsi="仿宋" w:eastAsia="仿宋" w:cs="微软雅黑"/>
          <w:szCs w:val="32"/>
        </w:rPr>
        <w:t>11</w:t>
      </w:r>
      <w:r>
        <w:rPr>
          <w:rFonts w:ascii="仿宋" w:hAnsi="仿宋" w:eastAsia="仿宋" w:cs="微软雅黑"/>
          <w:szCs w:val="32"/>
        </w:rPr>
        <w:t>.</w:t>
      </w:r>
      <w:r>
        <w:rPr>
          <w:rFonts w:hint="eastAsia" w:ascii="仿宋" w:hAnsi="仿宋" w:eastAsia="仿宋" w:cs="微软雅黑"/>
          <w:szCs w:val="32"/>
        </w:rPr>
        <w:t>研究报告撰写要求。研究报告内容应该图文并茂，采用照片、表格、柱状图、饼状图等图表对相关内容进行形象解读。</w:t>
      </w:r>
    </w:p>
    <w:p>
      <w:pPr>
        <w:spacing w:line="514" w:lineRule="exact"/>
        <w:ind w:firstLine="643" w:firstLineChars="200"/>
        <w:rPr>
          <w:rFonts w:hint="eastAsia" w:ascii="楷体" w:hAnsi="楷体" w:eastAsia="楷体" w:cs="楷体"/>
          <w:b/>
          <w:bCs/>
          <w:szCs w:val="32"/>
        </w:rPr>
      </w:pPr>
      <w:r>
        <w:rPr>
          <w:rFonts w:hint="eastAsia" w:ascii="楷体" w:hAnsi="楷体" w:eastAsia="楷体" w:cs="楷体"/>
          <w:b/>
          <w:bCs/>
          <w:szCs w:val="32"/>
        </w:rPr>
        <w:t>（三）服务要求</w:t>
      </w:r>
    </w:p>
    <w:p>
      <w:pPr>
        <w:widowControl/>
        <w:adjustRightInd/>
        <w:snapToGrid/>
        <w:spacing w:line="514" w:lineRule="exact"/>
        <w:ind w:firstLine="640" w:firstLineChars="200"/>
        <w:jc w:val="left"/>
        <w:rPr>
          <w:rFonts w:ascii="仿宋" w:hAnsi="仿宋" w:eastAsia="仿宋" w:cs="仿宋_GB2312"/>
          <w:szCs w:val="32"/>
        </w:rPr>
      </w:pPr>
      <w:r>
        <w:rPr>
          <w:rFonts w:ascii="仿宋_GB2312" w:hAnsi="仿宋_GB2312" w:eastAsia="仿宋_GB2312" w:cs="仿宋_GB2312"/>
          <w:szCs w:val="32"/>
        </w:rPr>
        <w:t>1、</w:t>
      </w:r>
      <w:r>
        <w:rPr>
          <w:rFonts w:hint="eastAsia" w:ascii="仿宋" w:hAnsi="仿宋" w:eastAsia="仿宋" w:cs="仿宋_GB2312"/>
          <w:szCs w:val="32"/>
        </w:rPr>
        <w:t>在项目服务期间，成交</w:t>
      </w:r>
      <w:r>
        <w:rPr>
          <w:rFonts w:ascii="仿宋_GB2312" w:hAnsi="仿宋_GB2312" w:eastAsia="仿宋_GB2312" w:cs="仿宋_GB2312"/>
          <w:szCs w:val="32"/>
        </w:rPr>
        <w:t>供应</w:t>
      </w:r>
      <w:r>
        <w:rPr>
          <w:rFonts w:ascii="仿宋" w:hAnsi="仿宋" w:eastAsia="仿宋" w:cs="仿宋_GB2312"/>
          <w:szCs w:val="32"/>
        </w:rPr>
        <w:t>商</w:t>
      </w:r>
      <w:bookmarkStart w:id="55" w:name="_Hlk159515109"/>
      <w:r>
        <w:rPr>
          <w:rFonts w:hint="eastAsia" w:ascii="仿宋" w:hAnsi="仿宋" w:eastAsia="仿宋" w:cs="仿宋_GB2312"/>
          <w:szCs w:val="32"/>
        </w:rPr>
        <w:t>应采购人要求</w:t>
      </w:r>
      <w:bookmarkEnd w:id="55"/>
      <w:r>
        <w:rPr>
          <w:rFonts w:hint="eastAsia" w:ascii="仿宋" w:hAnsi="仿宋" w:eastAsia="仿宋" w:cs="仿宋_GB2312"/>
          <w:szCs w:val="32"/>
        </w:rPr>
        <w:t>，</w:t>
      </w:r>
      <w:bookmarkStart w:id="56" w:name="_Hlk159515140"/>
      <w:r>
        <w:rPr>
          <w:rFonts w:hint="eastAsia" w:ascii="仿宋" w:hAnsi="仿宋" w:eastAsia="仿宋" w:cs="仿宋_GB2312"/>
          <w:szCs w:val="32"/>
        </w:rPr>
        <w:t>必须2小时响应，指定专人进行</w:t>
      </w:r>
      <w:r>
        <w:rPr>
          <w:rFonts w:ascii="仿宋" w:hAnsi="仿宋" w:eastAsia="仿宋" w:cs="仿宋_GB2312"/>
          <w:szCs w:val="32"/>
        </w:rPr>
        <w:t>现场</w:t>
      </w:r>
      <w:r>
        <w:rPr>
          <w:rFonts w:hint="eastAsia" w:ascii="仿宋" w:hAnsi="仿宋" w:eastAsia="仿宋" w:cs="仿宋_GB2312"/>
          <w:szCs w:val="32"/>
        </w:rPr>
        <w:t>沟通交流，协助处理</w:t>
      </w:r>
      <w:r>
        <w:rPr>
          <w:rFonts w:hint="eastAsia" w:ascii="仿宋" w:hAnsi="仿宋" w:eastAsia="仿宋" w:cs="___WRD_EMBED_SUB_41"/>
          <w:szCs w:val="32"/>
        </w:rPr>
        <w:t>本项目服务相关事项</w:t>
      </w:r>
      <w:r>
        <w:rPr>
          <w:rFonts w:hint="eastAsia" w:ascii="仿宋" w:hAnsi="仿宋" w:eastAsia="仿宋" w:cs="仿宋_GB2312"/>
          <w:szCs w:val="32"/>
        </w:rPr>
        <w:t>。</w:t>
      </w:r>
    </w:p>
    <w:bookmarkEnd w:id="56"/>
    <w:p>
      <w:pPr>
        <w:widowControl/>
        <w:adjustRightInd/>
        <w:snapToGrid/>
        <w:spacing w:line="514" w:lineRule="exact"/>
        <w:ind w:firstLine="640" w:firstLineChars="200"/>
        <w:jc w:val="left"/>
        <w:rPr>
          <w:rFonts w:ascii="仿宋" w:hAnsi="仿宋" w:eastAsia="仿宋" w:cs="仿宋_GB2312"/>
          <w:szCs w:val="32"/>
        </w:rPr>
      </w:pPr>
      <w:r>
        <w:rPr>
          <w:rFonts w:ascii="仿宋" w:hAnsi="仿宋" w:eastAsia="仿宋" w:cs="仿宋_GB2312"/>
          <w:szCs w:val="32"/>
        </w:rPr>
        <w:t>2、本项目</w:t>
      </w:r>
      <w:r>
        <w:rPr>
          <w:rFonts w:hint="eastAsia" w:ascii="仿宋" w:hAnsi="仿宋" w:eastAsia="仿宋" w:cs="___WRD_EMBED_SUB_41"/>
          <w:szCs w:val="32"/>
        </w:rPr>
        <w:t>验收合格1年内</w:t>
      </w:r>
      <w:r>
        <w:rPr>
          <w:rFonts w:hint="eastAsia" w:ascii="仿宋" w:hAnsi="仿宋" w:eastAsia="仿宋" w:cs="微软雅黑"/>
          <w:szCs w:val="32"/>
        </w:rPr>
        <w:t>，</w:t>
      </w:r>
      <w:bookmarkStart w:id="57" w:name="_Hlk159514914"/>
      <w:r>
        <w:rPr>
          <w:rFonts w:hint="eastAsia" w:ascii="仿宋" w:hAnsi="仿宋" w:eastAsia="仿宋" w:cs="仿宋_GB2312"/>
          <w:szCs w:val="32"/>
        </w:rPr>
        <w:t>成交</w:t>
      </w:r>
      <w:r>
        <w:rPr>
          <w:rFonts w:ascii="仿宋_GB2312" w:hAnsi="仿宋_GB2312" w:eastAsia="仿宋_GB2312" w:cs="仿宋_GB2312"/>
          <w:szCs w:val="32"/>
        </w:rPr>
        <w:t>供应</w:t>
      </w:r>
      <w:r>
        <w:rPr>
          <w:rFonts w:ascii="仿宋" w:hAnsi="仿宋" w:eastAsia="仿宋" w:cs="仿宋_GB2312"/>
          <w:szCs w:val="32"/>
        </w:rPr>
        <w:t>商</w:t>
      </w:r>
      <w:r>
        <w:rPr>
          <w:rFonts w:hint="eastAsia" w:ascii="仿宋" w:hAnsi="仿宋" w:eastAsia="仿宋" w:cs="仿宋_GB2312"/>
          <w:szCs w:val="32"/>
        </w:rPr>
        <w:t>应采购人要求，须</w:t>
      </w:r>
      <w:r>
        <w:rPr>
          <w:rFonts w:hint="eastAsia" w:ascii="仿宋" w:hAnsi="仿宋" w:eastAsia="仿宋" w:cs="___WRD_EMBED_SUB_41"/>
          <w:szCs w:val="32"/>
        </w:rPr>
        <w:t>提供本项目服务相关事项的协助或咨询服务</w:t>
      </w:r>
      <w:r>
        <w:rPr>
          <w:rFonts w:hint="eastAsia" w:ascii="仿宋" w:hAnsi="仿宋" w:eastAsia="仿宋" w:cs="仿宋_GB2312"/>
          <w:szCs w:val="32"/>
        </w:rPr>
        <w:t>，必须2小时响应，指定专人进行</w:t>
      </w:r>
      <w:r>
        <w:rPr>
          <w:rFonts w:ascii="仿宋" w:hAnsi="仿宋" w:eastAsia="仿宋" w:cs="仿宋_GB2312"/>
          <w:szCs w:val="32"/>
        </w:rPr>
        <w:t>现场</w:t>
      </w:r>
      <w:r>
        <w:rPr>
          <w:rFonts w:hint="eastAsia" w:ascii="仿宋" w:hAnsi="仿宋" w:eastAsia="仿宋" w:cs="仿宋_GB2312"/>
          <w:szCs w:val="32"/>
        </w:rPr>
        <w:t>沟通交流。</w:t>
      </w:r>
      <w:bookmarkEnd w:id="57"/>
    </w:p>
    <w:p>
      <w:pPr>
        <w:widowControl/>
        <w:adjustRightInd/>
        <w:snapToGrid/>
        <w:spacing w:line="514" w:lineRule="exact"/>
        <w:ind w:firstLine="643" w:firstLineChars="200"/>
        <w:jc w:val="left"/>
        <w:rPr>
          <w:rFonts w:hint="eastAsia" w:ascii="楷体" w:hAnsi="楷体" w:eastAsia="楷体" w:cs="楷体"/>
          <w:b/>
          <w:bCs/>
          <w:szCs w:val="32"/>
        </w:rPr>
      </w:pPr>
      <w:r>
        <w:rPr>
          <w:rFonts w:hint="eastAsia" w:ascii="楷体" w:hAnsi="楷体" w:eastAsia="楷体" w:cs="楷体"/>
          <w:b/>
          <w:bCs/>
          <w:szCs w:val="32"/>
        </w:rPr>
        <w:t>（四）验收要求</w:t>
      </w:r>
    </w:p>
    <w:p>
      <w:pPr>
        <w:spacing w:line="514" w:lineRule="exact"/>
        <w:ind w:firstLine="640" w:firstLineChars="200"/>
        <w:rPr>
          <w:rFonts w:hint="eastAsia" w:ascii="仿宋" w:hAnsi="仿宋" w:eastAsia="仿宋" w:cs="仿宋_GB2312"/>
          <w:szCs w:val="32"/>
        </w:rPr>
      </w:pPr>
      <w:r>
        <w:rPr>
          <w:rFonts w:hint="eastAsia" w:ascii="仿宋" w:hAnsi="仿宋" w:eastAsia="仿宋" w:cs="仿宋_GB2312"/>
          <w:szCs w:val="32"/>
        </w:rPr>
        <w:t>成交</w:t>
      </w:r>
      <w:r>
        <w:rPr>
          <w:rFonts w:ascii="仿宋" w:hAnsi="仿宋" w:eastAsia="仿宋" w:cs="仿宋_GB2312"/>
          <w:szCs w:val="32"/>
        </w:rPr>
        <w:t>供应商</w:t>
      </w:r>
      <w:r>
        <w:rPr>
          <w:rFonts w:hint="eastAsia" w:ascii="仿宋" w:hAnsi="仿宋" w:eastAsia="仿宋" w:cs="仿宋_GB2312"/>
          <w:szCs w:val="32"/>
        </w:rPr>
        <w:t>提供</w:t>
      </w:r>
      <w:r>
        <w:rPr>
          <w:rFonts w:ascii="仿宋" w:hAnsi="仿宋" w:eastAsia="仿宋" w:cs="仿宋_GB2312"/>
          <w:szCs w:val="32"/>
        </w:rPr>
        <w:t>《福建省地理标志产业发展研究报告》</w:t>
      </w:r>
      <w:r>
        <w:rPr>
          <w:rFonts w:hint="eastAsia" w:ascii="仿宋" w:hAnsi="仿宋" w:eastAsia="仿宋" w:cs="仿宋_GB2312"/>
          <w:szCs w:val="32"/>
        </w:rPr>
        <w:t>电子文档，经采购人审核内容并同意定稿后，再提供</w:t>
      </w:r>
      <w:r>
        <w:rPr>
          <w:rFonts w:ascii="仿宋" w:hAnsi="仿宋" w:eastAsia="仿宋" w:cs="仿宋_GB2312"/>
          <w:szCs w:val="32"/>
        </w:rPr>
        <w:t>10</w:t>
      </w:r>
      <w:r>
        <w:rPr>
          <w:rFonts w:hint="eastAsia" w:ascii="仿宋" w:hAnsi="仿宋" w:eastAsia="仿宋" w:cs="仿宋_GB2312"/>
          <w:szCs w:val="32"/>
        </w:rPr>
        <w:t>份胶装纸质研究报告。</w:t>
      </w:r>
    </w:p>
    <w:p>
      <w:pPr>
        <w:spacing w:line="514" w:lineRule="exact"/>
        <w:ind w:firstLine="643" w:firstLineChars="200"/>
        <w:rPr>
          <w:rFonts w:hint="eastAsia" w:ascii="楷体" w:hAnsi="楷体" w:eastAsia="楷体" w:cs="楷体"/>
          <w:b/>
          <w:bCs/>
          <w:szCs w:val="32"/>
        </w:rPr>
      </w:pPr>
      <w:r>
        <w:rPr>
          <w:rFonts w:hint="eastAsia" w:ascii="楷体" w:hAnsi="楷体" w:eastAsia="楷体" w:cs="楷体"/>
          <w:b/>
          <w:bCs/>
          <w:szCs w:val="32"/>
        </w:rPr>
        <w:t>（五）项目付款方式</w:t>
      </w:r>
      <w:bookmarkEnd w:id="41"/>
      <w:bookmarkEnd w:id="42"/>
    </w:p>
    <w:p>
      <w:pPr>
        <w:spacing w:line="514"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成交供应商与采购人签订合同后，采购人向成交供应商转账支付</w:t>
      </w:r>
      <w:r>
        <w:rPr>
          <w:rFonts w:ascii="仿宋_GB2312" w:hAnsi="仿宋_GB2312" w:eastAsia="仿宋_GB2312" w:cs="仿宋_GB2312"/>
          <w:szCs w:val="32"/>
        </w:rPr>
        <w:t>8</w:t>
      </w:r>
      <w:r>
        <w:rPr>
          <w:rFonts w:hint="eastAsia" w:ascii="仿宋_GB2312" w:hAnsi="仿宋_GB2312" w:eastAsia="仿宋_GB2312" w:cs="仿宋_GB2312"/>
          <w:szCs w:val="32"/>
        </w:rPr>
        <w:t>0%项目费用。成交供应商完成本项目要求的所有成果并通过采购人验收后15个工作日内，采购人向成交供应商转账支付余下</w:t>
      </w:r>
      <w:r>
        <w:rPr>
          <w:rFonts w:ascii="仿宋_GB2312" w:hAnsi="仿宋_GB2312" w:eastAsia="仿宋_GB2312" w:cs="仿宋_GB2312"/>
          <w:szCs w:val="32"/>
        </w:rPr>
        <w:t>2</w:t>
      </w:r>
      <w:r>
        <w:rPr>
          <w:rFonts w:hint="eastAsia" w:ascii="仿宋_GB2312" w:hAnsi="仿宋_GB2312" w:eastAsia="仿宋_GB2312" w:cs="仿宋_GB2312"/>
          <w:szCs w:val="32"/>
        </w:rPr>
        <w:t>0%费用。</w:t>
      </w:r>
    </w:p>
    <w:p>
      <w:pPr>
        <w:spacing w:line="514" w:lineRule="exact"/>
        <w:ind w:firstLine="643" w:firstLineChars="200"/>
        <w:rPr>
          <w:rFonts w:hint="eastAsia" w:ascii="仿宋_GB2312" w:hAnsi="仿宋_GB2312" w:eastAsia="仿宋_GB2312" w:cs="仿宋_GB2312"/>
          <w:szCs w:val="32"/>
        </w:rPr>
      </w:pPr>
      <w:bookmarkStart w:id="58" w:name="_Toc498001269"/>
      <w:bookmarkStart w:id="59" w:name="_Toc498001368"/>
      <w:r>
        <w:rPr>
          <w:rFonts w:hint="eastAsia" w:ascii="楷体" w:hAnsi="楷体" w:eastAsia="楷体" w:cs="楷体"/>
          <w:b/>
          <w:bCs/>
          <w:szCs w:val="32"/>
        </w:rPr>
        <w:t>（六）项目服务期限</w:t>
      </w:r>
      <w:bookmarkEnd w:id="43"/>
      <w:bookmarkEnd w:id="44"/>
      <w:bookmarkEnd w:id="45"/>
      <w:bookmarkEnd w:id="46"/>
      <w:bookmarkEnd w:id="47"/>
      <w:bookmarkEnd w:id="48"/>
      <w:bookmarkEnd w:id="49"/>
      <w:bookmarkEnd w:id="50"/>
      <w:bookmarkEnd w:id="51"/>
      <w:bookmarkEnd w:id="58"/>
      <w:bookmarkEnd w:id="59"/>
    </w:p>
    <w:p>
      <w:pPr>
        <w:spacing w:line="514"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项目实施期限：2024</w:t>
      </w:r>
      <w:r>
        <w:rPr>
          <w:rFonts w:hint="eastAsia" w:ascii="仿宋" w:hAnsi="仿宋" w:eastAsia="仿宋" w:cs="仿宋_GB2312"/>
          <w:szCs w:val="32"/>
        </w:rPr>
        <w:t>年</w:t>
      </w:r>
      <w:r>
        <w:rPr>
          <w:rFonts w:ascii="仿宋" w:hAnsi="仿宋" w:eastAsia="仿宋" w:cs="仿宋_GB2312"/>
          <w:szCs w:val="32"/>
        </w:rPr>
        <w:t>3</w:t>
      </w:r>
      <w:r>
        <w:rPr>
          <w:rFonts w:hint="eastAsia" w:ascii="仿宋" w:hAnsi="仿宋" w:eastAsia="仿宋" w:cs="仿宋_GB2312"/>
          <w:szCs w:val="32"/>
        </w:rPr>
        <w:t>月1</w:t>
      </w:r>
      <w:r>
        <w:rPr>
          <w:rFonts w:hint="eastAsia" w:ascii="仿宋" w:hAnsi="仿宋" w:eastAsia="仿宋" w:cs="Calibri"/>
          <w:szCs w:val="32"/>
        </w:rPr>
        <w:t>8</w:t>
      </w:r>
      <w:r>
        <w:rPr>
          <w:rFonts w:hint="eastAsia" w:ascii="仿宋" w:hAnsi="仿宋" w:eastAsia="仿宋" w:cs="仿宋_GB2312"/>
          <w:szCs w:val="32"/>
        </w:rPr>
        <w:t>日—202</w:t>
      </w:r>
      <w:r>
        <w:rPr>
          <w:rFonts w:ascii="仿宋" w:hAnsi="仿宋" w:eastAsia="仿宋" w:cs="仿宋_GB2312"/>
          <w:szCs w:val="32"/>
        </w:rPr>
        <w:t>4</w:t>
      </w:r>
      <w:r>
        <w:rPr>
          <w:rFonts w:hint="eastAsia" w:ascii="仿宋" w:hAnsi="仿宋" w:eastAsia="仿宋" w:cs="仿宋_GB2312"/>
          <w:szCs w:val="32"/>
        </w:rPr>
        <w:t>年</w:t>
      </w:r>
      <w:r>
        <w:rPr>
          <w:rFonts w:ascii="仿宋" w:hAnsi="仿宋" w:eastAsia="仿宋" w:cs="仿宋_GB2312"/>
          <w:szCs w:val="32"/>
        </w:rPr>
        <w:t>4</w:t>
      </w:r>
      <w:r>
        <w:rPr>
          <w:rFonts w:hint="eastAsia" w:ascii="仿宋" w:hAnsi="仿宋" w:eastAsia="仿宋" w:cs="仿宋_GB2312"/>
          <w:szCs w:val="32"/>
        </w:rPr>
        <w:t>月18日。</w:t>
      </w:r>
    </w:p>
    <w:p>
      <w:pPr>
        <w:spacing w:line="514" w:lineRule="exact"/>
        <w:ind w:firstLine="643" w:firstLineChars="200"/>
        <w:rPr>
          <w:rFonts w:hint="eastAsia" w:ascii="楷体" w:hAnsi="楷体" w:eastAsia="楷体" w:cs="楷体"/>
          <w:b/>
          <w:bCs/>
          <w:szCs w:val="32"/>
        </w:rPr>
      </w:pPr>
      <w:bookmarkStart w:id="60" w:name="_Toc450320513"/>
      <w:bookmarkStart w:id="61" w:name="_Toc455746742"/>
      <w:bookmarkStart w:id="62" w:name="_Toc421023430"/>
      <w:bookmarkStart w:id="63" w:name="_Toc419485053"/>
      <w:bookmarkStart w:id="64" w:name="_Toc498001270"/>
      <w:bookmarkStart w:id="65" w:name="_Toc430180167"/>
      <w:bookmarkStart w:id="66" w:name="_Toc498001369"/>
      <w:r>
        <w:rPr>
          <w:rFonts w:hint="eastAsia" w:ascii="楷体" w:hAnsi="楷体" w:eastAsia="楷体" w:cs="楷体"/>
          <w:b/>
          <w:bCs/>
          <w:szCs w:val="32"/>
        </w:rPr>
        <w:t>（七）违约责任</w:t>
      </w:r>
      <w:bookmarkEnd w:id="60"/>
      <w:bookmarkEnd w:id="61"/>
      <w:bookmarkEnd w:id="62"/>
      <w:bookmarkEnd w:id="63"/>
      <w:bookmarkEnd w:id="64"/>
      <w:bookmarkEnd w:id="65"/>
      <w:bookmarkEnd w:id="66"/>
    </w:p>
    <w:p>
      <w:pPr>
        <w:spacing w:line="514"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1.因成交供应商原因造成采购合同无法按时签订，视为成交供应商违约，成交供应商违约对采购人造成的损失的，需另行支付相应的赔偿。</w:t>
      </w:r>
    </w:p>
    <w:p>
      <w:pPr>
        <w:spacing w:line="514"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2.在签订采购合同之后，成交供应商要求解除合同的，视为成交供应商违约，对采购人造成的损失的，成交供应商需支付相应的赔偿。</w:t>
      </w:r>
    </w:p>
    <w:p>
      <w:pPr>
        <w:spacing w:line="514"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3.因成交供应商原因发生重大质量事故，除依约承担赔偿责任外，还将按有关管理办法规定执行。同时，采购人有权保留更换成交供应商的权利，并报相关行政主管部门处罚。</w:t>
      </w:r>
    </w:p>
    <w:p>
      <w:pPr>
        <w:spacing w:line="514"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解除合同，给采购人造成的损失，还应承担赔偿责任。</w:t>
      </w:r>
    </w:p>
    <w:p>
      <w:pPr>
        <w:spacing w:line="514"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5.若成交供应商未能按合同规定的时间或双方另行确定的延期项目实施期限按时完成的(不可抗力除外)，每逾期一天，成交供应商应按项目金额的0.1%向采购人支付逾期的违约金。若成交供应商逾期达15天(含15天)以上的，采购人有权单方解除本合同，成交供应商应按项目总金额的30%支付违约金。若因此给采购人造成损失的，还应赔偿采购人所受的损失。</w:t>
      </w:r>
    </w:p>
    <w:p>
      <w:pPr>
        <w:spacing w:line="514"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6.成交供应商擅自转包的，采购人有权解除合同，且成交供应商应向采购人支付合同总金额20%的违约金，对采购人造成的损失的，需另行支付相应的赔偿。</w:t>
      </w:r>
    </w:p>
    <w:p>
      <w:pPr>
        <w:spacing w:line="514"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7.在明确违约责任后，成交供应商应在接到书面通知书起七天内支付违约金、赔偿金等。</w:t>
      </w:r>
    </w:p>
    <w:p>
      <w:pPr>
        <w:spacing w:line="514"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8.本次采购文件未明确的其它约定事项或条款，待采购人与成交供应商签订合同时，由双方协商订立。</w:t>
      </w:r>
      <w:bookmarkEnd w:id="36"/>
      <w:bookmarkEnd w:id="37"/>
      <w:bookmarkEnd w:id="38"/>
    </w:p>
    <w:p>
      <w:pPr>
        <w:spacing w:line="514" w:lineRule="exact"/>
        <w:jc w:val="center"/>
        <w:rPr>
          <w:rFonts w:ascii="仿宋_GB2312" w:hAnsi="仿宋_GB2312" w:eastAsia="仿宋_GB2312" w:cs="仿宋_GB2312"/>
          <w:szCs w:val="32"/>
        </w:rPr>
      </w:pPr>
    </w:p>
    <w:p>
      <w:pPr>
        <w:spacing w:line="514" w:lineRule="exact"/>
        <w:jc w:val="center"/>
        <w:rPr>
          <w:rFonts w:hint="eastAsia" w:ascii="仿宋_GB2312" w:hAnsi="仿宋_GB2312" w:eastAsia="仿宋_GB2312" w:cs="仿宋_GB2312"/>
          <w:szCs w:val="32"/>
        </w:rPr>
      </w:pPr>
    </w:p>
    <w:p>
      <w:pPr>
        <w:rPr>
          <w:rFonts w:hint="eastAsia" w:ascii="宋体" w:hAnsi="宋体" w:eastAsia="宋体"/>
          <w:b/>
          <w:color w:val="000000"/>
          <w:sz w:val="30"/>
          <w:szCs w:val="30"/>
        </w:rPr>
      </w:pPr>
    </w:p>
    <w:p>
      <w:pPr>
        <w:ind w:firstLine="4216" w:firstLineChars="1400"/>
        <w:rPr>
          <w:rFonts w:ascii="宋体" w:hAnsi="宋体" w:eastAsia="宋体"/>
          <w:b/>
          <w:color w:val="000000"/>
          <w:sz w:val="30"/>
          <w:szCs w:val="30"/>
        </w:rPr>
      </w:pPr>
      <w:r>
        <w:rPr>
          <w:rFonts w:hint="eastAsia" w:ascii="宋体" w:hAnsi="宋体" w:eastAsia="宋体"/>
          <w:b/>
          <w:color w:val="000000"/>
          <w:sz w:val="30"/>
          <w:szCs w:val="30"/>
        </w:rPr>
        <w:t>三、</w:t>
      </w:r>
      <w:r>
        <w:rPr>
          <w:rFonts w:ascii="宋体" w:hAnsi="宋体" w:eastAsia="宋体"/>
          <w:b/>
          <w:color w:val="000000"/>
          <w:sz w:val="30"/>
          <w:szCs w:val="30"/>
        </w:rPr>
        <w:t>项目</w:t>
      </w:r>
      <w:r>
        <w:rPr>
          <w:rFonts w:hint="eastAsia" w:ascii="宋体" w:hAnsi="宋体" w:eastAsia="宋体"/>
          <w:b/>
          <w:color w:val="000000"/>
          <w:sz w:val="30"/>
          <w:szCs w:val="30"/>
        </w:rPr>
        <w:t>评分表</w:t>
      </w:r>
    </w:p>
    <w:p>
      <w:pPr>
        <w:jc w:val="left"/>
        <w:rPr>
          <w:rFonts w:ascii="宋体" w:hAnsi="宋体" w:eastAsia="宋体"/>
          <w:b/>
          <w:color w:val="000000"/>
          <w:sz w:val="24"/>
        </w:rPr>
      </w:pPr>
      <w:r>
        <w:rPr>
          <w:rFonts w:hint="eastAsia" w:ascii="宋体" w:hAnsi="宋体" w:eastAsia="宋体"/>
          <w:b/>
          <w:color w:val="000000"/>
          <w:sz w:val="24"/>
        </w:rPr>
        <w:t xml:space="preserve">技术部分评分 </w:t>
      </w:r>
      <w:r>
        <w:rPr>
          <w:rFonts w:ascii="宋体" w:hAnsi="宋体" w:eastAsia="宋体"/>
          <w:b/>
          <w:color w:val="000000"/>
          <w:sz w:val="24"/>
        </w:rPr>
        <w:t xml:space="preserve"> </w:t>
      </w:r>
      <w:r>
        <w:rPr>
          <w:rFonts w:hint="eastAsia" w:ascii="宋体" w:hAnsi="宋体" w:eastAsia="宋体"/>
          <w:b/>
          <w:color w:val="000000"/>
          <w:sz w:val="24"/>
        </w:rPr>
        <w:t>满分60分</w:t>
      </w:r>
    </w:p>
    <w:tbl>
      <w:tblPr>
        <w:tblStyle w:val="5"/>
        <w:tblW w:w="10789" w:type="dxa"/>
        <w:tblInd w:w="-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14"/>
        <w:gridCol w:w="1912"/>
        <w:gridCol w:w="1701"/>
        <w:gridCol w:w="66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514" w:type="dxa"/>
            <w:tcBorders>
              <w:top w:val="outset" w:color="auto" w:sz="6" w:space="0"/>
              <w:left w:val="outset" w:color="auto" w:sz="6" w:space="0"/>
              <w:bottom w:val="outset" w:color="auto" w:sz="6" w:space="0"/>
              <w:right w:val="outset" w:color="auto" w:sz="6" w:space="0"/>
            </w:tcBorders>
          </w:tcPr>
          <w:p>
            <w:pPr>
              <w:widowControl/>
              <w:adjustRightInd/>
              <w:snapToGrid/>
              <w:spacing w:line="46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1912" w:type="dxa"/>
            <w:tcBorders>
              <w:top w:val="outset" w:color="auto" w:sz="6" w:space="0"/>
              <w:left w:val="outset" w:color="auto" w:sz="6" w:space="0"/>
              <w:bottom w:val="outset" w:color="auto" w:sz="6" w:space="0"/>
              <w:right w:val="outset" w:color="auto" w:sz="6" w:space="0"/>
            </w:tcBorders>
            <w:vAlign w:val="center"/>
          </w:tcPr>
          <w:p>
            <w:pPr>
              <w:widowControl/>
              <w:adjustRightInd/>
              <w:snapToGrid/>
              <w:spacing w:line="460" w:lineRule="exact"/>
              <w:jc w:val="center"/>
              <w:rPr>
                <w:rFonts w:ascii="宋体" w:hAnsi="宋体" w:eastAsia="宋体"/>
                <w:color w:val="000000"/>
                <w:sz w:val="21"/>
                <w:szCs w:val="21"/>
              </w:rPr>
            </w:pPr>
            <w:r>
              <w:rPr>
                <w:rFonts w:ascii="宋体" w:hAnsi="宋体" w:eastAsia="宋体" w:cs="宋体"/>
                <w:color w:val="000000"/>
                <w:kern w:val="0"/>
                <w:sz w:val="21"/>
                <w:szCs w:val="21"/>
              </w:rPr>
              <w:t>项目</w:t>
            </w:r>
          </w:p>
        </w:tc>
        <w:tc>
          <w:tcPr>
            <w:tcW w:w="1701" w:type="dxa"/>
            <w:tcBorders>
              <w:top w:val="outset" w:color="auto" w:sz="6" w:space="0"/>
              <w:left w:val="outset" w:color="auto" w:sz="6" w:space="0"/>
              <w:bottom w:val="outset" w:color="auto" w:sz="6" w:space="0"/>
              <w:right w:val="outset" w:color="auto" w:sz="6" w:space="0"/>
            </w:tcBorders>
            <w:vAlign w:val="center"/>
          </w:tcPr>
          <w:p>
            <w:pPr>
              <w:widowControl/>
              <w:adjustRightInd/>
              <w:snapToGrid/>
              <w:spacing w:line="460" w:lineRule="exact"/>
              <w:jc w:val="center"/>
              <w:rPr>
                <w:rFonts w:ascii="宋体" w:hAnsi="宋体" w:eastAsia="宋体"/>
                <w:color w:val="000000"/>
                <w:sz w:val="21"/>
                <w:szCs w:val="21"/>
              </w:rPr>
            </w:pPr>
            <w:r>
              <w:rPr>
                <w:rFonts w:ascii="宋体" w:hAnsi="宋体" w:eastAsia="宋体" w:cs="宋体"/>
                <w:color w:val="000000"/>
                <w:kern w:val="0"/>
                <w:sz w:val="21"/>
                <w:szCs w:val="21"/>
              </w:rPr>
              <w:t>分值</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adjustRightInd/>
              <w:snapToGrid/>
              <w:spacing w:line="460" w:lineRule="exact"/>
              <w:jc w:val="center"/>
              <w:rPr>
                <w:rFonts w:ascii="宋体" w:hAnsi="宋体" w:eastAsia="宋体"/>
                <w:color w:val="000000"/>
                <w:sz w:val="21"/>
                <w:szCs w:val="21"/>
              </w:rPr>
            </w:pPr>
            <w:r>
              <w:rPr>
                <w:rFonts w:ascii="宋体" w:hAnsi="宋体" w:eastAsia="宋体" w:cs="宋体"/>
                <w:color w:val="000000"/>
                <w:kern w:val="0"/>
                <w:sz w:val="21"/>
                <w:szCs w:val="21"/>
              </w:rPr>
              <w:t>评</w:t>
            </w:r>
            <w:r>
              <w:rPr>
                <w:rFonts w:hint="eastAsia" w:ascii="宋体" w:hAnsi="宋体" w:eastAsia="宋体" w:cs="宋体"/>
                <w:color w:val="000000"/>
                <w:kern w:val="0"/>
                <w:sz w:val="21"/>
                <w:szCs w:val="21"/>
              </w:rPr>
              <w:t>分</w:t>
            </w:r>
            <w:r>
              <w:rPr>
                <w:rFonts w:ascii="宋体" w:hAnsi="宋体" w:eastAsia="宋体" w:cs="宋体"/>
                <w:color w:val="000000"/>
                <w:kern w:val="0"/>
                <w:sz w:val="21"/>
                <w:szCs w:val="21"/>
              </w:rPr>
              <w:t>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3" w:hRule="atLeast"/>
        </w:trPr>
        <w:tc>
          <w:tcPr>
            <w:tcW w:w="514" w:type="dxa"/>
            <w:vMerge w:val="restart"/>
            <w:tcBorders>
              <w:top w:val="outset" w:color="auto" w:sz="6" w:space="0"/>
              <w:left w:val="outset" w:color="auto" w:sz="6" w:space="0"/>
              <w:right w:val="outset" w:color="auto" w:sz="6" w:space="0"/>
            </w:tcBorders>
            <w:vAlign w:val="center"/>
          </w:tcPr>
          <w:p>
            <w:pPr>
              <w:widowControl/>
              <w:adjustRightInd/>
              <w:snapToGrid/>
              <w:spacing w:line="4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912" w:type="dxa"/>
            <w:vMerge w:val="restart"/>
            <w:tcBorders>
              <w:top w:val="outset" w:color="auto" w:sz="6" w:space="0"/>
              <w:left w:val="outset" w:color="auto" w:sz="6" w:space="0"/>
              <w:right w:val="outset" w:color="auto" w:sz="6" w:space="0"/>
            </w:tcBorders>
            <w:vAlign w:val="center"/>
          </w:tcPr>
          <w:p>
            <w:pPr>
              <w:widowControl/>
              <w:spacing w:line="360" w:lineRule="auto"/>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项目技术要求响应情况 </w:t>
            </w:r>
          </w:p>
        </w:tc>
        <w:tc>
          <w:tcPr>
            <w:tcW w:w="1701" w:type="dxa"/>
            <w:vMerge w:val="restart"/>
            <w:tcBorders>
              <w:top w:val="outset" w:color="auto" w:sz="6" w:space="0"/>
              <w:left w:val="outset" w:color="auto" w:sz="6" w:space="0"/>
              <w:right w:val="outset" w:color="auto" w:sz="6" w:space="0"/>
            </w:tcBorders>
            <w:vAlign w:val="center"/>
          </w:tcPr>
          <w:p>
            <w:pPr>
              <w:widowControl/>
              <w:spacing w:line="360" w:lineRule="auto"/>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33</w:t>
            </w:r>
          </w:p>
        </w:tc>
        <w:tc>
          <w:tcPr>
            <w:tcW w:w="6662" w:type="dxa"/>
            <w:vMerge w:val="restart"/>
            <w:tcBorders>
              <w:top w:val="outset" w:color="auto" w:sz="6" w:space="0"/>
              <w:left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根据各供应商对《采购文件》二、项目内容及具体要求“（二）项目技术要求”中11个技术参数指标响应情况进行评分，每负偏离一项扣3分，满分33分。正偏离不加分。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3" w:hRule="atLeast"/>
        </w:trPr>
        <w:tc>
          <w:tcPr>
            <w:tcW w:w="514" w:type="dxa"/>
            <w:vMerge w:val="continue"/>
            <w:tcBorders>
              <w:left w:val="outset" w:color="auto" w:sz="6" w:space="0"/>
              <w:right w:val="outset" w:color="auto" w:sz="6" w:space="0"/>
            </w:tcBorders>
            <w:vAlign w:val="center"/>
          </w:tcPr>
          <w:p>
            <w:pPr>
              <w:widowControl/>
              <w:spacing w:line="360" w:lineRule="auto"/>
              <w:jc w:val="left"/>
            </w:pPr>
          </w:p>
        </w:tc>
        <w:tc>
          <w:tcPr>
            <w:tcW w:w="1912" w:type="dxa"/>
            <w:vMerge w:val="continue"/>
            <w:tcBorders>
              <w:left w:val="outset" w:color="auto" w:sz="6" w:space="0"/>
              <w:right w:val="outset" w:color="auto" w:sz="6" w:space="0"/>
            </w:tcBorders>
            <w:vAlign w:val="center"/>
          </w:tcPr>
          <w:p>
            <w:pPr>
              <w:widowControl/>
              <w:spacing w:line="360" w:lineRule="auto"/>
              <w:jc w:val="left"/>
            </w:pPr>
          </w:p>
        </w:tc>
        <w:tc>
          <w:tcPr>
            <w:tcW w:w="1701" w:type="dxa"/>
            <w:vMerge w:val="continue"/>
            <w:tcBorders>
              <w:left w:val="outset" w:color="auto" w:sz="6" w:space="0"/>
              <w:right w:val="outset" w:color="auto" w:sz="6" w:space="0"/>
            </w:tcBorders>
            <w:vAlign w:val="center"/>
          </w:tcPr>
          <w:p>
            <w:pPr>
              <w:widowControl/>
              <w:spacing w:line="360" w:lineRule="auto"/>
              <w:jc w:val="left"/>
            </w:pPr>
          </w:p>
        </w:tc>
        <w:tc>
          <w:tcPr>
            <w:tcW w:w="6662" w:type="dxa"/>
            <w:vMerge w:val="continue"/>
            <w:tcBorders>
              <w:left w:val="outset" w:color="auto" w:sz="6" w:space="0"/>
              <w:right w:val="outset" w:color="auto" w:sz="6" w:space="0"/>
            </w:tcBorders>
            <w:vAlign w:val="center"/>
          </w:tcPr>
          <w:p>
            <w:pPr>
              <w:widowControl/>
              <w:spacing w:line="360" w:lineRule="auto"/>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9" w:hRule="atLeast"/>
        </w:trPr>
        <w:tc>
          <w:tcPr>
            <w:tcW w:w="514"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c>
          <w:tcPr>
            <w:tcW w:w="1912"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c>
          <w:tcPr>
            <w:tcW w:w="1701"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c>
          <w:tcPr>
            <w:tcW w:w="6662"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trPr>
        <w:tc>
          <w:tcPr>
            <w:tcW w:w="514" w:type="dxa"/>
            <w:vMerge w:val="restart"/>
            <w:tcBorders>
              <w:top w:val="outset" w:color="auto" w:sz="6" w:space="0"/>
              <w:left w:val="outset" w:color="auto" w:sz="6" w:space="0"/>
              <w:right w:val="outset" w:color="auto" w:sz="6" w:space="0"/>
            </w:tcBorders>
            <w:vAlign w:val="center"/>
          </w:tcPr>
          <w:p>
            <w:pPr>
              <w:widowControl/>
              <w:adjustRightInd/>
              <w:snapToGrid/>
              <w:spacing w:line="4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912" w:type="dxa"/>
            <w:vMerge w:val="restart"/>
            <w:tcBorders>
              <w:top w:val="outset" w:color="auto" w:sz="6" w:space="0"/>
              <w:left w:val="outset" w:color="auto" w:sz="6" w:space="0"/>
              <w:right w:val="outset" w:color="auto" w:sz="6" w:space="0"/>
            </w:tcBorders>
            <w:vAlign w:val="center"/>
          </w:tcPr>
          <w:p>
            <w:pPr>
              <w:widowControl/>
              <w:spacing w:line="360" w:lineRule="auto"/>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福建省地理标志产业问卷调研方案</w:t>
            </w:r>
          </w:p>
        </w:tc>
        <w:tc>
          <w:tcPr>
            <w:tcW w:w="1701" w:type="dxa"/>
            <w:vMerge w:val="restart"/>
            <w:tcBorders>
              <w:top w:val="outset" w:color="auto" w:sz="6" w:space="0"/>
              <w:left w:val="outset" w:color="auto" w:sz="6" w:space="0"/>
              <w:right w:val="outset" w:color="auto" w:sz="6" w:space="0"/>
            </w:tcBorders>
            <w:vAlign w:val="center"/>
          </w:tcPr>
          <w:p>
            <w:pPr>
              <w:widowControl/>
              <w:spacing w:line="360" w:lineRule="auto"/>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6662" w:type="dxa"/>
            <w:vMerge w:val="restart"/>
            <w:tcBorders>
              <w:top w:val="outset" w:color="auto" w:sz="6" w:space="0"/>
              <w:left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根据</w:t>
            </w:r>
            <w:r>
              <w:rPr>
                <w:rFonts w:ascii="宋体" w:hAnsi="宋体" w:eastAsia="宋体" w:cs="宋体"/>
                <w:color w:val="000000"/>
                <w:kern w:val="0"/>
                <w:sz w:val="21"/>
                <w:szCs w:val="21"/>
              </w:rPr>
              <w:t>供应商</w:t>
            </w:r>
            <w:r>
              <w:rPr>
                <w:rFonts w:hint="eastAsia" w:ascii="宋体" w:hAnsi="宋体" w:eastAsia="宋体" w:cs="宋体"/>
                <w:color w:val="000000"/>
                <w:kern w:val="0"/>
                <w:sz w:val="21"/>
                <w:szCs w:val="21"/>
              </w:rPr>
              <w:t>提供的“福建省地理标志产业问卷调研方案”进行评分：方案目标明确、措施针对性强、切合实际的得3分；调研目标明确、措施针对性一般、基本符合实际的得2分；方案较差，内容较空泛的</w:t>
            </w:r>
            <w:r>
              <w:rPr>
                <w:rFonts w:ascii="宋体" w:hAnsi="宋体" w:eastAsia="宋体" w:cs="宋体"/>
                <w:color w:val="000000"/>
                <w:kern w:val="0"/>
                <w:sz w:val="21"/>
                <w:szCs w:val="21"/>
              </w:rPr>
              <w:t>得1分。</w:t>
            </w:r>
            <w:r>
              <w:rPr>
                <w:rFonts w:hint="eastAsia" w:ascii="宋体" w:hAnsi="宋体" w:eastAsia="宋体" w:cs="宋体"/>
                <w:color w:val="000000"/>
                <w:kern w:val="0"/>
                <w:sz w:val="21"/>
                <w:szCs w:val="21"/>
              </w:rPr>
              <w:t>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trPr>
        <w:tc>
          <w:tcPr>
            <w:tcW w:w="514" w:type="dxa"/>
            <w:vMerge w:val="continue"/>
            <w:tcBorders>
              <w:left w:val="outset" w:color="auto" w:sz="6" w:space="0"/>
              <w:right w:val="outset" w:color="auto" w:sz="6" w:space="0"/>
            </w:tcBorders>
            <w:vAlign w:val="center"/>
          </w:tcPr>
          <w:p>
            <w:pPr>
              <w:widowControl/>
              <w:adjustRightInd/>
              <w:snapToGrid/>
              <w:spacing w:line="400" w:lineRule="exact"/>
              <w:jc w:val="center"/>
              <w:rPr>
                <w:rFonts w:ascii="宋体" w:hAnsi="宋体" w:eastAsia="宋体" w:cs="宋体"/>
                <w:color w:val="000000"/>
                <w:kern w:val="0"/>
                <w:sz w:val="21"/>
                <w:szCs w:val="21"/>
              </w:rPr>
            </w:pPr>
          </w:p>
        </w:tc>
        <w:tc>
          <w:tcPr>
            <w:tcW w:w="1912" w:type="dxa"/>
            <w:vMerge w:val="continue"/>
            <w:tcBorders>
              <w:left w:val="outset" w:color="auto" w:sz="6" w:space="0"/>
              <w:right w:val="outset" w:color="auto" w:sz="6" w:space="0"/>
            </w:tcBorders>
            <w:vAlign w:val="center"/>
          </w:tcPr>
          <w:p>
            <w:pPr>
              <w:widowControl/>
              <w:spacing w:line="360" w:lineRule="auto"/>
              <w:jc w:val="center"/>
              <w:rPr>
                <w:rFonts w:ascii="宋体" w:hAnsi="宋体" w:eastAsia="宋体" w:cs="宋体"/>
                <w:color w:val="000000"/>
                <w:kern w:val="0"/>
                <w:sz w:val="21"/>
                <w:szCs w:val="21"/>
              </w:rPr>
            </w:pPr>
          </w:p>
        </w:tc>
        <w:tc>
          <w:tcPr>
            <w:tcW w:w="1701" w:type="dxa"/>
            <w:vMerge w:val="continue"/>
            <w:tcBorders>
              <w:left w:val="outset" w:color="auto" w:sz="6" w:space="0"/>
              <w:right w:val="outset" w:color="auto" w:sz="6" w:space="0"/>
            </w:tcBorders>
            <w:vAlign w:val="center"/>
          </w:tcPr>
          <w:p>
            <w:pPr>
              <w:widowControl/>
              <w:spacing w:line="360" w:lineRule="auto"/>
              <w:jc w:val="center"/>
              <w:rPr>
                <w:rFonts w:ascii="宋体" w:hAnsi="宋体" w:eastAsia="宋体" w:cs="宋体"/>
                <w:color w:val="000000"/>
                <w:kern w:val="0"/>
                <w:sz w:val="21"/>
                <w:szCs w:val="21"/>
              </w:rPr>
            </w:pPr>
          </w:p>
        </w:tc>
        <w:tc>
          <w:tcPr>
            <w:tcW w:w="6662" w:type="dxa"/>
            <w:vMerge w:val="continue"/>
            <w:tcBorders>
              <w:left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trPr>
        <w:tc>
          <w:tcPr>
            <w:tcW w:w="514" w:type="dxa"/>
            <w:vMerge w:val="continue"/>
            <w:tcBorders>
              <w:left w:val="outset" w:color="auto" w:sz="6" w:space="0"/>
              <w:right w:val="outset" w:color="auto" w:sz="6" w:space="0"/>
            </w:tcBorders>
            <w:vAlign w:val="center"/>
          </w:tcPr>
          <w:p>
            <w:pPr>
              <w:widowControl/>
              <w:adjustRightInd/>
              <w:snapToGrid/>
              <w:spacing w:line="400" w:lineRule="exact"/>
              <w:jc w:val="center"/>
              <w:rPr>
                <w:rFonts w:ascii="宋体" w:hAnsi="宋体" w:eastAsia="宋体" w:cs="宋体"/>
                <w:color w:val="000000"/>
                <w:kern w:val="0"/>
                <w:sz w:val="21"/>
                <w:szCs w:val="21"/>
              </w:rPr>
            </w:pPr>
          </w:p>
        </w:tc>
        <w:tc>
          <w:tcPr>
            <w:tcW w:w="1912" w:type="dxa"/>
            <w:vMerge w:val="continue"/>
            <w:tcBorders>
              <w:left w:val="outset" w:color="auto" w:sz="6" w:space="0"/>
              <w:right w:val="outset" w:color="auto" w:sz="6" w:space="0"/>
            </w:tcBorders>
            <w:vAlign w:val="center"/>
          </w:tcPr>
          <w:p>
            <w:pPr>
              <w:widowControl/>
              <w:spacing w:line="360" w:lineRule="auto"/>
              <w:jc w:val="center"/>
              <w:rPr>
                <w:rFonts w:ascii="宋体" w:hAnsi="宋体" w:eastAsia="宋体" w:cs="宋体"/>
                <w:color w:val="000000"/>
                <w:kern w:val="0"/>
                <w:sz w:val="21"/>
                <w:szCs w:val="21"/>
              </w:rPr>
            </w:pPr>
          </w:p>
        </w:tc>
        <w:tc>
          <w:tcPr>
            <w:tcW w:w="1701" w:type="dxa"/>
            <w:vMerge w:val="continue"/>
            <w:tcBorders>
              <w:left w:val="outset" w:color="auto" w:sz="6" w:space="0"/>
              <w:right w:val="outset" w:color="auto" w:sz="6" w:space="0"/>
            </w:tcBorders>
            <w:vAlign w:val="center"/>
          </w:tcPr>
          <w:p>
            <w:pPr>
              <w:widowControl/>
              <w:spacing w:line="360" w:lineRule="auto"/>
              <w:jc w:val="center"/>
              <w:rPr>
                <w:rFonts w:ascii="宋体" w:hAnsi="宋体" w:eastAsia="宋体" w:cs="宋体"/>
                <w:color w:val="000000"/>
                <w:kern w:val="0"/>
                <w:sz w:val="21"/>
                <w:szCs w:val="21"/>
              </w:rPr>
            </w:pPr>
          </w:p>
        </w:tc>
        <w:tc>
          <w:tcPr>
            <w:tcW w:w="6662" w:type="dxa"/>
            <w:vMerge w:val="continue"/>
            <w:tcBorders>
              <w:left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trPr>
        <w:tc>
          <w:tcPr>
            <w:tcW w:w="514" w:type="dxa"/>
            <w:vMerge w:val="restart"/>
            <w:tcBorders>
              <w:top w:val="outset" w:color="auto" w:sz="6" w:space="0"/>
              <w:left w:val="outset" w:color="auto" w:sz="6" w:space="0"/>
              <w:right w:val="outset" w:color="auto" w:sz="6" w:space="0"/>
            </w:tcBorders>
            <w:vAlign w:val="center"/>
          </w:tcPr>
          <w:p>
            <w:pPr>
              <w:widowControl/>
              <w:adjustRightInd/>
              <w:snapToGrid/>
              <w:spacing w:line="4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912" w:type="dxa"/>
            <w:vMerge w:val="restart"/>
            <w:tcBorders>
              <w:top w:val="outset" w:color="auto" w:sz="6" w:space="0"/>
              <w:left w:val="outset" w:color="auto" w:sz="6" w:space="0"/>
              <w:right w:val="outset" w:color="auto" w:sz="6" w:space="0"/>
            </w:tcBorders>
            <w:vAlign w:val="center"/>
          </w:tcPr>
          <w:p>
            <w:pPr>
              <w:widowControl/>
              <w:spacing w:line="360" w:lineRule="auto"/>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福建省地理标志产业实地调研方案</w:t>
            </w:r>
          </w:p>
        </w:tc>
        <w:tc>
          <w:tcPr>
            <w:tcW w:w="1701" w:type="dxa"/>
            <w:vMerge w:val="restart"/>
            <w:tcBorders>
              <w:top w:val="outset" w:color="auto" w:sz="6" w:space="0"/>
              <w:left w:val="outset" w:color="auto" w:sz="6" w:space="0"/>
              <w:right w:val="outset" w:color="auto" w:sz="6" w:space="0"/>
            </w:tcBorders>
            <w:vAlign w:val="center"/>
          </w:tcPr>
          <w:p>
            <w:pPr>
              <w:widowControl/>
              <w:spacing w:line="360" w:lineRule="auto"/>
              <w:jc w:val="center"/>
              <w:rPr>
                <w:rFonts w:ascii="宋体" w:hAnsi="宋体" w:eastAsia="宋体" w:cs="宋体"/>
                <w:color w:val="000000"/>
                <w:kern w:val="0"/>
                <w:sz w:val="21"/>
                <w:szCs w:val="21"/>
              </w:rPr>
            </w:pPr>
            <w:r>
              <w:rPr>
                <w:rFonts w:ascii="宋体" w:hAnsi="宋体" w:eastAsia="宋体" w:cs="宋体"/>
                <w:color w:val="000000"/>
                <w:kern w:val="0"/>
                <w:sz w:val="21"/>
                <w:szCs w:val="21"/>
              </w:rPr>
              <w:t>3</w:t>
            </w:r>
          </w:p>
        </w:tc>
        <w:tc>
          <w:tcPr>
            <w:tcW w:w="6662" w:type="dxa"/>
            <w:vMerge w:val="restart"/>
            <w:tcBorders>
              <w:top w:val="outset" w:color="auto" w:sz="6" w:space="0"/>
              <w:left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根据</w:t>
            </w:r>
            <w:r>
              <w:rPr>
                <w:rFonts w:ascii="宋体" w:hAnsi="宋体" w:eastAsia="宋体" w:cs="宋体"/>
                <w:color w:val="000000"/>
                <w:kern w:val="0"/>
                <w:sz w:val="21"/>
                <w:szCs w:val="21"/>
              </w:rPr>
              <w:t>供应商</w:t>
            </w:r>
            <w:r>
              <w:rPr>
                <w:rFonts w:hint="eastAsia" w:ascii="宋体" w:hAnsi="宋体" w:eastAsia="宋体" w:cs="宋体"/>
                <w:color w:val="000000"/>
                <w:kern w:val="0"/>
                <w:sz w:val="21"/>
                <w:szCs w:val="21"/>
              </w:rPr>
              <w:t>提供的“福建省地理标志产业实地调研方案”进行评分：方案目标明确、措施针对性强、切合实际的得3分；调研目标明确、措施针对性一般、基本符合实际的得2分；方案较差，内容较空泛的</w:t>
            </w:r>
            <w:r>
              <w:rPr>
                <w:rFonts w:ascii="宋体" w:hAnsi="宋体" w:eastAsia="宋体" w:cs="宋体"/>
                <w:color w:val="000000"/>
                <w:kern w:val="0"/>
                <w:sz w:val="21"/>
                <w:szCs w:val="21"/>
              </w:rPr>
              <w:t>得1分。</w:t>
            </w:r>
            <w:r>
              <w:rPr>
                <w:rFonts w:hint="eastAsia" w:ascii="宋体" w:hAnsi="宋体" w:eastAsia="宋体" w:cs="宋体"/>
                <w:color w:val="000000"/>
                <w:kern w:val="0"/>
                <w:sz w:val="21"/>
                <w:szCs w:val="21"/>
              </w:rPr>
              <w:t>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trPr>
        <w:tc>
          <w:tcPr>
            <w:tcW w:w="514" w:type="dxa"/>
            <w:vMerge w:val="continue"/>
            <w:tcBorders>
              <w:left w:val="outset" w:color="auto" w:sz="6" w:space="0"/>
              <w:right w:val="outset" w:color="auto" w:sz="6" w:space="0"/>
            </w:tcBorders>
            <w:vAlign w:val="center"/>
          </w:tcPr>
          <w:p>
            <w:pPr>
              <w:widowControl/>
              <w:spacing w:line="360" w:lineRule="auto"/>
              <w:jc w:val="left"/>
            </w:pPr>
          </w:p>
        </w:tc>
        <w:tc>
          <w:tcPr>
            <w:tcW w:w="1912" w:type="dxa"/>
            <w:vMerge w:val="continue"/>
            <w:tcBorders>
              <w:left w:val="outset" w:color="auto" w:sz="6" w:space="0"/>
              <w:right w:val="outset" w:color="auto" w:sz="6" w:space="0"/>
            </w:tcBorders>
            <w:vAlign w:val="center"/>
          </w:tcPr>
          <w:p>
            <w:pPr>
              <w:widowControl/>
              <w:spacing w:line="360" w:lineRule="auto"/>
              <w:jc w:val="left"/>
            </w:pPr>
          </w:p>
        </w:tc>
        <w:tc>
          <w:tcPr>
            <w:tcW w:w="1701" w:type="dxa"/>
            <w:vMerge w:val="continue"/>
            <w:tcBorders>
              <w:left w:val="outset" w:color="auto" w:sz="6" w:space="0"/>
              <w:right w:val="outset" w:color="auto" w:sz="6" w:space="0"/>
            </w:tcBorders>
            <w:vAlign w:val="center"/>
          </w:tcPr>
          <w:p>
            <w:pPr>
              <w:widowControl/>
              <w:spacing w:line="360" w:lineRule="auto"/>
              <w:jc w:val="left"/>
            </w:pPr>
          </w:p>
        </w:tc>
        <w:tc>
          <w:tcPr>
            <w:tcW w:w="6662" w:type="dxa"/>
            <w:vMerge w:val="continue"/>
            <w:tcBorders>
              <w:left w:val="outset" w:color="auto" w:sz="6" w:space="0"/>
              <w:right w:val="outset" w:color="auto" w:sz="6" w:space="0"/>
            </w:tcBorders>
            <w:vAlign w:val="center"/>
          </w:tcPr>
          <w:p>
            <w:pPr>
              <w:widowControl/>
              <w:spacing w:line="360" w:lineRule="auto"/>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trPr>
        <w:tc>
          <w:tcPr>
            <w:tcW w:w="514"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c>
          <w:tcPr>
            <w:tcW w:w="1912"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c>
          <w:tcPr>
            <w:tcW w:w="1701"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c>
          <w:tcPr>
            <w:tcW w:w="6662"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trPr>
        <w:tc>
          <w:tcPr>
            <w:tcW w:w="514" w:type="dxa"/>
            <w:vMerge w:val="restart"/>
            <w:tcBorders>
              <w:top w:val="outset" w:color="auto" w:sz="6" w:space="0"/>
              <w:left w:val="outset" w:color="auto" w:sz="6" w:space="0"/>
              <w:right w:val="outset" w:color="auto" w:sz="6" w:space="0"/>
            </w:tcBorders>
            <w:vAlign w:val="center"/>
          </w:tcPr>
          <w:p>
            <w:pPr>
              <w:widowControl/>
              <w:adjustRightInd/>
              <w:snapToGrid/>
              <w:spacing w:line="4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912" w:type="dxa"/>
            <w:vMerge w:val="restart"/>
            <w:tcBorders>
              <w:top w:val="outset" w:color="auto" w:sz="6" w:space="0"/>
              <w:left w:val="outset" w:color="auto" w:sz="6" w:space="0"/>
              <w:right w:val="outset" w:color="auto" w:sz="6" w:space="0"/>
            </w:tcBorders>
            <w:vAlign w:val="center"/>
          </w:tcPr>
          <w:p>
            <w:pPr>
              <w:widowControl/>
              <w:spacing w:line="360" w:lineRule="auto"/>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福建省地理标志产业分析研究方案</w:t>
            </w:r>
          </w:p>
        </w:tc>
        <w:tc>
          <w:tcPr>
            <w:tcW w:w="1701" w:type="dxa"/>
            <w:vMerge w:val="restart"/>
            <w:tcBorders>
              <w:top w:val="outset" w:color="auto" w:sz="6" w:space="0"/>
              <w:left w:val="outset" w:color="auto" w:sz="6" w:space="0"/>
              <w:right w:val="outset" w:color="auto" w:sz="6" w:space="0"/>
            </w:tcBorders>
            <w:vAlign w:val="center"/>
          </w:tcPr>
          <w:p>
            <w:pPr>
              <w:widowControl/>
              <w:spacing w:line="360" w:lineRule="auto"/>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6662" w:type="dxa"/>
            <w:vMerge w:val="restart"/>
            <w:tcBorders>
              <w:top w:val="outset" w:color="auto" w:sz="6" w:space="0"/>
              <w:left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根据</w:t>
            </w:r>
            <w:r>
              <w:rPr>
                <w:rFonts w:ascii="宋体" w:hAnsi="宋体" w:eastAsia="宋体" w:cs="宋体"/>
                <w:color w:val="000000"/>
                <w:kern w:val="0"/>
                <w:sz w:val="21"/>
                <w:szCs w:val="21"/>
              </w:rPr>
              <w:t>供应商</w:t>
            </w:r>
            <w:r>
              <w:rPr>
                <w:rFonts w:hint="eastAsia" w:ascii="宋体" w:hAnsi="宋体" w:eastAsia="宋体" w:cs="宋体"/>
                <w:color w:val="000000"/>
                <w:kern w:val="0"/>
                <w:sz w:val="21"/>
                <w:szCs w:val="21"/>
              </w:rPr>
              <w:t>提供的“福建省地理标志产业分析研究方案”进行评分：方案目标明确、措施针对性强、切合实际的得3分；调研目标明确、措施针对性一般、基本符合实际的得2分；方案较差，内容较空泛的</w:t>
            </w:r>
            <w:r>
              <w:rPr>
                <w:rFonts w:ascii="宋体" w:hAnsi="宋体" w:eastAsia="宋体" w:cs="宋体"/>
                <w:color w:val="000000"/>
                <w:kern w:val="0"/>
                <w:sz w:val="21"/>
                <w:szCs w:val="21"/>
              </w:rPr>
              <w:t>得1分。</w:t>
            </w:r>
            <w:r>
              <w:rPr>
                <w:rFonts w:hint="eastAsia" w:ascii="宋体" w:hAnsi="宋体" w:eastAsia="宋体" w:cs="宋体"/>
                <w:color w:val="000000"/>
                <w:kern w:val="0"/>
                <w:sz w:val="21"/>
                <w:szCs w:val="21"/>
              </w:rPr>
              <w:t>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trPr>
        <w:tc>
          <w:tcPr>
            <w:tcW w:w="514" w:type="dxa"/>
            <w:vMerge w:val="continue"/>
            <w:tcBorders>
              <w:left w:val="outset" w:color="auto" w:sz="6" w:space="0"/>
              <w:right w:val="outset" w:color="auto" w:sz="6" w:space="0"/>
            </w:tcBorders>
            <w:vAlign w:val="center"/>
          </w:tcPr>
          <w:p>
            <w:pPr>
              <w:widowControl/>
              <w:spacing w:line="360" w:lineRule="auto"/>
              <w:jc w:val="left"/>
            </w:pPr>
          </w:p>
        </w:tc>
        <w:tc>
          <w:tcPr>
            <w:tcW w:w="1912" w:type="dxa"/>
            <w:vMerge w:val="continue"/>
            <w:tcBorders>
              <w:left w:val="outset" w:color="auto" w:sz="6" w:space="0"/>
              <w:right w:val="outset" w:color="auto" w:sz="6" w:space="0"/>
            </w:tcBorders>
            <w:vAlign w:val="center"/>
          </w:tcPr>
          <w:p>
            <w:pPr>
              <w:widowControl/>
              <w:spacing w:line="360" w:lineRule="auto"/>
              <w:jc w:val="left"/>
            </w:pPr>
          </w:p>
        </w:tc>
        <w:tc>
          <w:tcPr>
            <w:tcW w:w="1701" w:type="dxa"/>
            <w:vMerge w:val="continue"/>
            <w:tcBorders>
              <w:left w:val="outset" w:color="auto" w:sz="6" w:space="0"/>
              <w:right w:val="outset" w:color="auto" w:sz="6" w:space="0"/>
            </w:tcBorders>
            <w:vAlign w:val="center"/>
          </w:tcPr>
          <w:p>
            <w:pPr>
              <w:widowControl/>
              <w:spacing w:line="360" w:lineRule="auto"/>
              <w:jc w:val="left"/>
            </w:pPr>
          </w:p>
        </w:tc>
        <w:tc>
          <w:tcPr>
            <w:tcW w:w="6662" w:type="dxa"/>
            <w:vMerge w:val="continue"/>
            <w:tcBorders>
              <w:left w:val="outset" w:color="auto" w:sz="6" w:space="0"/>
              <w:right w:val="outset" w:color="auto" w:sz="6" w:space="0"/>
            </w:tcBorders>
            <w:vAlign w:val="center"/>
          </w:tcPr>
          <w:p>
            <w:pPr>
              <w:widowControl/>
              <w:spacing w:line="360" w:lineRule="auto"/>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trPr>
        <w:tc>
          <w:tcPr>
            <w:tcW w:w="514"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c>
          <w:tcPr>
            <w:tcW w:w="1912"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c>
          <w:tcPr>
            <w:tcW w:w="1701"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c>
          <w:tcPr>
            <w:tcW w:w="6662"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4" w:hRule="atLeast"/>
        </w:trPr>
        <w:tc>
          <w:tcPr>
            <w:tcW w:w="514" w:type="dxa"/>
            <w:vMerge w:val="restart"/>
            <w:tcBorders>
              <w:top w:val="outset" w:color="auto" w:sz="6" w:space="0"/>
              <w:left w:val="outset" w:color="auto" w:sz="6" w:space="0"/>
              <w:right w:val="outset" w:color="auto" w:sz="6" w:space="0"/>
            </w:tcBorders>
            <w:vAlign w:val="center"/>
          </w:tcPr>
          <w:p>
            <w:pPr>
              <w:adjustRightInd/>
              <w:snapToGrid/>
              <w:spacing w:line="4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912" w:type="dxa"/>
            <w:vMerge w:val="restart"/>
            <w:tcBorders>
              <w:top w:val="outset" w:color="auto" w:sz="6" w:space="0"/>
              <w:left w:val="outset" w:color="auto" w:sz="6" w:space="0"/>
              <w:right w:val="outset" w:color="auto" w:sz="6" w:space="0"/>
            </w:tcBorders>
            <w:vAlign w:val="center"/>
          </w:tcPr>
          <w:p>
            <w:pPr>
              <w:widowControl/>
              <w:adjustRightInd/>
              <w:snapToGrid/>
              <w:spacing w:line="4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福建省地理标志重点产业分析研究方案</w:t>
            </w:r>
          </w:p>
        </w:tc>
        <w:tc>
          <w:tcPr>
            <w:tcW w:w="1701" w:type="dxa"/>
            <w:vMerge w:val="restart"/>
            <w:tcBorders>
              <w:top w:val="outset" w:color="auto" w:sz="6" w:space="0"/>
              <w:left w:val="outset" w:color="auto" w:sz="6" w:space="0"/>
              <w:right w:val="outset" w:color="auto" w:sz="6" w:space="0"/>
            </w:tcBorders>
            <w:vAlign w:val="center"/>
          </w:tcPr>
          <w:p>
            <w:pPr>
              <w:widowControl/>
              <w:adjustRightInd/>
              <w:snapToGrid/>
              <w:spacing w:line="4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6662" w:type="dxa"/>
            <w:vMerge w:val="restart"/>
            <w:tcBorders>
              <w:top w:val="outset" w:color="auto" w:sz="6" w:space="0"/>
              <w:left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根据</w:t>
            </w:r>
            <w:r>
              <w:rPr>
                <w:rFonts w:ascii="宋体" w:hAnsi="宋体" w:eastAsia="宋体" w:cs="宋体"/>
                <w:color w:val="000000"/>
                <w:kern w:val="0"/>
                <w:sz w:val="21"/>
                <w:szCs w:val="21"/>
              </w:rPr>
              <w:t>供应商</w:t>
            </w:r>
            <w:r>
              <w:rPr>
                <w:rFonts w:hint="eastAsia" w:ascii="宋体" w:hAnsi="宋体" w:eastAsia="宋体" w:cs="宋体"/>
                <w:color w:val="000000"/>
                <w:kern w:val="0"/>
                <w:sz w:val="21"/>
                <w:szCs w:val="21"/>
              </w:rPr>
              <w:t>提供的“福建省地理标志重点产业分析研究方案”进行评分：方案目标明确、措施针对性强、切合实际的得3分；调研目标明确、措施针对性一般、基本符合实际的得2分；方案较差，内容较空泛的</w:t>
            </w:r>
            <w:r>
              <w:rPr>
                <w:rFonts w:ascii="宋体" w:hAnsi="宋体" w:eastAsia="宋体" w:cs="宋体"/>
                <w:color w:val="000000"/>
                <w:kern w:val="0"/>
                <w:sz w:val="21"/>
                <w:szCs w:val="21"/>
              </w:rPr>
              <w:t>得1分。</w:t>
            </w:r>
            <w:r>
              <w:rPr>
                <w:rFonts w:hint="eastAsia" w:ascii="宋体" w:hAnsi="宋体" w:eastAsia="宋体" w:cs="宋体"/>
                <w:color w:val="000000"/>
                <w:kern w:val="0"/>
                <w:sz w:val="21"/>
                <w:szCs w:val="21"/>
              </w:rPr>
              <w:t>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6" w:hRule="atLeast"/>
        </w:trPr>
        <w:tc>
          <w:tcPr>
            <w:tcW w:w="514" w:type="dxa"/>
            <w:vMerge w:val="continue"/>
            <w:tcBorders>
              <w:left w:val="outset" w:color="auto" w:sz="6" w:space="0"/>
              <w:right w:val="outset" w:color="auto" w:sz="6" w:space="0"/>
            </w:tcBorders>
            <w:vAlign w:val="center"/>
          </w:tcPr>
          <w:p>
            <w:pPr>
              <w:widowControl/>
              <w:spacing w:line="360" w:lineRule="auto"/>
              <w:jc w:val="left"/>
            </w:pPr>
          </w:p>
        </w:tc>
        <w:tc>
          <w:tcPr>
            <w:tcW w:w="1912" w:type="dxa"/>
            <w:vMerge w:val="continue"/>
            <w:tcBorders>
              <w:left w:val="outset" w:color="auto" w:sz="6" w:space="0"/>
              <w:right w:val="outset" w:color="auto" w:sz="6" w:space="0"/>
            </w:tcBorders>
            <w:vAlign w:val="center"/>
          </w:tcPr>
          <w:p>
            <w:pPr>
              <w:widowControl/>
              <w:spacing w:line="360" w:lineRule="auto"/>
              <w:jc w:val="left"/>
            </w:pPr>
          </w:p>
        </w:tc>
        <w:tc>
          <w:tcPr>
            <w:tcW w:w="1701" w:type="dxa"/>
            <w:vMerge w:val="continue"/>
            <w:tcBorders>
              <w:left w:val="outset" w:color="auto" w:sz="6" w:space="0"/>
              <w:right w:val="outset" w:color="auto" w:sz="6" w:space="0"/>
            </w:tcBorders>
            <w:vAlign w:val="center"/>
          </w:tcPr>
          <w:p>
            <w:pPr>
              <w:widowControl/>
              <w:spacing w:line="360" w:lineRule="auto"/>
              <w:jc w:val="left"/>
            </w:pPr>
          </w:p>
        </w:tc>
        <w:tc>
          <w:tcPr>
            <w:tcW w:w="6662" w:type="dxa"/>
            <w:vMerge w:val="continue"/>
            <w:tcBorders>
              <w:left w:val="outset" w:color="auto" w:sz="6" w:space="0"/>
              <w:right w:val="outset" w:color="auto" w:sz="6" w:space="0"/>
            </w:tcBorders>
            <w:vAlign w:val="center"/>
          </w:tcPr>
          <w:p>
            <w:pPr>
              <w:widowControl/>
              <w:spacing w:line="360" w:lineRule="auto"/>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9" w:hRule="atLeast"/>
        </w:trPr>
        <w:tc>
          <w:tcPr>
            <w:tcW w:w="514"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c>
          <w:tcPr>
            <w:tcW w:w="1912"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c>
          <w:tcPr>
            <w:tcW w:w="1701"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c>
          <w:tcPr>
            <w:tcW w:w="6662"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3" w:hRule="atLeast"/>
        </w:trPr>
        <w:tc>
          <w:tcPr>
            <w:tcW w:w="514" w:type="dxa"/>
            <w:vMerge w:val="restart"/>
            <w:tcBorders>
              <w:top w:val="outset" w:color="auto" w:sz="6" w:space="0"/>
              <w:left w:val="outset" w:color="auto" w:sz="6" w:space="0"/>
              <w:right w:val="outset" w:color="auto" w:sz="6" w:space="0"/>
            </w:tcBorders>
            <w:vAlign w:val="center"/>
          </w:tcPr>
          <w:p>
            <w:pPr>
              <w:adjustRightInd/>
              <w:snapToGrid/>
              <w:spacing w:line="4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912" w:type="dxa"/>
            <w:vMerge w:val="restart"/>
            <w:tcBorders>
              <w:top w:val="outset" w:color="auto" w:sz="6" w:space="0"/>
              <w:left w:val="outset" w:color="auto" w:sz="6" w:space="0"/>
              <w:right w:val="outset" w:color="auto" w:sz="6" w:space="0"/>
            </w:tcBorders>
            <w:vAlign w:val="center"/>
          </w:tcPr>
          <w:p>
            <w:pPr>
              <w:widowControl/>
              <w:adjustRightInd/>
              <w:snapToGrid/>
              <w:spacing w:line="4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福建省各设区市地理标志产业分析研究方案</w:t>
            </w:r>
          </w:p>
        </w:tc>
        <w:tc>
          <w:tcPr>
            <w:tcW w:w="1701" w:type="dxa"/>
            <w:vMerge w:val="restart"/>
            <w:tcBorders>
              <w:top w:val="outset" w:color="auto" w:sz="6" w:space="0"/>
              <w:left w:val="outset" w:color="auto" w:sz="6" w:space="0"/>
              <w:right w:val="outset" w:color="auto" w:sz="6" w:space="0"/>
            </w:tcBorders>
            <w:vAlign w:val="center"/>
          </w:tcPr>
          <w:p>
            <w:pPr>
              <w:widowControl/>
              <w:adjustRightInd/>
              <w:snapToGrid/>
              <w:spacing w:line="4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6662" w:type="dxa"/>
            <w:vMerge w:val="restart"/>
            <w:tcBorders>
              <w:top w:val="outset" w:color="auto" w:sz="6" w:space="0"/>
              <w:left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根据</w:t>
            </w:r>
            <w:r>
              <w:rPr>
                <w:rFonts w:ascii="宋体" w:hAnsi="宋体" w:eastAsia="宋体" w:cs="宋体"/>
                <w:color w:val="000000"/>
                <w:kern w:val="0"/>
                <w:sz w:val="21"/>
                <w:szCs w:val="21"/>
              </w:rPr>
              <w:t>供应商</w:t>
            </w:r>
            <w:r>
              <w:rPr>
                <w:rFonts w:hint="eastAsia" w:ascii="宋体" w:hAnsi="宋体" w:eastAsia="宋体" w:cs="宋体"/>
                <w:color w:val="000000"/>
                <w:kern w:val="0"/>
                <w:sz w:val="21"/>
                <w:szCs w:val="21"/>
              </w:rPr>
              <w:t>提供的“福建省各设区市地理标志产业分析研究方案”进行评分：方案目标明确、措施针对性强、切合实际的得3分；调研目标明确、措施针对性一般、基本符合实际的得2分；方案较差，内容较空泛的</w:t>
            </w:r>
            <w:r>
              <w:rPr>
                <w:rFonts w:ascii="宋体" w:hAnsi="宋体" w:eastAsia="宋体" w:cs="宋体"/>
                <w:color w:val="000000"/>
                <w:kern w:val="0"/>
                <w:sz w:val="21"/>
                <w:szCs w:val="21"/>
              </w:rPr>
              <w:t>得1分。</w:t>
            </w:r>
            <w:r>
              <w:rPr>
                <w:rFonts w:hint="eastAsia" w:ascii="宋体" w:hAnsi="宋体" w:eastAsia="宋体" w:cs="宋体"/>
                <w:color w:val="000000"/>
                <w:kern w:val="0"/>
                <w:sz w:val="21"/>
                <w:szCs w:val="21"/>
              </w:rPr>
              <w:t>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3" w:hRule="atLeast"/>
        </w:trPr>
        <w:tc>
          <w:tcPr>
            <w:tcW w:w="514" w:type="dxa"/>
            <w:vMerge w:val="continue"/>
            <w:tcBorders>
              <w:left w:val="outset" w:color="auto" w:sz="6" w:space="0"/>
              <w:right w:val="outset" w:color="auto" w:sz="6" w:space="0"/>
            </w:tcBorders>
            <w:vAlign w:val="center"/>
          </w:tcPr>
          <w:p>
            <w:pPr>
              <w:widowControl/>
              <w:spacing w:line="360" w:lineRule="auto"/>
              <w:jc w:val="left"/>
            </w:pPr>
          </w:p>
        </w:tc>
        <w:tc>
          <w:tcPr>
            <w:tcW w:w="1912" w:type="dxa"/>
            <w:vMerge w:val="continue"/>
            <w:tcBorders>
              <w:left w:val="outset" w:color="auto" w:sz="6" w:space="0"/>
              <w:right w:val="outset" w:color="auto" w:sz="6" w:space="0"/>
            </w:tcBorders>
            <w:vAlign w:val="center"/>
          </w:tcPr>
          <w:p>
            <w:pPr>
              <w:widowControl/>
              <w:spacing w:line="360" w:lineRule="auto"/>
              <w:jc w:val="left"/>
            </w:pPr>
          </w:p>
        </w:tc>
        <w:tc>
          <w:tcPr>
            <w:tcW w:w="1701" w:type="dxa"/>
            <w:vMerge w:val="continue"/>
            <w:tcBorders>
              <w:left w:val="outset" w:color="auto" w:sz="6" w:space="0"/>
              <w:right w:val="outset" w:color="auto" w:sz="6" w:space="0"/>
            </w:tcBorders>
            <w:vAlign w:val="center"/>
          </w:tcPr>
          <w:p>
            <w:pPr>
              <w:widowControl/>
              <w:spacing w:line="360" w:lineRule="auto"/>
              <w:jc w:val="left"/>
            </w:pPr>
          </w:p>
        </w:tc>
        <w:tc>
          <w:tcPr>
            <w:tcW w:w="6662" w:type="dxa"/>
            <w:vMerge w:val="continue"/>
            <w:tcBorders>
              <w:left w:val="outset" w:color="auto" w:sz="6" w:space="0"/>
              <w:right w:val="outset" w:color="auto" w:sz="6" w:space="0"/>
            </w:tcBorders>
            <w:vAlign w:val="center"/>
          </w:tcPr>
          <w:p>
            <w:pPr>
              <w:widowControl/>
              <w:spacing w:line="360" w:lineRule="auto"/>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9" w:hRule="atLeast"/>
        </w:trPr>
        <w:tc>
          <w:tcPr>
            <w:tcW w:w="514"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c>
          <w:tcPr>
            <w:tcW w:w="1912"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c>
          <w:tcPr>
            <w:tcW w:w="1701"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c>
          <w:tcPr>
            <w:tcW w:w="6662"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trPr>
        <w:tc>
          <w:tcPr>
            <w:tcW w:w="514" w:type="dxa"/>
            <w:vMerge w:val="restart"/>
            <w:tcBorders>
              <w:top w:val="outset" w:color="auto" w:sz="6" w:space="0"/>
              <w:left w:val="outset" w:color="auto" w:sz="6" w:space="0"/>
              <w:right w:val="outset" w:color="auto" w:sz="6" w:space="0"/>
            </w:tcBorders>
            <w:vAlign w:val="center"/>
          </w:tcPr>
          <w:p>
            <w:pPr>
              <w:adjustRightInd/>
              <w:snapToGrid/>
              <w:spacing w:line="4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1912" w:type="dxa"/>
            <w:vMerge w:val="restart"/>
            <w:tcBorders>
              <w:top w:val="outset" w:color="auto" w:sz="6" w:space="0"/>
              <w:left w:val="outset" w:color="auto" w:sz="6" w:space="0"/>
              <w:right w:val="outset" w:color="auto" w:sz="6" w:space="0"/>
            </w:tcBorders>
            <w:vAlign w:val="center"/>
          </w:tcPr>
          <w:p>
            <w:pPr>
              <w:widowControl/>
              <w:adjustRightInd/>
              <w:snapToGrid/>
              <w:spacing w:line="4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福建地理标志产业助力乡村振兴发展案例凝练方案</w:t>
            </w:r>
          </w:p>
        </w:tc>
        <w:tc>
          <w:tcPr>
            <w:tcW w:w="1701" w:type="dxa"/>
            <w:vMerge w:val="restart"/>
            <w:tcBorders>
              <w:top w:val="outset" w:color="auto" w:sz="6" w:space="0"/>
              <w:left w:val="outset" w:color="auto" w:sz="6" w:space="0"/>
              <w:right w:val="outset" w:color="auto" w:sz="6" w:space="0"/>
            </w:tcBorders>
            <w:vAlign w:val="center"/>
          </w:tcPr>
          <w:p>
            <w:pPr>
              <w:widowControl/>
              <w:adjustRightInd/>
              <w:snapToGrid/>
              <w:spacing w:line="4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6662" w:type="dxa"/>
            <w:vMerge w:val="restart"/>
            <w:tcBorders>
              <w:top w:val="outset" w:color="auto" w:sz="6" w:space="0"/>
              <w:left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根据</w:t>
            </w:r>
            <w:r>
              <w:rPr>
                <w:rFonts w:ascii="宋体" w:hAnsi="宋体" w:eastAsia="宋体" w:cs="宋体"/>
                <w:color w:val="000000"/>
                <w:kern w:val="0"/>
                <w:sz w:val="21"/>
                <w:szCs w:val="21"/>
              </w:rPr>
              <w:t>供应商</w:t>
            </w:r>
            <w:r>
              <w:rPr>
                <w:rFonts w:hint="eastAsia" w:ascii="宋体" w:hAnsi="宋体" w:eastAsia="宋体" w:cs="宋体"/>
                <w:color w:val="000000"/>
                <w:kern w:val="0"/>
                <w:sz w:val="21"/>
                <w:szCs w:val="21"/>
              </w:rPr>
              <w:t>提供的“福建地理标志产业助力乡村振兴发展案例凝练方案”进行评分：方案目标明确、措施针对性强、切合实际的得3分；调研目标明确、措施针对性一般、基本符合实际的得2分；方案较差，内容较空泛的</w:t>
            </w:r>
            <w:r>
              <w:rPr>
                <w:rFonts w:ascii="宋体" w:hAnsi="宋体" w:eastAsia="宋体" w:cs="宋体"/>
                <w:color w:val="000000"/>
                <w:kern w:val="0"/>
                <w:sz w:val="21"/>
                <w:szCs w:val="21"/>
              </w:rPr>
              <w:t>得1分。</w:t>
            </w:r>
            <w:r>
              <w:rPr>
                <w:rFonts w:hint="eastAsia" w:ascii="宋体" w:hAnsi="宋体" w:eastAsia="宋体" w:cs="宋体"/>
                <w:color w:val="000000"/>
                <w:kern w:val="0"/>
                <w:sz w:val="21"/>
                <w:szCs w:val="21"/>
              </w:rPr>
              <w:t xml:space="preserve">未提供的不得分。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trPr>
        <w:tc>
          <w:tcPr>
            <w:tcW w:w="514" w:type="dxa"/>
            <w:vMerge w:val="continue"/>
            <w:tcBorders>
              <w:left w:val="outset" w:color="auto" w:sz="6" w:space="0"/>
              <w:right w:val="outset" w:color="auto" w:sz="6" w:space="0"/>
            </w:tcBorders>
            <w:vAlign w:val="center"/>
          </w:tcPr>
          <w:p>
            <w:pPr>
              <w:widowControl/>
              <w:spacing w:line="360" w:lineRule="auto"/>
              <w:jc w:val="left"/>
            </w:pPr>
          </w:p>
        </w:tc>
        <w:tc>
          <w:tcPr>
            <w:tcW w:w="1912" w:type="dxa"/>
            <w:vMerge w:val="continue"/>
            <w:tcBorders>
              <w:left w:val="outset" w:color="auto" w:sz="6" w:space="0"/>
              <w:right w:val="outset" w:color="auto" w:sz="6" w:space="0"/>
            </w:tcBorders>
            <w:vAlign w:val="center"/>
          </w:tcPr>
          <w:p>
            <w:pPr>
              <w:widowControl/>
              <w:spacing w:line="360" w:lineRule="auto"/>
              <w:jc w:val="left"/>
            </w:pPr>
          </w:p>
        </w:tc>
        <w:tc>
          <w:tcPr>
            <w:tcW w:w="1701" w:type="dxa"/>
            <w:vMerge w:val="continue"/>
            <w:tcBorders>
              <w:left w:val="outset" w:color="auto" w:sz="6" w:space="0"/>
              <w:right w:val="outset" w:color="auto" w:sz="6" w:space="0"/>
            </w:tcBorders>
            <w:vAlign w:val="center"/>
          </w:tcPr>
          <w:p>
            <w:pPr>
              <w:widowControl/>
              <w:spacing w:line="360" w:lineRule="auto"/>
              <w:jc w:val="left"/>
            </w:pPr>
          </w:p>
        </w:tc>
        <w:tc>
          <w:tcPr>
            <w:tcW w:w="6662" w:type="dxa"/>
            <w:vMerge w:val="continue"/>
            <w:tcBorders>
              <w:left w:val="outset" w:color="auto" w:sz="6" w:space="0"/>
              <w:right w:val="outset" w:color="auto" w:sz="6" w:space="0"/>
            </w:tcBorders>
            <w:vAlign w:val="center"/>
          </w:tcPr>
          <w:p>
            <w:pPr>
              <w:widowControl/>
              <w:spacing w:line="360" w:lineRule="auto"/>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trPr>
        <w:tc>
          <w:tcPr>
            <w:tcW w:w="514"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c>
          <w:tcPr>
            <w:tcW w:w="1912"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c>
          <w:tcPr>
            <w:tcW w:w="1701"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c>
          <w:tcPr>
            <w:tcW w:w="6662"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0" w:hRule="atLeast"/>
        </w:trPr>
        <w:tc>
          <w:tcPr>
            <w:tcW w:w="514" w:type="dxa"/>
            <w:vMerge w:val="restart"/>
            <w:tcBorders>
              <w:top w:val="outset" w:color="auto" w:sz="6" w:space="0"/>
              <w:left w:val="outset" w:color="auto" w:sz="6" w:space="0"/>
              <w:right w:val="outset" w:color="auto" w:sz="6" w:space="0"/>
            </w:tcBorders>
            <w:vAlign w:val="center"/>
          </w:tcPr>
          <w:p>
            <w:pPr>
              <w:adjustRightInd/>
              <w:snapToGrid/>
              <w:spacing w:line="4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1912" w:type="dxa"/>
            <w:vMerge w:val="restart"/>
            <w:tcBorders>
              <w:top w:val="outset" w:color="auto" w:sz="6" w:space="0"/>
              <w:left w:val="outset" w:color="auto" w:sz="6" w:space="0"/>
              <w:right w:val="outset" w:color="auto" w:sz="6" w:space="0"/>
            </w:tcBorders>
            <w:vAlign w:val="center"/>
          </w:tcPr>
          <w:p>
            <w:pPr>
              <w:widowControl/>
              <w:adjustRightInd/>
              <w:snapToGrid/>
              <w:spacing w:line="4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福建省地理标志产业优惠政策搜集汇总方案</w:t>
            </w:r>
          </w:p>
        </w:tc>
        <w:tc>
          <w:tcPr>
            <w:tcW w:w="1701" w:type="dxa"/>
            <w:vMerge w:val="restart"/>
            <w:tcBorders>
              <w:top w:val="outset" w:color="auto" w:sz="6" w:space="0"/>
              <w:left w:val="outset" w:color="auto" w:sz="6" w:space="0"/>
              <w:right w:val="outset" w:color="auto" w:sz="6" w:space="0"/>
            </w:tcBorders>
            <w:vAlign w:val="center"/>
          </w:tcPr>
          <w:p>
            <w:pPr>
              <w:widowControl/>
              <w:adjustRightInd/>
              <w:snapToGrid/>
              <w:spacing w:line="4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6662" w:type="dxa"/>
            <w:vMerge w:val="restart"/>
            <w:tcBorders>
              <w:top w:val="outset" w:color="auto" w:sz="6" w:space="0"/>
              <w:left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根据</w:t>
            </w:r>
            <w:r>
              <w:rPr>
                <w:rFonts w:ascii="宋体" w:hAnsi="宋体" w:eastAsia="宋体" w:cs="宋体"/>
                <w:color w:val="000000"/>
                <w:kern w:val="0"/>
                <w:sz w:val="21"/>
                <w:szCs w:val="21"/>
              </w:rPr>
              <w:t>供应商</w:t>
            </w:r>
            <w:r>
              <w:rPr>
                <w:rFonts w:hint="eastAsia" w:ascii="宋体" w:hAnsi="宋体" w:eastAsia="宋体" w:cs="宋体"/>
                <w:color w:val="000000"/>
                <w:kern w:val="0"/>
                <w:sz w:val="21"/>
                <w:szCs w:val="21"/>
              </w:rPr>
              <w:t>提供的“福建省地理标志产业优惠政策搜集汇总方案”进行评分：方案目标明确、措施针对性强、切合实际的得3分；调研目标明确、措施针对性一般、基本符合实际的得2分；方案较差，内容较空泛的</w:t>
            </w:r>
            <w:r>
              <w:rPr>
                <w:rFonts w:ascii="宋体" w:hAnsi="宋体" w:eastAsia="宋体" w:cs="宋体"/>
                <w:color w:val="000000"/>
                <w:kern w:val="0"/>
                <w:sz w:val="21"/>
                <w:szCs w:val="21"/>
              </w:rPr>
              <w:t>得1分。</w:t>
            </w:r>
            <w:r>
              <w:rPr>
                <w:rFonts w:hint="eastAsia" w:ascii="宋体" w:hAnsi="宋体" w:eastAsia="宋体" w:cs="宋体"/>
                <w:color w:val="000000"/>
                <w:kern w:val="0"/>
                <w:sz w:val="21"/>
                <w:szCs w:val="21"/>
              </w:rPr>
              <w:t xml:space="preserve">未提供的不得分。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3" w:hRule="atLeast"/>
        </w:trPr>
        <w:tc>
          <w:tcPr>
            <w:tcW w:w="514" w:type="dxa"/>
            <w:vMerge w:val="continue"/>
            <w:tcBorders>
              <w:left w:val="outset" w:color="auto" w:sz="6" w:space="0"/>
              <w:right w:val="outset" w:color="auto" w:sz="6" w:space="0"/>
            </w:tcBorders>
            <w:vAlign w:val="center"/>
          </w:tcPr>
          <w:p>
            <w:pPr>
              <w:widowControl/>
              <w:spacing w:line="360" w:lineRule="auto"/>
              <w:jc w:val="left"/>
            </w:pPr>
          </w:p>
        </w:tc>
        <w:tc>
          <w:tcPr>
            <w:tcW w:w="1912" w:type="dxa"/>
            <w:vMerge w:val="continue"/>
            <w:tcBorders>
              <w:left w:val="outset" w:color="auto" w:sz="6" w:space="0"/>
              <w:right w:val="outset" w:color="auto" w:sz="6" w:space="0"/>
            </w:tcBorders>
            <w:vAlign w:val="center"/>
          </w:tcPr>
          <w:p>
            <w:pPr>
              <w:widowControl/>
              <w:spacing w:line="360" w:lineRule="auto"/>
              <w:jc w:val="left"/>
            </w:pPr>
          </w:p>
        </w:tc>
        <w:tc>
          <w:tcPr>
            <w:tcW w:w="1701" w:type="dxa"/>
            <w:vMerge w:val="continue"/>
            <w:tcBorders>
              <w:left w:val="outset" w:color="auto" w:sz="6" w:space="0"/>
              <w:right w:val="outset" w:color="auto" w:sz="6" w:space="0"/>
            </w:tcBorders>
            <w:vAlign w:val="center"/>
          </w:tcPr>
          <w:p>
            <w:pPr>
              <w:widowControl/>
              <w:spacing w:line="360" w:lineRule="auto"/>
              <w:jc w:val="left"/>
            </w:pPr>
          </w:p>
        </w:tc>
        <w:tc>
          <w:tcPr>
            <w:tcW w:w="6662" w:type="dxa"/>
            <w:vMerge w:val="continue"/>
            <w:tcBorders>
              <w:left w:val="outset" w:color="auto" w:sz="6" w:space="0"/>
              <w:right w:val="outset" w:color="auto" w:sz="6" w:space="0"/>
            </w:tcBorders>
            <w:vAlign w:val="center"/>
          </w:tcPr>
          <w:p>
            <w:pPr>
              <w:widowControl/>
              <w:spacing w:line="360" w:lineRule="auto"/>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9" w:hRule="atLeast"/>
        </w:trPr>
        <w:tc>
          <w:tcPr>
            <w:tcW w:w="514"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c>
          <w:tcPr>
            <w:tcW w:w="1912"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c>
          <w:tcPr>
            <w:tcW w:w="1701"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c>
          <w:tcPr>
            <w:tcW w:w="6662"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1" w:hRule="atLeast"/>
        </w:trPr>
        <w:tc>
          <w:tcPr>
            <w:tcW w:w="514" w:type="dxa"/>
            <w:vMerge w:val="restart"/>
            <w:tcBorders>
              <w:top w:val="outset" w:color="auto" w:sz="6" w:space="0"/>
              <w:left w:val="outset" w:color="auto" w:sz="6" w:space="0"/>
              <w:right w:val="outset" w:color="auto" w:sz="6" w:space="0"/>
            </w:tcBorders>
            <w:vAlign w:val="center"/>
          </w:tcPr>
          <w:p>
            <w:pPr>
              <w:adjustRightInd/>
              <w:snapToGrid/>
              <w:spacing w:line="4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1912" w:type="dxa"/>
            <w:vMerge w:val="restart"/>
            <w:tcBorders>
              <w:top w:val="outset" w:color="auto" w:sz="6" w:space="0"/>
              <w:left w:val="outset" w:color="auto" w:sz="6" w:space="0"/>
              <w:right w:val="outset" w:color="auto" w:sz="6" w:space="0"/>
            </w:tcBorders>
            <w:vAlign w:val="center"/>
          </w:tcPr>
          <w:p>
            <w:pPr>
              <w:widowControl/>
              <w:adjustRightInd/>
              <w:snapToGrid/>
              <w:spacing w:line="4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项目服务</w:t>
            </w:r>
          </w:p>
          <w:p>
            <w:pPr>
              <w:widowControl/>
              <w:adjustRightInd/>
              <w:snapToGrid/>
              <w:spacing w:line="4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方案</w:t>
            </w:r>
          </w:p>
        </w:tc>
        <w:tc>
          <w:tcPr>
            <w:tcW w:w="1701" w:type="dxa"/>
            <w:vMerge w:val="restart"/>
            <w:tcBorders>
              <w:top w:val="outset" w:color="auto" w:sz="6" w:space="0"/>
              <w:left w:val="outset" w:color="auto" w:sz="6" w:space="0"/>
              <w:right w:val="outset" w:color="auto" w:sz="6" w:space="0"/>
            </w:tcBorders>
            <w:vAlign w:val="center"/>
          </w:tcPr>
          <w:p>
            <w:pPr>
              <w:widowControl/>
              <w:adjustRightInd/>
              <w:snapToGrid/>
              <w:spacing w:line="40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3</w:t>
            </w:r>
          </w:p>
        </w:tc>
        <w:tc>
          <w:tcPr>
            <w:tcW w:w="6662" w:type="dxa"/>
            <w:vMerge w:val="restart"/>
            <w:tcBorders>
              <w:top w:val="outset" w:color="auto" w:sz="6" w:space="0"/>
              <w:left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r>
              <w:rPr>
                <w:rFonts w:ascii="宋体" w:hAnsi="宋体" w:eastAsia="宋体" w:cs="宋体"/>
                <w:color w:val="000000"/>
                <w:kern w:val="0"/>
                <w:sz w:val="21"/>
                <w:szCs w:val="21"/>
              </w:rPr>
              <w:t>根据供应商</w:t>
            </w:r>
            <w:r>
              <w:rPr>
                <w:rFonts w:hint="eastAsia" w:ascii="宋体" w:hAnsi="宋体" w:eastAsia="宋体" w:cs="宋体"/>
                <w:color w:val="000000"/>
                <w:kern w:val="0"/>
                <w:sz w:val="21"/>
                <w:szCs w:val="21"/>
              </w:rPr>
              <w:t>提供的针对本项目的工作服务方案进行评分：工作目标明确、措施针对性强、切合实际的得3分；工作目标明确、措施针对性一般、基本符合实际的得2分；方案较差，内容较空泛的</w:t>
            </w:r>
            <w:r>
              <w:rPr>
                <w:rFonts w:ascii="宋体" w:hAnsi="宋体" w:eastAsia="宋体" w:cs="宋体"/>
                <w:color w:val="000000"/>
                <w:kern w:val="0"/>
                <w:sz w:val="21"/>
                <w:szCs w:val="21"/>
              </w:rPr>
              <w:t>得1分。</w:t>
            </w:r>
            <w:r>
              <w:rPr>
                <w:rFonts w:hint="eastAsia" w:ascii="宋体" w:hAnsi="宋体" w:eastAsia="宋体" w:cs="宋体"/>
                <w:color w:val="000000"/>
                <w:kern w:val="0"/>
                <w:sz w:val="21"/>
                <w:szCs w:val="21"/>
              </w:rPr>
              <w:t>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3" w:hRule="atLeast"/>
        </w:trPr>
        <w:tc>
          <w:tcPr>
            <w:tcW w:w="514" w:type="dxa"/>
            <w:vMerge w:val="continue"/>
            <w:tcBorders>
              <w:left w:val="outset" w:color="auto" w:sz="6" w:space="0"/>
              <w:right w:val="outset" w:color="auto" w:sz="6" w:space="0"/>
            </w:tcBorders>
            <w:vAlign w:val="center"/>
          </w:tcPr>
          <w:p>
            <w:pPr>
              <w:widowControl/>
              <w:spacing w:line="360" w:lineRule="auto"/>
              <w:jc w:val="left"/>
            </w:pPr>
          </w:p>
        </w:tc>
        <w:tc>
          <w:tcPr>
            <w:tcW w:w="1912" w:type="dxa"/>
            <w:vMerge w:val="continue"/>
            <w:tcBorders>
              <w:left w:val="outset" w:color="auto" w:sz="6" w:space="0"/>
              <w:right w:val="outset" w:color="auto" w:sz="6" w:space="0"/>
            </w:tcBorders>
            <w:vAlign w:val="center"/>
          </w:tcPr>
          <w:p>
            <w:pPr>
              <w:widowControl/>
              <w:spacing w:line="360" w:lineRule="auto"/>
              <w:jc w:val="left"/>
            </w:pPr>
          </w:p>
        </w:tc>
        <w:tc>
          <w:tcPr>
            <w:tcW w:w="1701" w:type="dxa"/>
            <w:vMerge w:val="continue"/>
            <w:tcBorders>
              <w:left w:val="outset" w:color="auto" w:sz="6" w:space="0"/>
              <w:right w:val="outset" w:color="auto" w:sz="6" w:space="0"/>
            </w:tcBorders>
            <w:vAlign w:val="center"/>
          </w:tcPr>
          <w:p>
            <w:pPr>
              <w:widowControl/>
              <w:spacing w:line="360" w:lineRule="auto"/>
              <w:jc w:val="left"/>
            </w:pPr>
          </w:p>
        </w:tc>
        <w:tc>
          <w:tcPr>
            <w:tcW w:w="6662" w:type="dxa"/>
            <w:vMerge w:val="continue"/>
            <w:tcBorders>
              <w:left w:val="outset" w:color="auto" w:sz="6" w:space="0"/>
              <w:right w:val="outset" w:color="auto" w:sz="6" w:space="0"/>
            </w:tcBorders>
            <w:vAlign w:val="center"/>
          </w:tcPr>
          <w:p>
            <w:pPr>
              <w:widowControl/>
              <w:spacing w:line="360" w:lineRule="auto"/>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9" w:hRule="atLeast"/>
        </w:trPr>
        <w:tc>
          <w:tcPr>
            <w:tcW w:w="514"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c>
          <w:tcPr>
            <w:tcW w:w="1912"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c>
          <w:tcPr>
            <w:tcW w:w="1701"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c>
          <w:tcPr>
            <w:tcW w:w="6662"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0" w:hRule="atLeast"/>
        </w:trPr>
        <w:tc>
          <w:tcPr>
            <w:tcW w:w="514" w:type="dxa"/>
            <w:vMerge w:val="restart"/>
            <w:tcBorders>
              <w:top w:val="outset" w:color="auto" w:sz="6" w:space="0"/>
              <w:left w:val="outset" w:color="auto" w:sz="6" w:space="0"/>
              <w:right w:val="outset" w:color="auto" w:sz="6" w:space="0"/>
            </w:tcBorders>
            <w:vAlign w:val="center"/>
          </w:tcPr>
          <w:p>
            <w:pPr>
              <w:adjustRightInd/>
              <w:snapToGrid/>
              <w:spacing w:line="4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1912" w:type="dxa"/>
            <w:vMerge w:val="restart"/>
            <w:tcBorders>
              <w:top w:val="outset" w:color="auto" w:sz="6" w:space="0"/>
              <w:left w:val="outset" w:color="auto" w:sz="6" w:space="0"/>
              <w:right w:val="outset" w:color="auto" w:sz="6" w:space="0"/>
            </w:tcBorders>
            <w:vAlign w:val="center"/>
          </w:tcPr>
          <w:p>
            <w:pPr>
              <w:widowControl/>
              <w:adjustRightInd/>
              <w:snapToGrid/>
              <w:spacing w:line="4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项目时间</w:t>
            </w:r>
          </w:p>
          <w:p>
            <w:pPr>
              <w:widowControl/>
              <w:adjustRightInd/>
              <w:snapToGrid/>
              <w:spacing w:line="4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安排</w:t>
            </w:r>
          </w:p>
        </w:tc>
        <w:tc>
          <w:tcPr>
            <w:tcW w:w="1701" w:type="dxa"/>
            <w:vMerge w:val="restart"/>
            <w:tcBorders>
              <w:top w:val="outset" w:color="auto" w:sz="6" w:space="0"/>
              <w:left w:val="outset" w:color="auto" w:sz="6" w:space="0"/>
              <w:right w:val="outset" w:color="auto" w:sz="6" w:space="0"/>
            </w:tcBorders>
            <w:vAlign w:val="center"/>
          </w:tcPr>
          <w:p>
            <w:pPr>
              <w:widowControl/>
              <w:adjustRightInd/>
              <w:snapToGrid/>
              <w:spacing w:line="4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6662" w:type="dxa"/>
            <w:vMerge w:val="restart"/>
            <w:tcBorders>
              <w:top w:val="outset" w:color="auto" w:sz="6" w:space="0"/>
              <w:left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根据</w:t>
            </w:r>
            <w:r>
              <w:rPr>
                <w:rFonts w:ascii="宋体" w:hAnsi="宋体" w:eastAsia="宋体" w:cs="宋体"/>
                <w:color w:val="000000"/>
                <w:kern w:val="0"/>
                <w:sz w:val="21"/>
                <w:szCs w:val="21"/>
              </w:rPr>
              <w:t>供应商提供的项目</w:t>
            </w:r>
            <w:r>
              <w:rPr>
                <w:rFonts w:hint="eastAsia" w:ascii="宋体" w:hAnsi="宋体" w:eastAsia="宋体" w:cs="宋体"/>
                <w:color w:val="000000"/>
                <w:kern w:val="0"/>
                <w:sz w:val="21"/>
                <w:szCs w:val="21"/>
              </w:rPr>
              <w:t>时间安排情况进行评分:项目时间安排合理、符合项目实际情况得的3分；时间安排一般、基本符合项目实际情况的得2分；时间安排较差、内容较空泛</w:t>
            </w:r>
            <w:bookmarkStart w:id="68" w:name="_GoBack"/>
            <w:bookmarkEnd w:id="68"/>
            <w:r>
              <w:rPr>
                <w:rFonts w:hint="eastAsia" w:ascii="宋体" w:hAnsi="宋体" w:eastAsia="宋体" w:cs="宋体"/>
                <w:color w:val="000000"/>
                <w:kern w:val="0"/>
                <w:sz w:val="21"/>
                <w:szCs w:val="21"/>
              </w:rPr>
              <w:t>的1分。未提供的不得分。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0" w:hRule="atLeast"/>
        </w:trPr>
        <w:tc>
          <w:tcPr>
            <w:tcW w:w="514" w:type="dxa"/>
            <w:vMerge w:val="continue"/>
            <w:tcBorders>
              <w:left w:val="outset" w:color="auto" w:sz="6" w:space="0"/>
              <w:right w:val="outset" w:color="auto" w:sz="6" w:space="0"/>
            </w:tcBorders>
            <w:vAlign w:val="center"/>
          </w:tcPr>
          <w:p>
            <w:pPr>
              <w:widowControl/>
              <w:spacing w:line="360" w:lineRule="auto"/>
              <w:jc w:val="left"/>
            </w:pPr>
          </w:p>
        </w:tc>
        <w:tc>
          <w:tcPr>
            <w:tcW w:w="1912" w:type="dxa"/>
            <w:vMerge w:val="continue"/>
            <w:tcBorders>
              <w:left w:val="outset" w:color="auto" w:sz="6" w:space="0"/>
              <w:right w:val="outset" w:color="auto" w:sz="6" w:space="0"/>
            </w:tcBorders>
            <w:vAlign w:val="center"/>
          </w:tcPr>
          <w:p>
            <w:pPr>
              <w:widowControl/>
              <w:spacing w:line="360" w:lineRule="auto"/>
              <w:jc w:val="left"/>
            </w:pPr>
          </w:p>
        </w:tc>
        <w:tc>
          <w:tcPr>
            <w:tcW w:w="1701" w:type="dxa"/>
            <w:vMerge w:val="continue"/>
            <w:tcBorders>
              <w:left w:val="outset" w:color="auto" w:sz="6" w:space="0"/>
              <w:right w:val="outset" w:color="auto" w:sz="6" w:space="0"/>
            </w:tcBorders>
            <w:vAlign w:val="center"/>
          </w:tcPr>
          <w:p>
            <w:pPr>
              <w:widowControl/>
              <w:spacing w:line="360" w:lineRule="auto"/>
              <w:jc w:val="left"/>
            </w:pPr>
          </w:p>
        </w:tc>
        <w:tc>
          <w:tcPr>
            <w:tcW w:w="6662" w:type="dxa"/>
            <w:vMerge w:val="continue"/>
            <w:tcBorders>
              <w:left w:val="outset" w:color="auto" w:sz="6" w:space="0"/>
              <w:right w:val="outset" w:color="auto" w:sz="6" w:space="0"/>
            </w:tcBorders>
            <w:vAlign w:val="center"/>
          </w:tcPr>
          <w:p>
            <w:pPr>
              <w:widowControl/>
              <w:spacing w:line="360" w:lineRule="auto"/>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0" w:hRule="atLeast"/>
        </w:trPr>
        <w:tc>
          <w:tcPr>
            <w:tcW w:w="514"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c>
          <w:tcPr>
            <w:tcW w:w="1912"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c>
          <w:tcPr>
            <w:tcW w:w="1701"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c>
          <w:tcPr>
            <w:tcW w:w="6662"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r>
    </w:tbl>
    <w:p>
      <w:pPr>
        <w:rPr>
          <w:rFonts w:ascii="宋体" w:hAnsi="宋体" w:eastAsia="宋体"/>
          <w:b/>
          <w:color w:val="000000"/>
          <w:sz w:val="24"/>
        </w:rPr>
      </w:pPr>
      <w:r>
        <w:rPr>
          <w:rFonts w:hint="eastAsia" w:ascii="宋体" w:hAnsi="宋体" w:eastAsia="宋体"/>
          <w:b/>
          <w:color w:val="000000"/>
          <w:sz w:val="24"/>
        </w:rPr>
        <w:t xml:space="preserve">商务部分评分 </w:t>
      </w:r>
      <w:r>
        <w:rPr>
          <w:rFonts w:ascii="宋体" w:hAnsi="宋体" w:eastAsia="宋体"/>
          <w:b/>
          <w:color w:val="000000"/>
          <w:sz w:val="24"/>
        </w:rPr>
        <w:t xml:space="preserve"> </w:t>
      </w:r>
      <w:r>
        <w:rPr>
          <w:rFonts w:hint="eastAsia" w:ascii="宋体" w:hAnsi="宋体" w:eastAsia="宋体"/>
          <w:b/>
          <w:color w:val="000000"/>
          <w:sz w:val="24"/>
        </w:rPr>
        <w:t>满分30分</w:t>
      </w:r>
    </w:p>
    <w:tbl>
      <w:tblPr>
        <w:tblStyle w:val="5"/>
        <w:tblW w:w="10789" w:type="dxa"/>
        <w:tblInd w:w="-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46"/>
        <w:gridCol w:w="1880"/>
        <w:gridCol w:w="1701"/>
        <w:gridCol w:w="66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546" w:type="dxa"/>
            <w:tcBorders>
              <w:top w:val="outset" w:color="auto" w:sz="6" w:space="0"/>
              <w:left w:val="outset" w:color="auto" w:sz="6" w:space="0"/>
              <w:bottom w:val="outset" w:color="auto" w:sz="6" w:space="0"/>
              <w:right w:val="outset" w:color="auto" w:sz="6" w:space="0"/>
            </w:tcBorders>
          </w:tcPr>
          <w:p>
            <w:pPr>
              <w:widowControl/>
              <w:adjustRightInd/>
              <w:snapToGrid/>
              <w:spacing w:line="46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1880" w:type="dxa"/>
            <w:tcBorders>
              <w:top w:val="outset" w:color="auto" w:sz="6" w:space="0"/>
              <w:left w:val="outset" w:color="auto" w:sz="6" w:space="0"/>
              <w:bottom w:val="outset" w:color="auto" w:sz="6" w:space="0"/>
              <w:right w:val="outset" w:color="auto" w:sz="6" w:space="0"/>
            </w:tcBorders>
            <w:vAlign w:val="center"/>
          </w:tcPr>
          <w:p>
            <w:pPr>
              <w:widowControl/>
              <w:adjustRightInd/>
              <w:snapToGrid/>
              <w:spacing w:line="460" w:lineRule="exact"/>
              <w:jc w:val="center"/>
              <w:rPr>
                <w:rFonts w:ascii="宋体" w:hAnsi="宋体" w:eastAsia="宋体"/>
                <w:color w:val="000000"/>
                <w:sz w:val="21"/>
                <w:szCs w:val="21"/>
              </w:rPr>
            </w:pPr>
            <w:r>
              <w:rPr>
                <w:rFonts w:ascii="宋体" w:hAnsi="宋体" w:eastAsia="宋体" w:cs="宋体"/>
                <w:color w:val="000000"/>
                <w:kern w:val="0"/>
                <w:sz w:val="21"/>
                <w:szCs w:val="21"/>
              </w:rPr>
              <w:t>项目</w:t>
            </w:r>
          </w:p>
        </w:tc>
        <w:tc>
          <w:tcPr>
            <w:tcW w:w="1701" w:type="dxa"/>
            <w:tcBorders>
              <w:top w:val="outset" w:color="auto" w:sz="6" w:space="0"/>
              <w:left w:val="outset" w:color="auto" w:sz="6" w:space="0"/>
              <w:bottom w:val="outset" w:color="auto" w:sz="6" w:space="0"/>
              <w:right w:val="outset" w:color="auto" w:sz="6" w:space="0"/>
            </w:tcBorders>
            <w:vAlign w:val="center"/>
          </w:tcPr>
          <w:p>
            <w:pPr>
              <w:widowControl/>
              <w:adjustRightInd/>
              <w:snapToGrid/>
              <w:spacing w:line="460" w:lineRule="exact"/>
              <w:jc w:val="center"/>
              <w:rPr>
                <w:rFonts w:ascii="宋体" w:hAnsi="宋体" w:eastAsia="宋体"/>
                <w:color w:val="000000"/>
                <w:sz w:val="21"/>
                <w:szCs w:val="21"/>
              </w:rPr>
            </w:pPr>
            <w:r>
              <w:rPr>
                <w:rFonts w:ascii="宋体" w:hAnsi="宋体" w:eastAsia="宋体" w:cs="宋体"/>
                <w:color w:val="000000"/>
                <w:kern w:val="0"/>
                <w:sz w:val="21"/>
                <w:szCs w:val="21"/>
              </w:rPr>
              <w:t>分值</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adjustRightInd/>
              <w:snapToGrid/>
              <w:spacing w:line="460" w:lineRule="exact"/>
              <w:jc w:val="center"/>
              <w:rPr>
                <w:rFonts w:ascii="宋体" w:hAnsi="宋体" w:eastAsia="宋体"/>
                <w:color w:val="000000"/>
                <w:sz w:val="21"/>
                <w:szCs w:val="21"/>
              </w:rPr>
            </w:pPr>
            <w:r>
              <w:rPr>
                <w:rFonts w:ascii="宋体" w:hAnsi="宋体" w:eastAsia="宋体" w:cs="宋体"/>
                <w:color w:val="000000"/>
                <w:kern w:val="0"/>
                <w:sz w:val="21"/>
                <w:szCs w:val="21"/>
              </w:rPr>
              <w:t>评</w:t>
            </w:r>
            <w:r>
              <w:rPr>
                <w:rFonts w:hint="eastAsia" w:ascii="宋体" w:hAnsi="宋体" w:eastAsia="宋体" w:cs="宋体"/>
                <w:color w:val="000000"/>
                <w:kern w:val="0"/>
                <w:sz w:val="21"/>
                <w:szCs w:val="21"/>
              </w:rPr>
              <w:t>分</w:t>
            </w:r>
            <w:r>
              <w:rPr>
                <w:rFonts w:ascii="宋体" w:hAnsi="宋体" w:eastAsia="宋体" w:cs="宋体"/>
                <w:color w:val="000000"/>
                <w:kern w:val="0"/>
                <w:sz w:val="21"/>
                <w:szCs w:val="21"/>
              </w:rPr>
              <w:t>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2" w:hRule="atLeast"/>
        </w:trPr>
        <w:tc>
          <w:tcPr>
            <w:tcW w:w="546" w:type="dxa"/>
            <w:vMerge w:val="restart"/>
            <w:tcBorders>
              <w:top w:val="outset" w:color="auto" w:sz="6" w:space="0"/>
              <w:left w:val="outset" w:color="auto" w:sz="6" w:space="0"/>
              <w:right w:val="outset" w:color="auto" w:sz="6" w:space="0"/>
            </w:tcBorders>
            <w:vAlign w:val="center"/>
          </w:tcPr>
          <w:p>
            <w:pPr>
              <w:spacing w:line="4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880" w:type="dxa"/>
            <w:vMerge w:val="restart"/>
            <w:tcBorders>
              <w:top w:val="outset" w:color="auto" w:sz="6" w:space="0"/>
              <w:left w:val="outset" w:color="auto" w:sz="6" w:space="0"/>
              <w:right w:val="outset" w:color="auto" w:sz="6" w:space="0"/>
            </w:tcBorders>
            <w:vAlign w:val="center"/>
          </w:tcPr>
          <w:p>
            <w:pPr>
              <w:spacing w:line="360" w:lineRule="auto"/>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供应商资质</w:t>
            </w:r>
          </w:p>
        </w:tc>
        <w:tc>
          <w:tcPr>
            <w:tcW w:w="1701" w:type="dxa"/>
            <w:vMerge w:val="restart"/>
            <w:tcBorders>
              <w:top w:val="outset" w:color="auto" w:sz="6" w:space="0"/>
              <w:left w:val="outset" w:color="auto" w:sz="6" w:space="0"/>
              <w:right w:val="outset" w:color="auto" w:sz="6" w:space="0"/>
            </w:tcBorders>
            <w:vAlign w:val="center"/>
          </w:tcPr>
          <w:p>
            <w:pPr>
              <w:widowControl/>
              <w:spacing w:line="360" w:lineRule="auto"/>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6662" w:type="dxa"/>
            <w:vMerge w:val="restart"/>
            <w:tcBorders>
              <w:top w:val="outset" w:color="auto" w:sz="6" w:space="0"/>
              <w:left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r>
              <w:rPr>
                <w:rFonts w:ascii="宋体" w:hAnsi="宋体" w:eastAsia="宋体" w:cs="宋体"/>
                <w:color w:val="000000"/>
                <w:kern w:val="0"/>
                <w:sz w:val="21"/>
                <w:szCs w:val="21"/>
              </w:rPr>
              <w:t>供应商</w:t>
            </w:r>
            <w:r>
              <w:rPr>
                <w:rFonts w:hint="eastAsia" w:ascii="宋体" w:hAnsi="宋体" w:eastAsia="宋体" w:cs="宋体"/>
                <w:color w:val="000000"/>
                <w:kern w:val="0"/>
                <w:sz w:val="21"/>
                <w:szCs w:val="21"/>
              </w:rPr>
              <w:t>具有知识产权服务、知识产权教学和研究资质的，得3分。其他得1分。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6" w:hRule="atLeast"/>
        </w:trPr>
        <w:tc>
          <w:tcPr>
            <w:tcW w:w="546" w:type="dxa"/>
            <w:vMerge w:val="continue"/>
            <w:tcBorders>
              <w:left w:val="outset" w:color="auto" w:sz="6" w:space="0"/>
              <w:right w:val="outset" w:color="auto" w:sz="6" w:space="0"/>
            </w:tcBorders>
            <w:vAlign w:val="center"/>
          </w:tcPr>
          <w:p>
            <w:pPr>
              <w:spacing w:line="400" w:lineRule="exact"/>
              <w:jc w:val="center"/>
              <w:rPr>
                <w:rFonts w:ascii="宋体" w:hAnsi="宋体" w:eastAsia="宋体" w:cs="宋体"/>
                <w:color w:val="000000"/>
                <w:kern w:val="0"/>
                <w:sz w:val="21"/>
                <w:szCs w:val="21"/>
              </w:rPr>
            </w:pPr>
          </w:p>
        </w:tc>
        <w:tc>
          <w:tcPr>
            <w:tcW w:w="1880" w:type="dxa"/>
            <w:vMerge w:val="continue"/>
            <w:tcBorders>
              <w:left w:val="outset" w:color="auto" w:sz="6" w:space="0"/>
              <w:right w:val="outset" w:color="auto" w:sz="6" w:space="0"/>
            </w:tcBorders>
            <w:vAlign w:val="center"/>
          </w:tcPr>
          <w:p>
            <w:pPr>
              <w:spacing w:line="360" w:lineRule="auto"/>
              <w:jc w:val="center"/>
              <w:rPr>
                <w:rFonts w:ascii="宋体" w:hAnsi="宋体" w:eastAsia="宋体" w:cs="宋体"/>
                <w:color w:val="000000"/>
                <w:kern w:val="0"/>
                <w:sz w:val="21"/>
                <w:szCs w:val="21"/>
              </w:rPr>
            </w:pPr>
          </w:p>
        </w:tc>
        <w:tc>
          <w:tcPr>
            <w:tcW w:w="1701" w:type="dxa"/>
            <w:vMerge w:val="continue"/>
            <w:tcBorders>
              <w:left w:val="outset" w:color="auto" w:sz="6" w:space="0"/>
              <w:right w:val="outset" w:color="auto" w:sz="6" w:space="0"/>
            </w:tcBorders>
            <w:vAlign w:val="center"/>
          </w:tcPr>
          <w:p>
            <w:pPr>
              <w:widowControl/>
              <w:spacing w:line="360" w:lineRule="auto"/>
              <w:jc w:val="center"/>
              <w:rPr>
                <w:rFonts w:ascii="宋体" w:hAnsi="宋体" w:eastAsia="宋体" w:cs="宋体"/>
                <w:color w:val="000000"/>
                <w:kern w:val="0"/>
                <w:sz w:val="21"/>
                <w:szCs w:val="21"/>
              </w:rPr>
            </w:pPr>
          </w:p>
        </w:tc>
        <w:tc>
          <w:tcPr>
            <w:tcW w:w="6662" w:type="dxa"/>
            <w:vMerge w:val="continue"/>
            <w:tcBorders>
              <w:left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46" w:type="dxa"/>
            <w:vMerge w:val="continue"/>
            <w:tcBorders>
              <w:left w:val="outset" w:color="auto" w:sz="6" w:space="0"/>
              <w:right w:val="outset" w:color="auto" w:sz="6" w:space="0"/>
            </w:tcBorders>
            <w:vAlign w:val="center"/>
          </w:tcPr>
          <w:p>
            <w:pPr>
              <w:spacing w:line="400" w:lineRule="exact"/>
              <w:jc w:val="center"/>
              <w:rPr>
                <w:rFonts w:ascii="宋体" w:hAnsi="宋体" w:eastAsia="宋体" w:cs="宋体"/>
                <w:color w:val="000000"/>
                <w:kern w:val="0"/>
                <w:sz w:val="21"/>
                <w:szCs w:val="21"/>
              </w:rPr>
            </w:pPr>
          </w:p>
        </w:tc>
        <w:tc>
          <w:tcPr>
            <w:tcW w:w="1880" w:type="dxa"/>
            <w:vMerge w:val="continue"/>
            <w:tcBorders>
              <w:left w:val="outset" w:color="auto" w:sz="6" w:space="0"/>
              <w:right w:val="outset" w:color="auto" w:sz="6" w:space="0"/>
            </w:tcBorders>
            <w:vAlign w:val="center"/>
          </w:tcPr>
          <w:p>
            <w:pPr>
              <w:spacing w:line="360" w:lineRule="auto"/>
              <w:jc w:val="center"/>
              <w:rPr>
                <w:rFonts w:ascii="宋体" w:hAnsi="宋体" w:eastAsia="宋体" w:cs="宋体"/>
                <w:color w:val="000000"/>
                <w:kern w:val="0"/>
                <w:sz w:val="21"/>
                <w:szCs w:val="21"/>
              </w:rPr>
            </w:pPr>
          </w:p>
        </w:tc>
        <w:tc>
          <w:tcPr>
            <w:tcW w:w="1701" w:type="dxa"/>
            <w:vMerge w:val="continue"/>
            <w:tcBorders>
              <w:left w:val="outset" w:color="auto" w:sz="6" w:space="0"/>
              <w:right w:val="outset" w:color="auto" w:sz="6" w:space="0"/>
            </w:tcBorders>
            <w:vAlign w:val="center"/>
          </w:tcPr>
          <w:p>
            <w:pPr>
              <w:widowControl/>
              <w:spacing w:line="360" w:lineRule="auto"/>
              <w:jc w:val="center"/>
              <w:rPr>
                <w:rFonts w:ascii="宋体" w:hAnsi="宋体" w:eastAsia="宋体" w:cs="宋体"/>
                <w:color w:val="000000"/>
                <w:kern w:val="0"/>
                <w:sz w:val="21"/>
                <w:szCs w:val="21"/>
              </w:rPr>
            </w:pPr>
          </w:p>
        </w:tc>
        <w:tc>
          <w:tcPr>
            <w:tcW w:w="6662" w:type="dxa"/>
            <w:vMerge w:val="continue"/>
            <w:tcBorders>
              <w:left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2" w:hRule="atLeast"/>
        </w:trPr>
        <w:tc>
          <w:tcPr>
            <w:tcW w:w="546" w:type="dxa"/>
            <w:vMerge w:val="continue"/>
            <w:tcBorders>
              <w:left w:val="outset" w:color="auto" w:sz="6" w:space="0"/>
              <w:right w:val="outset" w:color="auto" w:sz="6" w:space="0"/>
            </w:tcBorders>
            <w:vAlign w:val="center"/>
          </w:tcPr>
          <w:p>
            <w:pPr>
              <w:widowControl/>
              <w:adjustRightInd/>
              <w:snapToGrid/>
              <w:spacing w:line="400" w:lineRule="exact"/>
              <w:jc w:val="center"/>
              <w:rPr>
                <w:rFonts w:ascii="宋体" w:hAnsi="宋体" w:eastAsia="宋体" w:cs="宋体"/>
                <w:color w:val="000000"/>
                <w:kern w:val="0"/>
                <w:sz w:val="21"/>
                <w:szCs w:val="21"/>
              </w:rPr>
            </w:pPr>
          </w:p>
        </w:tc>
        <w:tc>
          <w:tcPr>
            <w:tcW w:w="1880" w:type="dxa"/>
            <w:vMerge w:val="continue"/>
            <w:tcBorders>
              <w:left w:val="outset" w:color="auto" w:sz="6" w:space="0"/>
              <w:right w:val="outset" w:color="auto" w:sz="6" w:space="0"/>
            </w:tcBorders>
            <w:vAlign w:val="center"/>
          </w:tcPr>
          <w:p>
            <w:pPr>
              <w:widowControl/>
              <w:spacing w:line="360" w:lineRule="auto"/>
              <w:jc w:val="center"/>
              <w:rPr>
                <w:rFonts w:ascii="宋体" w:hAnsi="宋体" w:eastAsia="宋体" w:cs="宋体"/>
                <w:color w:val="000000"/>
                <w:kern w:val="0"/>
                <w:sz w:val="21"/>
                <w:szCs w:val="21"/>
              </w:rPr>
            </w:pPr>
          </w:p>
        </w:tc>
        <w:tc>
          <w:tcPr>
            <w:tcW w:w="1701" w:type="dxa"/>
            <w:vMerge w:val="restart"/>
            <w:tcBorders>
              <w:top w:val="outset" w:color="auto" w:sz="6" w:space="0"/>
              <w:left w:val="outset" w:color="auto" w:sz="6" w:space="0"/>
              <w:right w:val="outset" w:color="auto" w:sz="6" w:space="0"/>
            </w:tcBorders>
            <w:vAlign w:val="center"/>
          </w:tcPr>
          <w:p>
            <w:pPr>
              <w:widowControl/>
              <w:spacing w:line="360" w:lineRule="auto"/>
              <w:jc w:val="center"/>
              <w:rPr>
                <w:rFonts w:ascii="宋体" w:hAnsi="宋体" w:eastAsia="宋体" w:cs="宋体"/>
                <w:color w:val="000000"/>
                <w:kern w:val="0"/>
                <w:sz w:val="21"/>
                <w:szCs w:val="21"/>
              </w:rPr>
            </w:pPr>
            <w:r>
              <w:rPr>
                <w:rFonts w:ascii="宋体" w:hAnsi="宋体" w:eastAsia="宋体" w:cs="宋体"/>
                <w:color w:val="000000"/>
                <w:kern w:val="0"/>
                <w:sz w:val="21"/>
                <w:szCs w:val="21"/>
              </w:rPr>
              <w:t>3</w:t>
            </w:r>
          </w:p>
        </w:tc>
        <w:tc>
          <w:tcPr>
            <w:tcW w:w="6662" w:type="dxa"/>
            <w:vMerge w:val="restart"/>
            <w:tcBorders>
              <w:top w:val="outset" w:color="auto" w:sz="6" w:space="0"/>
              <w:left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根据</w:t>
            </w:r>
            <w:r>
              <w:rPr>
                <w:rFonts w:ascii="宋体" w:hAnsi="宋体" w:eastAsia="宋体" w:cs="宋体"/>
                <w:color w:val="000000"/>
                <w:kern w:val="0"/>
                <w:sz w:val="21"/>
                <w:szCs w:val="21"/>
              </w:rPr>
              <w:t>供应商</w:t>
            </w:r>
            <w:r>
              <w:rPr>
                <w:rFonts w:hint="eastAsia" w:ascii="宋体" w:hAnsi="宋体" w:eastAsia="宋体" w:cs="宋体"/>
                <w:color w:val="000000"/>
                <w:kern w:val="0"/>
                <w:sz w:val="21"/>
                <w:szCs w:val="21"/>
              </w:rPr>
              <w:t>提供的市级或者市级以上市场监管部门（知识产权部门）的知识产权服务业绩进行评分：每提供一份</w:t>
            </w:r>
            <w:r>
              <w:rPr>
                <w:rFonts w:ascii="宋体" w:hAnsi="宋体" w:eastAsia="宋体" w:cs="宋体"/>
                <w:color w:val="000000"/>
                <w:kern w:val="0"/>
                <w:sz w:val="21"/>
                <w:szCs w:val="21"/>
              </w:rPr>
              <w:t>合格业绩的得1分，满分3分。供应商须在投标文件中提供该业绩项目合同文本</w:t>
            </w:r>
            <w:r>
              <w:rPr>
                <w:rFonts w:hint="eastAsia" w:ascii="宋体" w:hAnsi="宋体" w:eastAsia="宋体" w:cs="宋体"/>
                <w:color w:val="000000"/>
                <w:kern w:val="0"/>
                <w:sz w:val="21"/>
                <w:szCs w:val="21"/>
              </w:rPr>
              <w:t>和结项证明材料</w:t>
            </w:r>
            <w:r>
              <w:rPr>
                <w:rFonts w:ascii="宋体" w:hAnsi="宋体" w:eastAsia="宋体" w:cs="宋体"/>
                <w:color w:val="000000"/>
                <w:kern w:val="0"/>
                <w:sz w:val="21"/>
                <w:szCs w:val="21"/>
              </w:rPr>
              <w:t>复印件加盖供应商公章（原件备查）。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8" w:hRule="atLeast"/>
        </w:trPr>
        <w:tc>
          <w:tcPr>
            <w:tcW w:w="546" w:type="dxa"/>
            <w:vMerge w:val="continue"/>
            <w:tcBorders>
              <w:left w:val="outset" w:color="auto" w:sz="6" w:space="0"/>
              <w:right w:val="outset" w:color="auto" w:sz="6" w:space="0"/>
            </w:tcBorders>
            <w:vAlign w:val="center"/>
          </w:tcPr>
          <w:p>
            <w:pPr>
              <w:widowControl/>
              <w:adjustRightInd/>
              <w:snapToGrid/>
              <w:spacing w:line="400" w:lineRule="exact"/>
              <w:jc w:val="center"/>
              <w:rPr>
                <w:rFonts w:ascii="宋体" w:hAnsi="宋体" w:eastAsia="宋体" w:cs="宋体"/>
                <w:color w:val="000000"/>
                <w:kern w:val="0"/>
                <w:sz w:val="21"/>
                <w:szCs w:val="21"/>
              </w:rPr>
            </w:pPr>
          </w:p>
        </w:tc>
        <w:tc>
          <w:tcPr>
            <w:tcW w:w="1880" w:type="dxa"/>
            <w:vMerge w:val="continue"/>
            <w:tcBorders>
              <w:left w:val="outset" w:color="auto" w:sz="6" w:space="0"/>
              <w:right w:val="outset" w:color="auto" w:sz="6" w:space="0"/>
            </w:tcBorders>
            <w:vAlign w:val="center"/>
          </w:tcPr>
          <w:p>
            <w:pPr>
              <w:widowControl/>
              <w:spacing w:line="360" w:lineRule="auto"/>
              <w:jc w:val="center"/>
              <w:rPr>
                <w:rFonts w:ascii="宋体" w:hAnsi="宋体" w:eastAsia="宋体" w:cs="宋体"/>
                <w:color w:val="000000"/>
                <w:kern w:val="0"/>
                <w:sz w:val="21"/>
                <w:szCs w:val="21"/>
              </w:rPr>
            </w:pPr>
          </w:p>
        </w:tc>
        <w:tc>
          <w:tcPr>
            <w:tcW w:w="1701" w:type="dxa"/>
            <w:vMerge w:val="continue"/>
            <w:tcBorders>
              <w:left w:val="outset" w:color="auto" w:sz="6" w:space="0"/>
              <w:right w:val="outset" w:color="auto" w:sz="6" w:space="0"/>
            </w:tcBorders>
            <w:vAlign w:val="center"/>
          </w:tcPr>
          <w:p>
            <w:pPr>
              <w:widowControl/>
              <w:spacing w:line="360" w:lineRule="auto"/>
              <w:jc w:val="center"/>
              <w:rPr>
                <w:rFonts w:ascii="宋体" w:hAnsi="宋体" w:eastAsia="宋体" w:cs="宋体"/>
                <w:color w:val="000000"/>
                <w:kern w:val="0"/>
                <w:sz w:val="21"/>
                <w:szCs w:val="21"/>
              </w:rPr>
            </w:pPr>
          </w:p>
        </w:tc>
        <w:tc>
          <w:tcPr>
            <w:tcW w:w="6662" w:type="dxa"/>
            <w:vMerge w:val="continue"/>
            <w:tcBorders>
              <w:left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1" w:hRule="atLeast"/>
        </w:trPr>
        <w:tc>
          <w:tcPr>
            <w:tcW w:w="546" w:type="dxa"/>
            <w:vMerge w:val="continue"/>
            <w:tcBorders>
              <w:left w:val="outset" w:color="auto" w:sz="6" w:space="0"/>
              <w:right w:val="outset" w:color="auto" w:sz="6" w:space="0"/>
            </w:tcBorders>
            <w:vAlign w:val="center"/>
          </w:tcPr>
          <w:p>
            <w:pPr>
              <w:widowControl/>
              <w:adjustRightInd/>
              <w:snapToGrid/>
              <w:spacing w:line="400" w:lineRule="exact"/>
              <w:jc w:val="center"/>
              <w:rPr>
                <w:rFonts w:ascii="宋体" w:hAnsi="宋体" w:eastAsia="宋体" w:cs="宋体"/>
                <w:color w:val="000000"/>
                <w:kern w:val="0"/>
                <w:sz w:val="21"/>
                <w:szCs w:val="21"/>
              </w:rPr>
            </w:pPr>
          </w:p>
        </w:tc>
        <w:tc>
          <w:tcPr>
            <w:tcW w:w="1880" w:type="dxa"/>
            <w:vMerge w:val="continue"/>
            <w:tcBorders>
              <w:left w:val="outset" w:color="auto" w:sz="6" w:space="0"/>
              <w:right w:val="outset" w:color="auto" w:sz="6" w:space="0"/>
            </w:tcBorders>
            <w:vAlign w:val="center"/>
          </w:tcPr>
          <w:p>
            <w:pPr>
              <w:widowControl/>
              <w:spacing w:line="360" w:lineRule="auto"/>
              <w:jc w:val="center"/>
              <w:rPr>
                <w:rFonts w:ascii="宋体" w:hAnsi="宋体" w:eastAsia="宋体" w:cs="宋体"/>
                <w:color w:val="000000"/>
                <w:kern w:val="0"/>
                <w:sz w:val="21"/>
                <w:szCs w:val="21"/>
              </w:rPr>
            </w:pPr>
          </w:p>
        </w:tc>
        <w:tc>
          <w:tcPr>
            <w:tcW w:w="1701" w:type="dxa"/>
            <w:vMerge w:val="continue"/>
            <w:tcBorders>
              <w:left w:val="outset" w:color="auto" w:sz="6" w:space="0"/>
              <w:right w:val="outset" w:color="auto" w:sz="6" w:space="0"/>
            </w:tcBorders>
            <w:vAlign w:val="center"/>
          </w:tcPr>
          <w:p>
            <w:pPr>
              <w:widowControl/>
              <w:spacing w:line="360" w:lineRule="auto"/>
              <w:jc w:val="center"/>
              <w:rPr>
                <w:rFonts w:ascii="宋体" w:hAnsi="宋体" w:eastAsia="宋体" w:cs="宋体"/>
                <w:color w:val="000000"/>
                <w:kern w:val="0"/>
                <w:sz w:val="21"/>
                <w:szCs w:val="21"/>
              </w:rPr>
            </w:pPr>
          </w:p>
        </w:tc>
        <w:tc>
          <w:tcPr>
            <w:tcW w:w="6662" w:type="dxa"/>
            <w:vMerge w:val="continue"/>
            <w:tcBorders>
              <w:left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0" w:hRule="atLeast"/>
        </w:trPr>
        <w:tc>
          <w:tcPr>
            <w:tcW w:w="546" w:type="dxa"/>
            <w:vMerge w:val="restart"/>
            <w:tcBorders>
              <w:top w:val="outset" w:color="auto" w:sz="6" w:space="0"/>
              <w:left w:val="outset" w:color="auto" w:sz="6" w:space="0"/>
              <w:right w:val="outset" w:color="auto" w:sz="6" w:space="0"/>
            </w:tcBorders>
            <w:vAlign w:val="center"/>
          </w:tcPr>
          <w:p>
            <w:pPr>
              <w:spacing w:line="400" w:lineRule="exact"/>
              <w:ind w:firstLine="210" w:firstLineChars="100"/>
              <w:rPr>
                <w:rFonts w:ascii="宋体" w:hAnsi="宋体" w:eastAsia="宋体" w:cs="宋体"/>
                <w:color w:val="000000"/>
                <w:kern w:val="0"/>
                <w:sz w:val="21"/>
                <w:szCs w:val="21"/>
              </w:rPr>
            </w:pPr>
          </w:p>
          <w:p>
            <w:pPr>
              <w:spacing w:line="400" w:lineRule="exact"/>
              <w:ind w:firstLine="210" w:firstLineChars="100"/>
              <w:rPr>
                <w:rFonts w:ascii="宋体" w:hAnsi="宋体" w:eastAsia="宋体" w:cs="宋体"/>
                <w:color w:val="000000"/>
                <w:kern w:val="0"/>
                <w:sz w:val="21"/>
                <w:szCs w:val="21"/>
              </w:rPr>
            </w:pPr>
          </w:p>
          <w:p>
            <w:pPr>
              <w:spacing w:line="400" w:lineRule="exact"/>
              <w:ind w:firstLine="210" w:firstLineChars="100"/>
              <w:rPr>
                <w:rFonts w:ascii="宋体" w:hAnsi="宋体" w:eastAsia="宋体" w:cs="宋体"/>
                <w:color w:val="000000"/>
                <w:kern w:val="0"/>
                <w:sz w:val="21"/>
                <w:szCs w:val="21"/>
              </w:rPr>
            </w:pPr>
          </w:p>
          <w:p>
            <w:pPr>
              <w:spacing w:line="400" w:lineRule="exact"/>
              <w:ind w:firstLine="210" w:firstLineChars="100"/>
              <w:rPr>
                <w:rFonts w:ascii="宋体" w:hAnsi="宋体" w:eastAsia="宋体" w:cs="宋体"/>
                <w:color w:val="000000"/>
                <w:kern w:val="0"/>
                <w:sz w:val="21"/>
                <w:szCs w:val="21"/>
              </w:rPr>
            </w:pPr>
          </w:p>
          <w:p>
            <w:pPr>
              <w:spacing w:line="400" w:lineRule="exact"/>
              <w:ind w:firstLine="210" w:firstLineChars="100"/>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880" w:type="dxa"/>
            <w:vMerge w:val="restart"/>
            <w:tcBorders>
              <w:top w:val="outset" w:color="auto" w:sz="6" w:space="0"/>
              <w:left w:val="outset" w:color="auto" w:sz="6" w:space="0"/>
              <w:right w:val="outset" w:color="auto" w:sz="6" w:space="0"/>
            </w:tcBorders>
            <w:vAlign w:val="center"/>
          </w:tcPr>
          <w:p>
            <w:pPr>
              <w:spacing w:line="360" w:lineRule="auto"/>
              <w:jc w:val="center"/>
              <w:rPr>
                <w:rFonts w:ascii="宋体" w:hAnsi="宋体" w:eastAsia="宋体" w:cs="宋体"/>
                <w:color w:val="000000"/>
                <w:kern w:val="0"/>
                <w:sz w:val="21"/>
                <w:szCs w:val="21"/>
              </w:rPr>
            </w:pPr>
          </w:p>
          <w:p>
            <w:pPr>
              <w:spacing w:line="360" w:lineRule="auto"/>
              <w:jc w:val="center"/>
              <w:rPr>
                <w:rFonts w:ascii="宋体" w:hAnsi="宋体" w:eastAsia="宋体" w:cs="宋体"/>
                <w:color w:val="000000"/>
                <w:kern w:val="0"/>
                <w:sz w:val="21"/>
                <w:szCs w:val="21"/>
              </w:rPr>
            </w:pPr>
          </w:p>
          <w:p>
            <w:pPr>
              <w:spacing w:line="360" w:lineRule="auto"/>
              <w:jc w:val="center"/>
              <w:rPr>
                <w:rFonts w:ascii="宋体" w:hAnsi="宋体" w:eastAsia="宋体" w:cs="宋体"/>
                <w:color w:val="000000"/>
                <w:kern w:val="0"/>
                <w:sz w:val="21"/>
                <w:szCs w:val="21"/>
              </w:rPr>
            </w:pPr>
          </w:p>
          <w:p>
            <w:pPr>
              <w:spacing w:line="360" w:lineRule="auto"/>
              <w:jc w:val="center"/>
              <w:rPr>
                <w:rFonts w:ascii="宋体" w:hAnsi="宋体" w:eastAsia="宋体" w:cs="宋体"/>
                <w:color w:val="000000"/>
                <w:kern w:val="0"/>
                <w:sz w:val="21"/>
                <w:szCs w:val="21"/>
              </w:rPr>
            </w:pPr>
          </w:p>
          <w:p>
            <w:pPr>
              <w:spacing w:line="360" w:lineRule="auto"/>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项目负责人情况</w:t>
            </w:r>
          </w:p>
        </w:tc>
        <w:tc>
          <w:tcPr>
            <w:tcW w:w="1701" w:type="dxa"/>
            <w:vMerge w:val="restart"/>
            <w:tcBorders>
              <w:top w:val="outset" w:color="auto" w:sz="6" w:space="0"/>
              <w:left w:val="outset" w:color="auto" w:sz="6" w:space="0"/>
              <w:right w:val="outset" w:color="auto" w:sz="6" w:space="0"/>
            </w:tcBorders>
            <w:vAlign w:val="center"/>
          </w:tcPr>
          <w:p>
            <w:pPr>
              <w:widowControl/>
              <w:spacing w:line="360" w:lineRule="auto"/>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6662" w:type="dxa"/>
            <w:vMerge w:val="restart"/>
            <w:tcBorders>
              <w:top w:val="outset" w:color="auto" w:sz="6" w:space="0"/>
              <w:left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r>
              <w:rPr>
                <w:rFonts w:hint="eastAsia" w:ascii="宋体" w:hAnsi="宋体" w:eastAsia="宋体" w:cs="宋体"/>
                <w:kern w:val="0"/>
                <w:sz w:val="21"/>
                <w:szCs w:val="21"/>
              </w:rPr>
              <w:t>供应商投入本</w:t>
            </w:r>
            <w:r>
              <w:rPr>
                <w:rFonts w:ascii="宋体" w:hAnsi="宋体" w:eastAsia="宋体" w:cs="宋体"/>
                <w:kern w:val="0"/>
                <w:sz w:val="21"/>
                <w:szCs w:val="21"/>
              </w:rPr>
              <w:t>项目</w:t>
            </w:r>
            <w:r>
              <w:rPr>
                <w:rFonts w:hint="eastAsia" w:ascii="宋体" w:hAnsi="宋体" w:eastAsia="宋体" w:cs="宋体"/>
                <w:kern w:val="0"/>
                <w:sz w:val="21"/>
                <w:szCs w:val="21"/>
              </w:rPr>
              <w:t>的项目负责人具备高级职称的得3分；具备中级职称的得2分；其他得1分。</w:t>
            </w:r>
            <w:r>
              <w:rPr>
                <w:rFonts w:ascii="宋体" w:hAnsi="宋体" w:eastAsia="宋体" w:cs="宋体"/>
                <w:kern w:val="0"/>
                <w:sz w:val="21"/>
                <w:szCs w:val="21"/>
              </w:rPr>
              <w:t>须提供</w:t>
            </w:r>
            <w:r>
              <w:rPr>
                <w:rFonts w:hint="eastAsia" w:ascii="宋体" w:hAnsi="宋体" w:eastAsia="宋体" w:cs="宋体"/>
                <w:kern w:val="0"/>
                <w:sz w:val="21"/>
                <w:szCs w:val="21"/>
              </w:rPr>
              <w:t>项目负责人身份</w:t>
            </w:r>
            <w:r>
              <w:rPr>
                <w:rFonts w:ascii="宋体" w:hAnsi="宋体" w:eastAsia="宋体" w:cs="宋体"/>
                <w:kern w:val="0"/>
                <w:sz w:val="21"/>
                <w:szCs w:val="21"/>
              </w:rPr>
              <w:t>证</w:t>
            </w:r>
            <w:r>
              <w:rPr>
                <w:rFonts w:hint="eastAsia" w:ascii="宋体" w:hAnsi="宋体" w:eastAsia="宋体" w:cs="宋体"/>
                <w:kern w:val="0"/>
                <w:sz w:val="21"/>
                <w:szCs w:val="21"/>
              </w:rPr>
              <w:t>、职称、学历</w:t>
            </w:r>
            <w:r>
              <w:rPr>
                <w:rFonts w:ascii="宋体" w:hAnsi="宋体" w:eastAsia="宋体" w:cs="宋体"/>
                <w:kern w:val="0"/>
                <w:sz w:val="21"/>
                <w:szCs w:val="21"/>
              </w:rPr>
              <w:t>复印件</w:t>
            </w:r>
            <w:r>
              <w:rPr>
                <w:rFonts w:hint="eastAsia" w:ascii="宋体" w:hAnsi="宋体" w:eastAsia="宋体" w:cs="宋体"/>
                <w:kern w:val="0"/>
                <w:sz w:val="21"/>
                <w:szCs w:val="21"/>
              </w:rPr>
              <w:t>和</w:t>
            </w:r>
            <w:r>
              <w:rPr>
                <w:rFonts w:ascii="宋体" w:hAnsi="宋体" w:eastAsia="宋体" w:cs="宋体"/>
                <w:kern w:val="0"/>
                <w:sz w:val="21"/>
                <w:szCs w:val="21"/>
              </w:rPr>
              <w:t>投标截止时间前6个月（不含当月）任意一个月</w:t>
            </w:r>
            <w:r>
              <w:rPr>
                <w:rFonts w:hint="eastAsia" w:ascii="宋体" w:hAnsi="宋体" w:eastAsia="宋体" w:cs="宋体"/>
                <w:kern w:val="0"/>
                <w:sz w:val="21"/>
                <w:szCs w:val="21"/>
              </w:rPr>
              <w:t>供应商</w:t>
            </w:r>
            <w:r>
              <w:rPr>
                <w:rFonts w:ascii="宋体" w:hAnsi="宋体" w:eastAsia="宋体" w:cs="宋体"/>
                <w:kern w:val="0"/>
                <w:sz w:val="21"/>
                <w:szCs w:val="21"/>
              </w:rPr>
              <w:t>为</w:t>
            </w:r>
            <w:r>
              <w:rPr>
                <w:rFonts w:hint="eastAsia" w:ascii="宋体" w:hAnsi="宋体" w:eastAsia="宋体" w:cs="宋体"/>
                <w:kern w:val="0"/>
                <w:sz w:val="21"/>
                <w:szCs w:val="21"/>
              </w:rPr>
              <w:t>项目负责人</w:t>
            </w:r>
            <w:r>
              <w:rPr>
                <w:rFonts w:ascii="宋体" w:hAnsi="宋体" w:eastAsia="宋体" w:cs="宋体"/>
                <w:kern w:val="0"/>
                <w:sz w:val="21"/>
                <w:szCs w:val="21"/>
              </w:rPr>
              <w:t>缴交社保的证明并加盖</w:t>
            </w:r>
            <w:r>
              <w:rPr>
                <w:rFonts w:hint="eastAsia" w:ascii="宋体" w:hAnsi="宋体" w:eastAsia="宋体" w:cs="宋体"/>
                <w:kern w:val="0"/>
                <w:sz w:val="21"/>
                <w:szCs w:val="21"/>
              </w:rPr>
              <w:t>供应商</w:t>
            </w:r>
            <w:r>
              <w:rPr>
                <w:rFonts w:ascii="宋体" w:hAnsi="宋体" w:eastAsia="宋体" w:cs="宋体"/>
                <w:kern w:val="0"/>
                <w:sz w:val="21"/>
                <w:szCs w:val="21"/>
              </w:rPr>
              <w:t>公章</w:t>
            </w:r>
            <w:r>
              <w:rPr>
                <w:rFonts w:hint="eastAsia" w:ascii="宋体" w:hAnsi="宋体" w:eastAsia="宋体" w:cs="宋体"/>
                <w:kern w:val="0"/>
                <w:sz w:val="21"/>
                <w:szCs w:val="21"/>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5" w:hRule="atLeast"/>
        </w:trPr>
        <w:tc>
          <w:tcPr>
            <w:tcW w:w="546" w:type="dxa"/>
            <w:vMerge w:val="continue"/>
            <w:tcBorders>
              <w:left w:val="outset" w:color="auto" w:sz="6" w:space="0"/>
              <w:right w:val="outset" w:color="auto" w:sz="6" w:space="0"/>
            </w:tcBorders>
            <w:vAlign w:val="center"/>
          </w:tcPr>
          <w:p>
            <w:pPr>
              <w:spacing w:line="400" w:lineRule="exact"/>
              <w:ind w:firstLine="210" w:firstLineChars="100"/>
              <w:rPr>
                <w:rFonts w:ascii="宋体" w:hAnsi="宋体" w:eastAsia="宋体" w:cs="宋体"/>
                <w:color w:val="000000"/>
                <w:kern w:val="0"/>
                <w:sz w:val="21"/>
                <w:szCs w:val="21"/>
              </w:rPr>
            </w:pPr>
          </w:p>
        </w:tc>
        <w:tc>
          <w:tcPr>
            <w:tcW w:w="1880" w:type="dxa"/>
            <w:vMerge w:val="continue"/>
            <w:tcBorders>
              <w:left w:val="outset" w:color="auto" w:sz="6" w:space="0"/>
              <w:right w:val="outset" w:color="auto" w:sz="6" w:space="0"/>
            </w:tcBorders>
            <w:vAlign w:val="center"/>
          </w:tcPr>
          <w:p>
            <w:pPr>
              <w:spacing w:line="360" w:lineRule="auto"/>
              <w:jc w:val="center"/>
              <w:rPr>
                <w:rFonts w:ascii="宋体" w:hAnsi="宋体" w:eastAsia="宋体" w:cs="宋体"/>
                <w:color w:val="000000"/>
                <w:kern w:val="0"/>
                <w:sz w:val="21"/>
                <w:szCs w:val="21"/>
              </w:rPr>
            </w:pPr>
          </w:p>
        </w:tc>
        <w:tc>
          <w:tcPr>
            <w:tcW w:w="1701" w:type="dxa"/>
            <w:vMerge w:val="continue"/>
            <w:tcBorders>
              <w:left w:val="outset" w:color="auto" w:sz="6" w:space="0"/>
              <w:right w:val="outset" w:color="auto" w:sz="6" w:space="0"/>
            </w:tcBorders>
            <w:vAlign w:val="center"/>
          </w:tcPr>
          <w:p>
            <w:pPr>
              <w:widowControl/>
              <w:spacing w:line="360" w:lineRule="auto"/>
              <w:jc w:val="center"/>
              <w:rPr>
                <w:rFonts w:ascii="宋体" w:hAnsi="宋体" w:eastAsia="宋体" w:cs="宋体"/>
                <w:color w:val="000000"/>
                <w:kern w:val="0"/>
                <w:sz w:val="21"/>
                <w:szCs w:val="21"/>
              </w:rPr>
            </w:pPr>
          </w:p>
        </w:tc>
        <w:tc>
          <w:tcPr>
            <w:tcW w:w="6662" w:type="dxa"/>
            <w:vMerge w:val="continue"/>
            <w:tcBorders>
              <w:left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trPr>
        <w:tc>
          <w:tcPr>
            <w:tcW w:w="546" w:type="dxa"/>
            <w:vMerge w:val="continue"/>
            <w:tcBorders>
              <w:left w:val="outset" w:color="auto" w:sz="6" w:space="0"/>
              <w:right w:val="outset" w:color="auto" w:sz="6" w:space="0"/>
            </w:tcBorders>
            <w:vAlign w:val="center"/>
          </w:tcPr>
          <w:p>
            <w:pPr>
              <w:spacing w:line="400" w:lineRule="exact"/>
              <w:ind w:firstLine="210" w:firstLineChars="100"/>
              <w:rPr>
                <w:rFonts w:ascii="宋体" w:hAnsi="宋体" w:eastAsia="宋体" w:cs="宋体"/>
                <w:color w:val="000000"/>
                <w:kern w:val="0"/>
                <w:sz w:val="21"/>
                <w:szCs w:val="21"/>
              </w:rPr>
            </w:pPr>
          </w:p>
        </w:tc>
        <w:tc>
          <w:tcPr>
            <w:tcW w:w="1880" w:type="dxa"/>
            <w:vMerge w:val="continue"/>
            <w:tcBorders>
              <w:left w:val="outset" w:color="auto" w:sz="6" w:space="0"/>
              <w:right w:val="outset" w:color="auto" w:sz="6" w:space="0"/>
            </w:tcBorders>
            <w:vAlign w:val="center"/>
          </w:tcPr>
          <w:p>
            <w:pPr>
              <w:spacing w:line="360" w:lineRule="auto"/>
              <w:jc w:val="center"/>
              <w:rPr>
                <w:rFonts w:ascii="宋体" w:hAnsi="宋体" w:eastAsia="宋体" w:cs="宋体"/>
                <w:color w:val="000000"/>
                <w:kern w:val="0"/>
                <w:sz w:val="21"/>
                <w:szCs w:val="21"/>
              </w:rPr>
            </w:pPr>
          </w:p>
        </w:tc>
        <w:tc>
          <w:tcPr>
            <w:tcW w:w="1701" w:type="dxa"/>
            <w:vMerge w:val="continue"/>
            <w:tcBorders>
              <w:left w:val="outset" w:color="auto" w:sz="6" w:space="0"/>
              <w:right w:val="outset" w:color="auto" w:sz="6" w:space="0"/>
            </w:tcBorders>
            <w:vAlign w:val="center"/>
          </w:tcPr>
          <w:p>
            <w:pPr>
              <w:widowControl/>
              <w:spacing w:line="360" w:lineRule="auto"/>
              <w:jc w:val="center"/>
              <w:rPr>
                <w:rFonts w:ascii="宋体" w:hAnsi="宋体" w:eastAsia="宋体" w:cs="宋体"/>
                <w:color w:val="000000"/>
                <w:kern w:val="0"/>
                <w:sz w:val="21"/>
                <w:szCs w:val="21"/>
              </w:rPr>
            </w:pPr>
          </w:p>
        </w:tc>
        <w:tc>
          <w:tcPr>
            <w:tcW w:w="6662" w:type="dxa"/>
            <w:vMerge w:val="continue"/>
            <w:tcBorders>
              <w:left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2" w:hRule="atLeast"/>
        </w:trPr>
        <w:tc>
          <w:tcPr>
            <w:tcW w:w="546" w:type="dxa"/>
            <w:vMerge w:val="continue"/>
            <w:tcBorders>
              <w:left w:val="outset" w:color="auto" w:sz="6" w:space="0"/>
              <w:right w:val="outset" w:color="auto" w:sz="6" w:space="0"/>
            </w:tcBorders>
            <w:vAlign w:val="center"/>
          </w:tcPr>
          <w:p>
            <w:pPr>
              <w:spacing w:line="400" w:lineRule="exact"/>
              <w:ind w:firstLine="210" w:firstLineChars="100"/>
              <w:rPr>
                <w:rFonts w:ascii="宋体" w:hAnsi="宋体" w:eastAsia="宋体" w:cs="宋体"/>
                <w:color w:val="000000"/>
                <w:kern w:val="0"/>
                <w:sz w:val="21"/>
                <w:szCs w:val="21"/>
              </w:rPr>
            </w:pPr>
          </w:p>
        </w:tc>
        <w:tc>
          <w:tcPr>
            <w:tcW w:w="1880" w:type="dxa"/>
            <w:vMerge w:val="continue"/>
            <w:tcBorders>
              <w:left w:val="outset" w:color="auto" w:sz="6" w:space="0"/>
              <w:right w:val="outset" w:color="auto" w:sz="6" w:space="0"/>
            </w:tcBorders>
            <w:vAlign w:val="center"/>
          </w:tcPr>
          <w:p>
            <w:pPr>
              <w:spacing w:line="360" w:lineRule="auto"/>
              <w:jc w:val="center"/>
              <w:rPr>
                <w:rFonts w:ascii="宋体" w:hAnsi="宋体" w:eastAsia="宋体" w:cs="宋体"/>
                <w:color w:val="000000"/>
                <w:kern w:val="0"/>
                <w:sz w:val="21"/>
                <w:szCs w:val="21"/>
              </w:rPr>
            </w:pPr>
          </w:p>
        </w:tc>
        <w:tc>
          <w:tcPr>
            <w:tcW w:w="1701" w:type="dxa"/>
            <w:vMerge w:val="restart"/>
            <w:tcBorders>
              <w:top w:val="outset" w:color="auto" w:sz="6" w:space="0"/>
              <w:left w:val="outset" w:color="auto" w:sz="6" w:space="0"/>
              <w:right w:val="outset" w:color="auto" w:sz="6" w:space="0"/>
            </w:tcBorders>
            <w:vAlign w:val="center"/>
          </w:tcPr>
          <w:p>
            <w:pPr>
              <w:widowControl/>
              <w:spacing w:line="360" w:lineRule="auto"/>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6662" w:type="dxa"/>
            <w:vMerge w:val="restart"/>
            <w:tcBorders>
              <w:top w:val="outset" w:color="auto" w:sz="6" w:space="0"/>
              <w:left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r>
              <w:rPr>
                <w:rFonts w:hint="eastAsia" w:ascii="宋体" w:hAnsi="宋体" w:eastAsia="宋体" w:cs="宋体"/>
                <w:kern w:val="0"/>
                <w:sz w:val="21"/>
                <w:szCs w:val="21"/>
              </w:rPr>
              <w:t>供应商投入本</w:t>
            </w:r>
            <w:r>
              <w:rPr>
                <w:rFonts w:ascii="宋体" w:hAnsi="宋体" w:eastAsia="宋体" w:cs="宋体"/>
                <w:kern w:val="0"/>
                <w:sz w:val="21"/>
                <w:szCs w:val="21"/>
              </w:rPr>
              <w:t>项目</w:t>
            </w:r>
            <w:r>
              <w:rPr>
                <w:rFonts w:hint="eastAsia" w:ascii="宋体" w:hAnsi="宋体" w:eastAsia="宋体" w:cs="宋体"/>
                <w:kern w:val="0"/>
                <w:sz w:val="21"/>
                <w:szCs w:val="21"/>
              </w:rPr>
              <w:t>的项目负责人开展知识产权研究工作的年限10年以上的得3分；6-9年的得2分；5年以下的得1分。</w:t>
            </w:r>
            <w:r>
              <w:rPr>
                <w:rFonts w:ascii="宋体" w:hAnsi="宋体" w:eastAsia="宋体" w:cs="宋体"/>
                <w:kern w:val="0"/>
                <w:sz w:val="21"/>
                <w:szCs w:val="21"/>
              </w:rPr>
              <w:t>须提供</w:t>
            </w:r>
            <w:r>
              <w:rPr>
                <w:rFonts w:hint="eastAsia" w:ascii="宋体" w:hAnsi="宋体" w:eastAsia="宋体" w:cs="宋体"/>
                <w:kern w:val="0"/>
                <w:sz w:val="21"/>
                <w:szCs w:val="21"/>
              </w:rPr>
              <w:t>项目负责人工作年限证明材料和</w:t>
            </w:r>
            <w:r>
              <w:rPr>
                <w:rFonts w:ascii="宋体" w:hAnsi="宋体" w:eastAsia="宋体" w:cs="宋体"/>
                <w:kern w:val="0"/>
                <w:sz w:val="21"/>
                <w:szCs w:val="21"/>
              </w:rPr>
              <w:t>投标截止时间前6个月（不含当月）任意一个月</w:t>
            </w:r>
            <w:r>
              <w:rPr>
                <w:rFonts w:hint="eastAsia" w:ascii="宋体" w:hAnsi="宋体" w:eastAsia="宋体" w:cs="宋体"/>
                <w:kern w:val="0"/>
                <w:sz w:val="21"/>
                <w:szCs w:val="21"/>
              </w:rPr>
              <w:t>供应商</w:t>
            </w:r>
            <w:r>
              <w:rPr>
                <w:rFonts w:ascii="宋体" w:hAnsi="宋体" w:eastAsia="宋体" w:cs="宋体"/>
                <w:kern w:val="0"/>
                <w:sz w:val="21"/>
                <w:szCs w:val="21"/>
              </w:rPr>
              <w:t>为</w:t>
            </w:r>
            <w:r>
              <w:rPr>
                <w:rFonts w:hint="eastAsia" w:ascii="宋体" w:hAnsi="宋体" w:eastAsia="宋体" w:cs="宋体"/>
                <w:kern w:val="0"/>
                <w:sz w:val="21"/>
                <w:szCs w:val="21"/>
              </w:rPr>
              <w:t>项目负责人</w:t>
            </w:r>
            <w:r>
              <w:rPr>
                <w:rFonts w:ascii="宋体" w:hAnsi="宋体" w:eastAsia="宋体" w:cs="宋体"/>
                <w:kern w:val="0"/>
                <w:sz w:val="21"/>
                <w:szCs w:val="21"/>
              </w:rPr>
              <w:t>缴交社保的证明并加盖</w:t>
            </w:r>
            <w:r>
              <w:rPr>
                <w:rFonts w:hint="eastAsia" w:ascii="宋体" w:hAnsi="宋体" w:eastAsia="宋体" w:cs="宋体"/>
                <w:kern w:val="0"/>
                <w:sz w:val="21"/>
                <w:szCs w:val="21"/>
              </w:rPr>
              <w:t>供应商</w:t>
            </w:r>
            <w:r>
              <w:rPr>
                <w:rFonts w:ascii="宋体" w:hAnsi="宋体" w:eastAsia="宋体" w:cs="宋体"/>
                <w:kern w:val="0"/>
                <w:sz w:val="21"/>
                <w:szCs w:val="21"/>
              </w:rPr>
              <w:t>公章</w:t>
            </w:r>
            <w:r>
              <w:rPr>
                <w:rFonts w:hint="eastAsia" w:ascii="宋体" w:hAnsi="宋体" w:eastAsia="宋体" w:cs="宋体"/>
                <w:kern w:val="0"/>
                <w:sz w:val="21"/>
                <w:szCs w:val="21"/>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2" w:hRule="atLeast"/>
        </w:trPr>
        <w:tc>
          <w:tcPr>
            <w:tcW w:w="546" w:type="dxa"/>
            <w:vMerge w:val="continue"/>
            <w:tcBorders>
              <w:left w:val="outset" w:color="auto" w:sz="6" w:space="0"/>
              <w:right w:val="outset" w:color="auto" w:sz="6" w:space="0"/>
            </w:tcBorders>
            <w:vAlign w:val="center"/>
          </w:tcPr>
          <w:p>
            <w:pPr>
              <w:spacing w:line="400" w:lineRule="exact"/>
              <w:ind w:firstLine="320" w:firstLineChars="100"/>
            </w:pPr>
          </w:p>
        </w:tc>
        <w:tc>
          <w:tcPr>
            <w:tcW w:w="1880" w:type="dxa"/>
            <w:vMerge w:val="continue"/>
            <w:tcBorders>
              <w:left w:val="outset" w:color="auto" w:sz="6" w:space="0"/>
              <w:right w:val="outset" w:color="auto" w:sz="6" w:space="0"/>
            </w:tcBorders>
            <w:vAlign w:val="center"/>
          </w:tcPr>
          <w:p>
            <w:pPr>
              <w:spacing w:line="360" w:lineRule="auto"/>
              <w:jc w:val="center"/>
            </w:pPr>
          </w:p>
        </w:tc>
        <w:tc>
          <w:tcPr>
            <w:tcW w:w="1701" w:type="dxa"/>
            <w:vMerge w:val="continue"/>
            <w:tcBorders>
              <w:left w:val="outset" w:color="auto" w:sz="6" w:space="0"/>
              <w:right w:val="outset" w:color="auto" w:sz="6" w:space="0"/>
            </w:tcBorders>
            <w:vAlign w:val="center"/>
          </w:tcPr>
          <w:p>
            <w:pPr>
              <w:widowControl/>
              <w:spacing w:line="360" w:lineRule="auto"/>
              <w:jc w:val="left"/>
            </w:pPr>
          </w:p>
        </w:tc>
        <w:tc>
          <w:tcPr>
            <w:tcW w:w="6662" w:type="dxa"/>
            <w:vMerge w:val="continue"/>
            <w:tcBorders>
              <w:left w:val="outset" w:color="auto" w:sz="6" w:space="0"/>
              <w:right w:val="outset" w:color="auto" w:sz="6" w:space="0"/>
            </w:tcBorders>
            <w:vAlign w:val="center"/>
          </w:tcPr>
          <w:p>
            <w:pPr>
              <w:widowControl/>
              <w:spacing w:line="360" w:lineRule="auto"/>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3" w:hRule="atLeast"/>
        </w:trPr>
        <w:tc>
          <w:tcPr>
            <w:tcW w:w="546" w:type="dxa"/>
            <w:vMerge w:val="continue"/>
            <w:tcBorders>
              <w:left w:val="outset" w:color="auto" w:sz="6" w:space="0"/>
              <w:right w:val="outset" w:color="auto" w:sz="6" w:space="0"/>
            </w:tcBorders>
            <w:vAlign w:val="center"/>
          </w:tcPr>
          <w:p>
            <w:pPr>
              <w:spacing w:line="400" w:lineRule="exact"/>
              <w:ind w:firstLine="210" w:firstLineChars="100"/>
              <w:rPr>
                <w:rFonts w:ascii="宋体" w:hAnsi="宋体" w:eastAsia="宋体" w:cs="宋体"/>
                <w:color w:val="000000"/>
                <w:kern w:val="0"/>
                <w:sz w:val="21"/>
                <w:szCs w:val="21"/>
              </w:rPr>
            </w:pPr>
          </w:p>
        </w:tc>
        <w:tc>
          <w:tcPr>
            <w:tcW w:w="1880" w:type="dxa"/>
            <w:vMerge w:val="continue"/>
            <w:tcBorders>
              <w:left w:val="outset" w:color="auto" w:sz="6" w:space="0"/>
              <w:right w:val="outset" w:color="auto" w:sz="6" w:space="0"/>
            </w:tcBorders>
            <w:vAlign w:val="center"/>
          </w:tcPr>
          <w:p>
            <w:pPr>
              <w:spacing w:line="360" w:lineRule="auto"/>
              <w:jc w:val="center"/>
              <w:rPr>
                <w:rFonts w:ascii="宋体" w:hAnsi="宋体" w:eastAsia="宋体" w:cs="宋体"/>
                <w:color w:val="000000"/>
                <w:kern w:val="0"/>
                <w:sz w:val="21"/>
                <w:szCs w:val="21"/>
              </w:rPr>
            </w:pPr>
          </w:p>
        </w:tc>
        <w:tc>
          <w:tcPr>
            <w:tcW w:w="1701"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c>
          <w:tcPr>
            <w:tcW w:w="6662"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trPr>
        <w:tc>
          <w:tcPr>
            <w:tcW w:w="546" w:type="dxa"/>
            <w:vMerge w:val="continue"/>
            <w:tcBorders>
              <w:left w:val="outset" w:color="auto" w:sz="6" w:space="0"/>
              <w:right w:val="outset" w:color="auto" w:sz="6" w:space="0"/>
            </w:tcBorders>
            <w:vAlign w:val="center"/>
          </w:tcPr>
          <w:p>
            <w:pPr>
              <w:widowControl/>
              <w:adjustRightInd/>
              <w:snapToGrid/>
              <w:spacing w:line="400" w:lineRule="exact"/>
              <w:ind w:firstLine="210" w:firstLineChars="100"/>
              <w:rPr>
                <w:rFonts w:ascii="宋体" w:hAnsi="宋体" w:eastAsia="宋体" w:cs="宋体"/>
                <w:color w:val="000000"/>
                <w:kern w:val="0"/>
                <w:sz w:val="21"/>
                <w:szCs w:val="21"/>
              </w:rPr>
            </w:pPr>
          </w:p>
        </w:tc>
        <w:tc>
          <w:tcPr>
            <w:tcW w:w="1880" w:type="dxa"/>
            <w:vMerge w:val="continue"/>
            <w:tcBorders>
              <w:left w:val="outset" w:color="auto" w:sz="6" w:space="0"/>
              <w:right w:val="outset" w:color="auto" w:sz="6" w:space="0"/>
            </w:tcBorders>
            <w:vAlign w:val="center"/>
          </w:tcPr>
          <w:p>
            <w:pPr>
              <w:widowControl/>
              <w:spacing w:line="360" w:lineRule="auto"/>
              <w:jc w:val="center"/>
              <w:rPr>
                <w:rFonts w:ascii="宋体" w:hAnsi="宋体" w:eastAsia="宋体" w:cs="宋体"/>
                <w:color w:val="000000"/>
                <w:kern w:val="0"/>
                <w:sz w:val="21"/>
                <w:szCs w:val="21"/>
              </w:rPr>
            </w:pPr>
          </w:p>
        </w:tc>
        <w:tc>
          <w:tcPr>
            <w:tcW w:w="1701" w:type="dxa"/>
            <w:vMerge w:val="restart"/>
            <w:tcBorders>
              <w:top w:val="outset" w:color="auto" w:sz="6" w:space="0"/>
              <w:left w:val="outset" w:color="auto" w:sz="6" w:space="0"/>
              <w:right w:val="outset" w:color="auto" w:sz="6" w:space="0"/>
            </w:tcBorders>
            <w:vAlign w:val="center"/>
          </w:tcPr>
          <w:p>
            <w:pPr>
              <w:widowControl/>
              <w:spacing w:line="360" w:lineRule="auto"/>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6662" w:type="dxa"/>
            <w:vMerge w:val="restart"/>
            <w:tcBorders>
              <w:top w:val="outset" w:color="auto" w:sz="6" w:space="0"/>
              <w:left w:val="outset" w:color="auto" w:sz="6" w:space="0"/>
              <w:right w:val="outset" w:color="auto" w:sz="6" w:space="0"/>
            </w:tcBorders>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供应商投入本</w:t>
            </w:r>
            <w:r>
              <w:rPr>
                <w:rFonts w:ascii="宋体" w:hAnsi="宋体" w:eastAsia="宋体" w:cs="宋体"/>
                <w:kern w:val="0"/>
                <w:sz w:val="21"/>
                <w:szCs w:val="21"/>
              </w:rPr>
              <w:t>项目</w:t>
            </w:r>
            <w:r>
              <w:rPr>
                <w:rFonts w:hint="eastAsia" w:ascii="宋体" w:hAnsi="宋体" w:eastAsia="宋体" w:cs="宋体"/>
                <w:kern w:val="0"/>
                <w:sz w:val="21"/>
                <w:szCs w:val="21"/>
              </w:rPr>
              <w:t>的项目负责人获得国家级以上知识产权人才称号或荣誉的得3分；具备省级的得2分；其他得1分。</w:t>
            </w:r>
            <w:r>
              <w:rPr>
                <w:rFonts w:ascii="宋体" w:hAnsi="宋体" w:eastAsia="宋体" w:cs="宋体"/>
                <w:kern w:val="0"/>
                <w:sz w:val="21"/>
                <w:szCs w:val="21"/>
              </w:rPr>
              <w:t>须提供</w:t>
            </w:r>
            <w:r>
              <w:rPr>
                <w:rFonts w:hint="eastAsia" w:ascii="宋体" w:hAnsi="宋体" w:eastAsia="宋体" w:cs="宋体"/>
                <w:kern w:val="0"/>
                <w:sz w:val="21"/>
                <w:szCs w:val="21"/>
              </w:rPr>
              <w:t>项目负责人荣誉证书</w:t>
            </w:r>
            <w:r>
              <w:rPr>
                <w:rFonts w:ascii="宋体" w:hAnsi="宋体" w:eastAsia="宋体" w:cs="宋体"/>
                <w:kern w:val="0"/>
                <w:sz w:val="21"/>
                <w:szCs w:val="21"/>
              </w:rPr>
              <w:t>复印件</w:t>
            </w:r>
            <w:r>
              <w:rPr>
                <w:rFonts w:hint="eastAsia" w:ascii="宋体" w:hAnsi="宋体" w:eastAsia="宋体" w:cs="宋体"/>
                <w:kern w:val="0"/>
                <w:sz w:val="21"/>
                <w:szCs w:val="21"/>
              </w:rPr>
              <w:t>和</w:t>
            </w:r>
            <w:r>
              <w:rPr>
                <w:rFonts w:ascii="宋体" w:hAnsi="宋体" w:eastAsia="宋体" w:cs="宋体"/>
                <w:kern w:val="0"/>
                <w:sz w:val="21"/>
                <w:szCs w:val="21"/>
              </w:rPr>
              <w:t>投标截止时间前6个月（不含当月）任意一个月</w:t>
            </w:r>
            <w:r>
              <w:rPr>
                <w:rFonts w:hint="eastAsia" w:ascii="宋体" w:hAnsi="宋体" w:eastAsia="宋体" w:cs="宋体"/>
                <w:kern w:val="0"/>
                <w:sz w:val="21"/>
                <w:szCs w:val="21"/>
              </w:rPr>
              <w:t>供应商</w:t>
            </w:r>
            <w:r>
              <w:rPr>
                <w:rFonts w:ascii="宋体" w:hAnsi="宋体" w:eastAsia="宋体" w:cs="宋体"/>
                <w:kern w:val="0"/>
                <w:sz w:val="21"/>
                <w:szCs w:val="21"/>
              </w:rPr>
              <w:t>为</w:t>
            </w:r>
            <w:r>
              <w:rPr>
                <w:rFonts w:hint="eastAsia" w:ascii="宋体" w:hAnsi="宋体" w:eastAsia="宋体" w:cs="宋体"/>
                <w:kern w:val="0"/>
                <w:sz w:val="21"/>
                <w:szCs w:val="21"/>
              </w:rPr>
              <w:t>项目负责人</w:t>
            </w:r>
            <w:r>
              <w:rPr>
                <w:rFonts w:ascii="宋体" w:hAnsi="宋体" w:eastAsia="宋体" w:cs="宋体"/>
                <w:kern w:val="0"/>
                <w:sz w:val="21"/>
                <w:szCs w:val="21"/>
              </w:rPr>
              <w:t>缴交社保的证明并加盖</w:t>
            </w:r>
            <w:r>
              <w:rPr>
                <w:rFonts w:hint="eastAsia" w:ascii="宋体" w:hAnsi="宋体" w:eastAsia="宋体" w:cs="宋体"/>
                <w:kern w:val="0"/>
                <w:sz w:val="21"/>
                <w:szCs w:val="21"/>
              </w:rPr>
              <w:t>供应商</w:t>
            </w:r>
            <w:r>
              <w:rPr>
                <w:rFonts w:ascii="宋体" w:hAnsi="宋体" w:eastAsia="宋体" w:cs="宋体"/>
                <w:kern w:val="0"/>
                <w:sz w:val="21"/>
                <w:szCs w:val="21"/>
              </w:rPr>
              <w:t>公章</w:t>
            </w:r>
            <w:r>
              <w:rPr>
                <w:rFonts w:hint="eastAsia" w:ascii="宋体" w:hAnsi="宋体" w:eastAsia="宋体" w:cs="宋体"/>
                <w:kern w:val="0"/>
                <w:sz w:val="21"/>
                <w:szCs w:val="21"/>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trPr>
        <w:tc>
          <w:tcPr>
            <w:tcW w:w="546" w:type="dxa"/>
            <w:vMerge w:val="continue"/>
            <w:tcBorders>
              <w:left w:val="outset" w:color="auto" w:sz="6" w:space="0"/>
              <w:right w:val="outset" w:color="auto" w:sz="6" w:space="0"/>
            </w:tcBorders>
            <w:vAlign w:val="center"/>
          </w:tcPr>
          <w:p>
            <w:pPr>
              <w:widowControl/>
              <w:adjustRightInd/>
              <w:snapToGrid/>
              <w:spacing w:line="400" w:lineRule="exact"/>
              <w:ind w:firstLine="210" w:firstLineChars="100"/>
              <w:rPr>
                <w:rFonts w:ascii="宋体" w:hAnsi="宋体" w:eastAsia="宋体" w:cs="宋体"/>
                <w:color w:val="000000"/>
                <w:kern w:val="0"/>
                <w:sz w:val="21"/>
                <w:szCs w:val="21"/>
              </w:rPr>
            </w:pPr>
          </w:p>
        </w:tc>
        <w:tc>
          <w:tcPr>
            <w:tcW w:w="1880" w:type="dxa"/>
            <w:vMerge w:val="continue"/>
            <w:tcBorders>
              <w:left w:val="outset" w:color="auto" w:sz="6" w:space="0"/>
              <w:right w:val="outset" w:color="auto" w:sz="6" w:space="0"/>
            </w:tcBorders>
            <w:vAlign w:val="center"/>
          </w:tcPr>
          <w:p>
            <w:pPr>
              <w:widowControl/>
              <w:spacing w:line="360" w:lineRule="auto"/>
              <w:jc w:val="center"/>
              <w:rPr>
                <w:rFonts w:ascii="宋体" w:hAnsi="宋体" w:eastAsia="宋体" w:cs="宋体"/>
                <w:color w:val="000000"/>
                <w:kern w:val="0"/>
                <w:sz w:val="21"/>
                <w:szCs w:val="21"/>
              </w:rPr>
            </w:pPr>
          </w:p>
        </w:tc>
        <w:tc>
          <w:tcPr>
            <w:tcW w:w="1701" w:type="dxa"/>
            <w:vMerge w:val="continue"/>
            <w:tcBorders>
              <w:left w:val="outset" w:color="auto" w:sz="6" w:space="0"/>
              <w:right w:val="outset" w:color="auto" w:sz="6" w:space="0"/>
            </w:tcBorders>
            <w:vAlign w:val="center"/>
          </w:tcPr>
          <w:p>
            <w:pPr>
              <w:widowControl/>
              <w:spacing w:line="360" w:lineRule="auto"/>
              <w:jc w:val="center"/>
              <w:rPr>
                <w:rFonts w:ascii="宋体" w:hAnsi="宋体" w:eastAsia="宋体" w:cs="宋体"/>
                <w:color w:val="000000"/>
                <w:kern w:val="0"/>
                <w:sz w:val="21"/>
                <w:szCs w:val="21"/>
              </w:rPr>
            </w:pPr>
          </w:p>
        </w:tc>
        <w:tc>
          <w:tcPr>
            <w:tcW w:w="6662" w:type="dxa"/>
            <w:vMerge w:val="continue"/>
            <w:tcBorders>
              <w:left w:val="outset" w:color="auto" w:sz="6" w:space="0"/>
              <w:right w:val="outset" w:color="auto" w:sz="6" w:space="0"/>
            </w:tcBorders>
            <w:vAlign w:val="center"/>
          </w:tcPr>
          <w:p>
            <w:pPr>
              <w:widowControl/>
              <w:spacing w:line="360" w:lineRule="auto"/>
              <w:jc w:val="left"/>
              <w:rPr>
                <w:rFonts w:ascii="宋体" w:hAnsi="宋体" w:eastAsia="宋体" w:cs="宋体"/>
                <w:kern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trPr>
        <w:tc>
          <w:tcPr>
            <w:tcW w:w="546" w:type="dxa"/>
            <w:vMerge w:val="continue"/>
            <w:tcBorders>
              <w:left w:val="outset" w:color="auto" w:sz="6" w:space="0"/>
              <w:right w:val="outset" w:color="auto" w:sz="6" w:space="0"/>
            </w:tcBorders>
            <w:vAlign w:val="center"/>
          </w:tcPr>
          <w:p>
            <w:pPr>
              <w:widowControl/>
              <w:adjustRightInd/>
              <w:snapToGrid/>
              <w:spacing w:line="400" w:lineRule="exact"/>
              <w:ind w:firstLine="210" w:firstLineChars="100"/>
              <w:rPr>
                <w:rFonts w:ascii="宋体" w:hAnsi="宋体" w:eastAsia="宋体" w:cs="宋体"/>
                <w:color w:val="000000"/>
                <w:kern w:val="0"/>
                <w:sz w:val="21"/>
                <w:szCs w:val="21"/>
              </w:rPr>
            </w:pPr>
          </w:p>
        </w:tc>
        <w:tc>
          <w:tcPr>
            <w:tcW w:w="1880" w:type="dxa"/>
            <w:vMerge w:val="continue"/>
            <w:tcBorders>
              <w:left w:val="outset" w:color="auto" w:sz="6" w:space="0"/>
              <w:right w:val="outset" w:color="auto" w:sz="6" w:space="0"/>
            </w:tcBorders>
            <w:vAlign w:val="center"/>
          </w:tcPr>
          <w:p>
            <w:pPr>
              <w:widowControl/>
              <w:spacing w:line="360" w:lineRule="auto"/>
              <w:jc w:val="center"/>
              <w:rPr>
                <w:rFonts w:ascii="宋体" w:hAnsi="宋体" w:eastAsia="宋体" w:cs="宋体"/>
                <w:color w:val="000000"/>
                <w:kern w:val="0"/>
                <w:sz w:val="21"/>
                <w:szCs w:val="21"/>
              </w:rPr>
            </w:pPr>
          </w:p>
        </w:tc>
        <w:tc>
          <w:tcPr>
            <w:tcW w:w="1701" w:type="dxa"/>
            <w:vMerge w:val="continue"/>
            <w:tcBorders>
              <w:left w:val="outset" w:color="auto" w:sz="6" w:space="0"/>
              <w:right w:val="outset" w:color="auto" w:sz="6" w:space="0"/>
            </w:tcBorders>
            <w:vAlign w:val="center"/>
          </w:tcPr>
          <w:p>
            <w:pPr>
              <w:widowControl/>
              <w:spacing w:line="360" w:lineRule="auto"/>
              <w:jc w:val="center"/>
              <w:rPr>
                <w:rFonts w:ascii="宋体" w:hAnsi="宋体" w:eastAsia="宋体" w:cs="宋体"/>
                <w:color w:val="000000"/>
                <w:kern w:val="0"/>
                <w:sz w:val="21"/>
                <w:szCs w:val="21"/>
              </w:rPr>
            </w:pPr>
          </w:p>
        </w:tc>
        <w:tc>
          <w:tcPr>
            <w:tcW w:w="6662" w:type="dxa"/>
            <w:vMerge w:val="continue"/>
            <w:tcBorders>
              <w:left w:val="outset" w:color="auto" w:sz="6" w:space="0"/>
              <w:right w:val="outset" w:color="auto" w:sz="6" w:space="0"/>
            </w:tcBorders>
            <w:vAlign w:val="center"/>
          </w:tcPr>
          <w:p>
            <w:pPr>
              <w:widowControl/>
              <w:spacing w:line="360" w:lineRule="auto"/>
              <w:jc w:val="left"/>
              <w:rPr>
                <w:rFonts w:ascii="宋体" w:hAnsi="宋体" w:eastAsia="宋体" w:cs="宋体"/>
                <w:kern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trPr>
        <w:tc>
          <w:tcPr>
            <w:tcW w:w="546" w:type="dxa"/>
            <w:vMerge w:val="restart"/>
            <w:tcBorders>
              <w:top w:val="outset" w:color="auto" w:sz="6" w:space="0"/>
              <w:left w:val="outset" w:color="auto" w:sz="6" w:space="0"/>
              <w:right w:val="outset" w:color="auto" w:sz="6" w:space="0"/>
            </w:tcBorders>
            <w:vAlign w:val="center"/>
          </w:tcPr>
          <w:p>
            <w:pPr>
              <w:spacing w:line="4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880" w:type="dxa"/>
            <w:vMerge w:val="restart"/>
            <w:tcBorders>
              <w:top w:val="outset" w:color="auto" w:sz="6" w:space="0"/>
              <w:left w:val="outset" w:color="auto" w:sz="6" w:space="0"/>
              <w:right w:val="outset" w:color="auto" w:sz="6" w:space="0"/>
            </w:tcBorders>
            <w:vAlign w:val="center"/>
          </w:tcPr>
          <w:p>
            <w:pPr>
              <w:widowControl/>
              <w:spacing w:line="360" w:lineRule="auto"/>
              <w:jc w:val="center"/>
              <w:rPr>
                <w:rFonts w:ascii="宋体" w:hAnsi="宋体" w:eastAsia="宋体" w:cs="宋体"/>
                <w:color w:val="000000"/>
                <w:kern w:val="0"/>
                <w:sz w:val="21"/>
                <w:szCs w:val="21"/>
              </w:rPr>
            </w:pPr>
            <w:bookmarkStart w:id="67" w:name="_Hlk160824613"/>
            <w:r>
              <w:rPr>
                <w:rFonts w:hint="eastAsia" w:ascii="宋体" w:hAnsi="宋体" w:eastAsia="宋体" w:cs="宋体"/>
                <w:color w:val="000000"/>
                <w:kern w:val="0"/>
                <w:sz w:val="21"/>
                <w:szCs w:val="21"/>
              </w:rPr>
              <w:t>项目组成员</w:t>
            </w:r>
            <w:r>
              <w:rPr>
                <w:rFonts w:ascii="宋体" w:hAnsi="宋体" w:eastAsia="宋体" w:cs="宋体"/>
                <w:color w:val="000000"/>
                <w:kern w:val="0"/>
                <w:sz w:val="21"/>
                <w:szCs w:val="21"/>
              </w:rPr>
              <w:t>情况</w:t>
            </w:r>
            <w:bookmarkEnd w:id="67"/>
          </w:p>
        </w:tc>
        <w:tc>
          <w:tcPr>
            <w:tcW w:w="1701" w:type="dxa"/>
            <w:vMerge w:val="restart"/>
            <w:tcBorders>
              <w:top w:val="outset" w:color="auto" w:sz="6" w:space="0"/>
              <w:left w:val="outset" w:color="auto" w:sz="6" w:space="0"/>
              <w:right w:val="outset" w:color="auto" w:sz="6" w:space="0"/>
            </w:tcBorders>
            <w:vAlign w:val="center"/>
          </w:tcPr>
          <w:p>
            <w:pPr>
              <w:widowControl/>
              <w:spacing w:line="360" w:lineRule="auto"/>
              <w:jc w:val="center"/>
              <w:rPr>
                <w:rFonts w:ascii="宋体" w:hAnsi="宋体" w:eastAsia="宋体" w:cs="宋体"/>
                <w:color w:val="000000"/>
                <w:kern w:val="0"/>
                <w:sz w:val="21"/>
                <w:szCs w:val="21"/>
              </w:rPr>
            </w:pPr>
            <w:r>
              <w:rPr>
                <w:rFonts w:ascii="宋体" w:hAnsi="宋体" w:eastAsia="宋体" w:cs="宋体"/>
                <w:color w:val="000000"/>
                <w:kern w:val="0"/>
                <w:sz w:val="21"/>
                <w:szCs w:val="21"/>
              </w:rPr>
              <w:t>3</w:t>
            </w:r>
          </w:p>
        </w:tc>
        <w:tc>
          <w:tcPr>
            <w:tcW w:w="6662" w:type="dxa"/>
            <w:vMerge w:val="restart"/>
            <w:tcBorders>
              <w:top w:val="outset" w:color="auto" w:sz="6" w:space="0"/>
              <w:left w:val="outset" w:color="auto" w:sz="6" w:space="0"/>
              <w:right w:val="outset" w:color="auto" w:sz="6" w:space="0"/>
            </w:tcBorders>
            <w:vAlign w:val="center"/>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供应商投入本</w:t>
            </w:r>
            <w:r>
              <w:rPr>
                <w:rFonts w:ascii="宋体" w:hAnsi="宋体" w:eastAsia="宋体" w:cs="宋体"/>
                <w:kern w:val="0"/>
                <w:sz w:val="21"/>
                <w:szCs w:val="21"/>
              </w:rPr>
              <w:t>项目</w:t>
            </w:r>
            <w:r>
              <w:rPr>
                <w:rFonts w:hint="eastAsia" w:ascii="宋体" w:hAnsi="宋体" w:eastAsia="宋体" w:cs="宋体"/>
                <w:kern w:val="0"/>
                <w:sz w:val="21"/>
                <w:szCs w:val="21"/>
              </w:rPr>
              <w:t>的研究人员</w:t>
            </w:r>
            <w:r>
              <w:rPr>
                <w:rFonts w:ascii="宋体" w:hAnsi="宋体" w:eastAsia="宋体" w:cs="宋体"/>
                <w:kern w:val="0"/>
                <w:sz w:val="21"/>
                <w:szCs w:val="21"/>
              </w:rPr>
              <w:t>中</w:t>
            </w:r>
            <w:r>
              <w:rPr>
                <w:rFonts w:hint="eastAsia" w:ascii="宋体" w:hAnsi="宋体" w:eastAsia="宋体" w:cs="宋体"/>
                <w:kern w:val="0"/>
                <w:sz w:val="21"/>
                <w:szCs w:val="21"/>
              </w:rPr>
              <w:t>具备博士研究生学历情况评分：项目组成员中有博士学历1人的得1分，满分3分。</w:t>
            </w:r>
            <w:r>
              <w:rPr>
                <w:rFonts w:ascii="宋体" w:hAnsi="宋体" w:eastAsia="宋体" w:cs="宋体"/>
                <w:kern w:val="0"/>
                <w:sz w:val="21"/>
                <w:szCs w:val="21"/>
              </w:rPr>
              <w:t>须提供</w:t>
            </w:r>
            <w:r>
              <w:rPr>
                <w:rFonts w:hint="eastAsia" w:ascii="宋体" w:hAnsi="宋体" w:eastAsia="宋体" w:cs="宋体"/>
                <w:kern w:val="0"/>
                <w:sz w:val="21"/>
                <w:szCs w:val="21"/>
              </w:rPr>
              <w:t>项目组成员身份</w:t>
            </w:r>
            <w:r>
              <w:rPr>
                <w:rFonts w:ascii="宋体" w:hAnsi="宋体" w:eastAsia="宋体" w:cs="宋体"/>
                <w:kern w:val="0"/>
                <w:sz w:val="21"/>
                <w:szCs w:val="21"/>
              </w:rPr>
              <w:t>证</w:t>
            </w:r>
            <w:r>
              <w:rPr>
                <w:rFonts w:hint="eastAsia" w:ascii="宋体" w:hAnsi="宋体" w:eastAsia="宋体" w:cs="宋体"/>
                <w:kern w:val="0"/>
                <w:sz w:val="21"/>
                <w:szCs w:val="21"/>
              </w:rPr>
              <w:t>、学历</w:t>
            </w:r>
            <w:r>
              <w:rPr>
                <w:rFonts w:ascii="宋体" w:hAnsi="宋体" w:eastAsia="宋体" w:cs="宋体"/>
                <w:kern w:val="0"/>
                <w:sz w:val="21"/>
                <w:szCs w:val="21"/>
              </w:rPr>
              <w:t>复印件</w:t>
            </w:r>
            <w:r>
              <w:rPr>
                <w:rFonts w:hint="eastAsia" w:ascii="宋体" w:hAnsi="宋体" w:eastAsia="宋体" w:cs="宋体"/>
                <w:kern w:val="0"/>
                <w:sz w:val="21"/>
                <w:szCs w:val="21"/>
              </w:rPr>
              <w:t>和</w:t>
            </w:r>
            <w:r>
              <w:rPr>
                <w:rFonts w:ascii="宋体" w:hAnsi="宋体" w:eastAsia="宋体" w:cs="宋体"/>
                <w:kern w:val="0"/>
                <w:sz w:val="21"/>
                <w:szCs w:val="21"/>
              </w:rPr>
              <w:t>投标截止时间前6个月（不含当月）任意一个月</w:t>
            </w:r>
            <w:r>
              <w:rPr>
                <w:rFonts w:hint="eastAsia" w:ascii="宋体" w:hAnsi="宋体" w:eastAsia="宋体" w:cs="宋体"/>
                <w:kern w:val="0"/>
                <w:sz w:val="21"/>
                <w:szCs w:val="21"/>
              </w:rPr>
              <w:t>供应商</w:t>
            </w:r>
            <w:r>
              <w:rPr>
                <w:rFonts w:ascii="宋体" w:hAnsi="宋体" w:eastAsia="宋体" w:cs="宋体"/>
                <w:kern w:val="0"/>
                <w:sz w:val="21"/>
                <w:szCs w:val="21"/>
              </w:rPr>
              <w:t>为上述人员缴交社保的证明并加盖</w:t>
            </w:r>
            <w:r>
              <w:rPr>
                <w:rFonts w:hint="eastAsia" w:ascii="宋体" w:hAnsi="宋体" w:eastAsia="宋体" w:cs="宋体"/>
                <w:kern w:val="0"/>
                <w:sz w:val="21"/>
                <w:szCs w:val="21"/>
              </w:rPr>
              <w:t>供应商</w:t>
            </w:r>
            <w:r>
              <w:rPr>
                <w:rFonts w:ascii="宋体" w:hAnsi="宋体" w:eastAsia="宋体" w:cs="宋体"/>
                <w:kern w:val="0"/>
                <w:sz w:val="21"/>
                <w:szCs w:val="21"/>
              </w:rPr>
              <w:t>公章</w:t>
            </w:r>
            <w:r>
              <w:rPr>
                <w:rFonts w:hint="eastAsia" w:ascii="宋体" w:hAnsi="宋体" w:eastAsia="宋体" w:cs="宋体"/>
                <w:kern w:val="0"/>
                <w:sz w:val="21"/>
                <w:szCs w:val="21"/>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trPr>
        <w:tc>
          <w:tcPr>
            <w:tcW w:w="546" w:type="dxa"/>
            <w:vMerge w:val="continue"/>
            <w:tcBorders>
              <w:left w:val="outset" w:color="auto" w:sz="6" w:space="0"/>
              <w:right w:val="outset" w:color="auto" w:sz="6" w:space="0"/>
            </w:tcBorders>
            <w:vAlign w:val="center"/>
          </w:tcPr>
          <w:p>
            <w:pPr>
              <w:spacing w:line="400" w:lineRule="exact"/>
              <w:jc w:val="center"/>
            </w:pPr>
          </w:p>
        </w:tc>
        <w:tc>
          <w:tcPr>
            <w:tcW w:w="1880" w:type="dxa"/>
            <w:vMerge w:val="continue"/>
            <w:tcBorders>
              <w:left w:val="outset" w:color="auto" w:sz="6" w:space="0"/>
              <w:right w:val="outset" w:color="auto" w:sz="6" w:space="0"/>
            </w:tcBorders>
            <w:vAlign w:val="center"/>
          </w:tcPr>
          <w:p>
            <w:pPr>
              <w:widowControl/>
              <w:spacing w:line="360" w:lineRule="auto"/>
              <w:jc w:val="left"/>
            </w:pPr>
          </w:p>
        </w:tc>
        <w:tc>
          <w:tcPr>
            <w:tcW w:w="1701" w:type="dxa"/>
            <w:vMerge w:val="continue"/>
            <w:tcBorders>
              <w:left w:val="outset" w:color="auto" w:sz="6" w:space="0"/>
              <w:right w:val="outset" w:color="auto" w:sz="6" w:space="0"/>
            </w:tcBorders>
            <w:vAlign w:val="center"/>
          </w:tcPr>
          <w:p>
            <w:pPr>
              <w:widowControl/>
              <w:spacing w:line="360" w:lineRule="auto"/>
              <w:jc w:val="left"/>
            </w:pPr>
          </w:p>
        </w:tc>
        <w:tc>
          <w:tcPr>
            <w:tcW w:w="6662" w:type="dxa"/>
            <w:vMerge w:val="continue"/>
            <w:tcBorders>
              <w:left w:val="outset" w:color="auto" w:sz="6" w:space="0"/>
              <w:right w:val="outset" w:color="auto" w:sz="6" w:space="0"/>
            </w:tcBorders>
            <w:vAlign w:val="center"/>
          </w:tcPr>
          <w:p>
            <w:pPr>
              <w:widowControl/>
              <w:spacing w:line="360" w:lineRule="auto"/>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trPr>
        <w:tc>
          <w:tcPr>
            <w:tcW w:w="546" w:type="dxa"/>
            <w:vMerge w:val="continue"/>
            <w:tcBorders>
              <w:left w:val="outset" w:color="auto" w:sz="6" w:space="0"/>
              <w:right w:val="outset" w:color="auto" w:sz="6" w:space="0"/>
            </w:tcBorders>
            <w:vAlign w:val="center"/>
          </w:tcPr>
          <w:p>
            <w:pPr>
              <w:spacing w:line="400" w:lineRule="exact"/>
              <w:jc w:val="center"/>
              <w:rPr>
                <w:rFonts w:ascii="宋体" w:hAnsi="宋体" w:eastAsia="宋体" w:cs="宋体"/>
                <w:kern w:val="0"/>
                <w:sz w:val="21"/>
                <w:szCs w:val="21"/>
              </w:rPr>
            </w:pPr>
          </w:p>
        </w:tc>
        <w:tc>
          <w:tcPr>
            <w:tcW w:w="1880" w:type="dxa"/>
            <w:vMerge w:val="continue"/>
            <w:tcBorders>
              <w:left w:val="outset" w:color="auto" w:sz="6" w:space="0"/>
              <w:right w:val="outset" w:color="auto" w:sz="6" w:space="0"/>
            </w:tcBorders>
            <w:vAlign w:val="center"/>
          </w:tcPr>
          <w:p>
            <w:pPr>
              <w:widowControl/>
              <w:spacing w:line="360" w:lineRule="auto"/>
              <w:jc w:val="left"/>
              <w:rPr>
                <w:rFonts w:ascii="宋体" w:hAnsi="宋体" w:eastAsia="宋体" w:cs="宋体"/>
                <w:kern w:val="0"/>
                <w:sz w:val="21"/>
                <w:szCs w:val="21"/>
              </w:rPr>
            </w:pPr>
          </w:p>
        </w:tc>
        <w:tc>
          <w:tcPr>
            <w:tcW w:w="1701" w:type="dxa"/>
            <w:vMerge w:val="continue"/>
            <w:tcBorders>
              <w:left w:val="outset" w:color="auto" w:sz="6" w:space="0"/>
              <w:right w:val="outset" w:color="auto" w:sz="6" w:space="0"/>
            </w:tcBorders>
            <w:vAlign w:val="center"/>
          </w:tcPr>
          <w:p>
            <w:pPr>
              <w:widowControl/>
              <w:spacing w:line="360" w:lineRule="auto"/>
              <w:jc w:val="left"/>
              <w:rPr>
                <w:rFonts w:ascii="宋体" w:hAnsi="宋体" w:eastAsia="宋体" w:cs="宋体"/>
                <w:kern w:val="0"/>
                <w:sz w:val="21"/>
                <w:szCs w:val="21"/>
              </w:rPr>
            </w:pPr>
          </w:p>
        </w:tc>
        <w:tc>
          <w:tcPr>
            <w:tcW w:w="6662" w:type="dxa"/>
            <w:vMerge w:val="continue"/>
            <w:tcBorders>
              <w:left w:val="outset" w:color="auto" w:sz="6" w:space="0"/>
              <w:right w:val="outset" w:color="auto" w:sz="6" w:space="0"/>
            </w:tcBorders>
            <w:vAlign w:val="center"/>
          </w:tcPr>
          <w:p>
            <w:pPr>
              <w:widowControl/>
              <w:spacing w:line="360" w:lineRule="auto"/>
              <w:jc w:val="left"/>
              <w:rPr>
                <w:rFonts w:ascii="宋体" w:hAnsi="宋体" w:eastAsia="宋体" w:cs="宋体"/>
                <w:kern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46" w:type="dxa"/>
            <w:vMerge w:val="continue"/>
            <w:tcBorders>
              <w:left w:val="outset" w:color="auto" w:sz="6" w:space="0"/>
              <w:right w:val="outset" w:color="auto" w:sz="6" w:space="0"/>
            </w:tcBorders>
            <w:vAlign w:val="center"/>
          </w:tcPr>
          <w:p>
            <w:pPr>
              <w:spacing w:line="400" w:lineRule="exact"/>
              <w:jc w:val="center"/>
              <w:rPr>
                <w:rFonts w:ascii="宋体" w:hAnsi="宋体" w:eastAsia="宋体" w:cs="宋体"/>
                <w:color w:val="000000"/>
                <w:kern w:val="0"/>
                <w:sz w:val="21"/>
                <w:szCs w:val="21"/>
              </w:rPr>
            </w:pPr>
          </w:p>
        </w:tc>
        <w:tc>
          <w:tcPr>
            <w:tcW w:w="1880" w:type="dxa"/>
            <w:vMerge w:val="continue"/>
            <w:tcBorders>
              <w:left w:val="outset" w:color="auto" w:sz="6" w:space="0"/>
              <w:right w:val="outset" w:color="auto" w:sz="6" w:space="0"/>
            </w:tcBorders>
            <w:vAlign w:val="center"/>
          </w:tcPr>
          <w:p>
            <w:pPr>
              <w:widowControl/>
              <w:adjustRightInd/>
              <w:snapToGrid/>
              <w:spacing w:line="400" w:lineRule="exact"/>
              <w:jc w:val="center"/>
              <w:rPr>
                <w:rFonts w:ascii="宋体" w:hAnsi="宋体" w:eastAsia="宋体" w:cs="宋体"/>
                <w:color w:val="000000"/>
                <w:kern w:val="0"/>
                <w:sz w:val="21"/>
                <w:szCs w:val="21"/>
              </w:rPr>
            </w:pPr>
          </w:p>
        </w:tc>
        <w:tc>
          <w:tcPr>
            <w:tcW w:w="1701" w:type="dxa"/>
            <w:vMerge w:val="restart"/>
            <w:tcBorders>
              <w:top w:val="outset" w:color="auto" w:sz="6" w:space="0"/>
              <w:left w:val="outset" w:color="auto" w:sz="6" w:space="0"/>
              <w:right w:val="outset" w:color="auto" w:sz="6" w:space="0"/>
            </w:tcBorders>
            <w:vAlign w:val="center"/>
          </w:tcPr>
          <w:p>
            <w:pPr>
              <w:widowControl/>
              <w:adjustRightInd/>
              <w:snapToGrid/>
              <w:spacing w:line="40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3</w:t>
            </w:r>
          </w:p>
        </w:tc>
        <w:tc>
          <w:tcPr>
            <w:tcW w:w="6662" w:type="dxa"/>
            <w:vMerge w:val="restart"/>
            <w:tcBorders>
              <w:top w:val="outset" w:color="auto" w:sz="6" w:space="0"/>
              <w:left w:val="outset" w:color="auto" w:sz="6" w:space="0"/>
              <w:right w:val="outset" w:color="auto" w:sz="6" w:space="0"/>
            </w:tcBorders>
            <w:vAlign w:val="center"/>
          </w:tcPr>
          <w:p>
            <w:pPr>
              <w:widowControl/>
              <w:adjustRightInd/>
              <w:snapToGrid/>
              <w:spacing w:line="400" w:lineRule="exact"/>
              <w:jc w:val="left"/>
              <w:rPr>
                <w:rFonts w:ascii="宋体" w:hAnsi="宋体" w:eastAsia="宋体" w:cs="宋体"/>
                <w:kern w:val="0"/>
                <w:sz w:val="21"/>
                <w:szCs w:val="21"/>
              </w:rPr>
            </w:pPr>
            <w:r>
              <w:rPr>
                <w:rFonts w:hint="eastAsia" w:ascii="宋体" w:hAnsi="宋体" w:eastAsia="宋体" w:cs="宋体"/>
                <w:kern w:val="0"/>
                <w:sz w:val="21"/>
                <w:szCs w:val="21"/>
              </w:rPr>
              <w:t>供应商投入本</w:t>
            </w:r>
            <w:r>
              <w:rPr>
                <w:rFonts w:ascii="宋体" w:hAnsi="宋体" w:eastAsia="宋体" w:cs="宋体"/>
                <w:kern w:val="0"/>
                <w:sz w:val="21"/>
                <w:szCs w:val="21"/>
              </w:rPr>
              <w:t>项目</w:t>
            </w:r>
            <w:r>
              <w:rPr>
                <w:rFonts w:hint="eastAsia" w:ascii="宋体" w:hAnsi="宋体" w:eastAsia="宋体" w:cs="宋体"/>
                <w:kern w:val="0"/>
                <w:sz w:val="21"/>
                <w:szCs w:val="21"/>
              </w:rPr>
              <w:t>的研究</w:t>
            </w:r>
            <w:r>
              <w:rPr>
                <w:rFonts w:ascii="宋体" w:hAnsi="宋体" w:eastAsia="宋体" w:cs="宋体"/>
                <w:kern w:val="0"/>
                <w:sz w:val="21"/>
                <w:szCs w:val="21"/>
              </w:rPr>
              <w:t>人员近</w:t>
            </w:r>
            <w:r>
              <w:rPr>
                <w:rFonts w:hint="eastAsia" w:ascii="宋体" w:hAnsi="宋体" w:eastAsia="宋体" w:cs="宋体"/>
                <w:kern w:val="0"/>
                <w:sz w:val="21"/>
                <w:szCs w:val="21"/>
              </w:rPr>
              <w:t>5</w:t>
            </w:r>
            <w:r>
              <w:rPr>
                <w:rFonts w:ascii="宋体" w:hAnsi="宋体" w:eastAsia="宋体" w:cs="宋体"/>
                <w:kern w:val="0"/>
                <w:sz w:val="21"/>
                <w:szCs w:val="21"/>
              </w:rPr>
              <w:t>年发表</w:t>
            </w:r>
            <w:r>
              <w:rPr>
                <w:rFonts w:hint="eastAsia" w:ascii="宋体" w:hAnsi="宋体" w:eastAsia="宋体" w:cs="宋体"/>
                <w:kern w:val="0"/>
                <w:sz w:val="21"/>
                <w:szCs w:val="21"/>
              </w:rPr>
              <w:t>的</w:t>
            </w:r>
            <w:r>
              <w:rPr>
                <w:rFonts w:ascii="宋体" w:hAnsi="宋体" w:eastAsia="宋体" w:cs="宋体"/>
                <w:kern w:val="0"/>
                <w:sz w:val="21"/>
                <w:szCs w:val="21"/>
              </w:rPr>
              <w:t>知识产权相关论文</w:t>
            </w:r>
            <w:r>
              <w:rPr>
                <w:rFonts w:hint="eastAsia" w:ascii="宋体" w:hAnsi="宋体" w:eastAsia="宋体" w:cs="宋体"/>
                <w:kern w:val="0"/>
                <w:sz w:val="21"/>
                <w:szCs w:val="21"/>
              </w:rPr>
              <w:t>或著作情况评分：每发表1篇论文或1本著作的得1分，满分3分。</w:t>
            </w:r>
            <w:r>
              <w:rPr>
                <w:rFonts w:ascii="宋体" w:hAnsi="宋体" w:eastAsia="宋体" w:cs="宋体"/>
                <w:kern w:val="0"/>
                <w:sz w:val="21"/>
                <w:szCs w:val="21"/>
              </w:rPr>
              <w:t>须</w:t>
            </w:r>
            <w:r>
              <w:rPr>
                <w:rFonts w:hint="eastAsia" w:ascii="宋体" w:hAnsi="宋体" w:eastAsia="宋体" w:cs="宋体"/>
                <w:kern w:val="0"/>
                <w:sz w:val="21"/>
                <w:szCs w:val="21"/>
              </w:rPr>
              <w:t>提供</w:t>
            </w:r>
            <w:r>
              <w:rPr>
                <w:rFonts w:ascii="宋体" w:hAnsi="宋体" w:eastAsia="宋体" w:cs="宋体"/>
                <w:kern w:val="0"/>
                <w:sz w:val="21"/>
                <w:szCs w:val="21"/>
              </w:rPr>
              <w:t>投标截止时间前6个月（不含当月）任意一个月</w:t>
            </w:r>
            <w:r>
              <w:rPr>
                <w:rFonts w:hint="eastAsia" w:ascii="宋体" w:hAnsi="宋体" w:eastAsia="宋体" w:cs="宋体"/>
                <w:kern w:val="0"/>
                <w:sz w:val="21"/>
                <w:szCs w:val="21"/>
              </w:rPr>
              <w:t>供应商</w:t>
            </w:r>
            <w:r>
              <w:rPr>
                <w:rFonts w:ascii="宋体" w:hAnsi="宋体" w:eastAsia="宋体" w:cs="宋体"/>
                <w:kern w:val="0"/>
                <w:sz w:val="21"/>
                <w:szCs w:val="21"/>
              </w:rPr>
              <w:t>为上述人员缴交社保的证明并加盖</w:t>
            </w:r>
            <w:r>
              <w:rPr>
                <w:rFonts w:hint="eastAsia" w:ascii="宋体" w:hAnsi="宋体" w:eastAsia="宋体" w:cs="宋体"/>
                <w:kern w:val="0"/>
                <w:sz w:val="21"/>
                <w:szCs w:val="21"/>
              </w:rPr>
              <w:t>供应商</w:t>
            </w:r>
            <w:r>
              <w:rPr>
                <w:rFonts w:ascii="宋体" w:hAnsi="宋体" w:eastAsia="宋体" w:cs="宋体"/>
                <w:kern w:val="0"/>
                <w:sz w:val="21"/>
                <w:szCs w:val="21"/>
              </w:rPr>
              <w:t>公章</w:t>
            </w:r>
            <w:r>
              <w:rPr>
                <w:rFonts w:hint="eastAsia" w:ascii="宋体" w:hAnsi="宋体" w:eastAsia="宋体" w:cs="宋体"/>
                <w:kern w:val="0"/>
                <w:sz w:val="21"/>
                <w:szCs w:val="21"/>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46" w:type="dxa"/>
            <w:vMerge w:val="continue"/>
            <w:tcBorders>
              <w:left w:val="outset" w:color="auto" w:sz="6" w:space="0"/>
              <w:right w:val="outset" w:color="auto" w:sz="6" w:space="0"/>
            </w:tcBorders>
            <w:vAlign w:val="center"/>
          </w:tcPr>
          <w:p>
            <w:pPr>
              <w:spacing w:line="400" w:lineRule="exact"/>
              <w:jc w:val="center"/>
            </w:pPr>
          </w:p>
        </w:tc>
        <w:tc>
          <w:tcPr>
            <w:tcW w:w="1880" w:type="dxa"/>
            <w:vMerge w:val="continue"/>
            <w:tcBorders>
              <w:left w:val="outset" w:color="auto" w:sz="6" w:space="0"/>
              <w:right w:val="outset" w:color="auto" w:sz="6" w:space="0"/>
            </w:tcBorders>
            <w:vAlign w:val="center"/>
          </w:tcPr>
          <w:p>
            <w:pPr>
              <w:widowControl/>
              <w:adjustRightInd/>
              <w:snapToGrid/>
              <w:spacing w:line="400" w:lineRule="exact"/>
              <w:jc w:val="left"/>
            </w:pPr>
          </w:p>
        </w:tc>
        <w:tc>
          <w:tcPr>
            <w:tcW w:w="1701" w:type="dxa"/>
            <w:vMerge w:val="continue"/>
            <w:tcBorders>
              <w:left w:val="outset" w:color="auto" w:sz="6" w:space="0"/>
              <w:right w:val="outset" w:color="auto" w:sz="6" w:space="0"/>
            </w:tcBorders>
            <w:vAlign w:val="center"/>
          </w:tcPr>
          <w:p>
            <w:pPr>
              <w:widowControl/>
              <w:adjustRightInd/>
              <w:snapToGrid/>
              <w:spacing w:line="400" w:lineRule="exact"/>
              <w:jc w:val="left"/>
            </w:pPr>
          </w:p>
        </w:tc>
        <w:tc>
          <w:tcPr>
            <w:tcW w:w="6662" w:type="dxa"/>
            <w:vMerge w:val="continue"/>
            <w:tcBorders>
              <w:left w:val="outset" w:color="auto" w:sz="6" w:space="0"/>
              <w:right w:val="outset" w:color="auto" w:sz="6" w:space="0"/>
            </w:tcBorders>
            <w:vAlign w:val="center"/>
          </w:tcPr>
          <w:p>
            <w:pPr>
              <w:widowControl/>
              <w:adjustRightInd/>
              <w:snapToGrid/>
              <w:spacing w:line="400" w:lineRule="exact"/>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46" w:type="dxa"/>
            <w:vMerge w:val="continue"/>
            <w:tcBorders>
              <w:left w:val="outset" w:color="auto" w:sz="6" w:space="0"/>
              <w:right w:val="outset" w:color="auto" w:sz="6" w:space="0"/>
            </w:tcBorders>
            <w:vAlign w:val="center"/>
          </w:tcPr>
          <w:p>
            <w:pPr>
              <w:spacing w:line="400" w:lineRule="exact"/>
              <w:jc w:val="center"/>
              <w:rPr>
                <w:rFonts w:ascii="宋体" w:hAnsi="宋体" w:eastAsia="宋体" w:cs="宋体"/>
                <w:color w:val="000000"/>
                <w:kern w:val="0"/>
                <w:sz w:val="21"/>
                <w:szCs w:val="21"/>
              </w:rPr>
            </w:pPr>
          </w:p>
        </w:tc>
        <w:tc>
          <w:tcPr>
            <w:tcW w:w="1880" w:type="dxa"/>
            <w:vMerge w:val="continue"/>
            <w:tcBorders>
              <w:left w:val="outset" w:color="auto" w:sz="6" w:space="0"/>
              <w:right w:val="outset" w:color="auto" w:sz="6" w:space="0"/>
            </w:tcBorders>
            <w:vAlign w:val="center"/>
          </w:tcPr>
          <w:p>
            <w:pPr>
              <w:widowControl/>
              <w:adjustRightInd/>
              <w:snapToGrid/>
              <w:spacing w:line="400" w:lineRule="exact"/>
              <w:jc w:val="left"/>
              <w:rPr>
                <w:rFonts w:ascii="宋体" w:hAnsi="宋体" w:eastAsia="宋体" w:cs="宋体"/>
                <w:color w:val="000000"/>
                <w:kern w:val="0"/>
                <w:sz w:val="21"/>
                <w:szCs w:val="21"/>
              </w:rPr>
            </w:pPr>
          </w:p>
        </w:tc>
        <w:tc>
          <w:tcPr>
            <w:tcW w:w="1701" w:type="dxa"/>
            <w:vMerge w:val="continue"/>
            <w:tcBorders>
              <w:left w:val="outset" w:color="auto" w:sz="6" w:space="0"/>
              <w:bottom w:val="outset" w:color="auto" w:sz="6" w:space="0"/>
              <w:right w:val="outset" w:color="auto" w:sz="6" w:space="0"/>
            </w:tcBorders>
            <w:vAlign w:val="center"/>
          </w:tcPr>
          <w:p>
            <w:pPr>
              <w:widowControl/>
              <w:adjustRightInd/>
              <w:snapToGrid/>
              <w:spacing w:line="400" w:lineRule="exact"/>
              <w:jc w:val="left"/>
              <w:rPr>
                <w:rFonts w:ascii="宋体" w:hAnsi="宋体" w:eastAsia="宋体" w:cs="宋体"/>
                <w:color w:val="000000"/>
                <w:kern w:val="0"/>
                <w:sz w:val="21"/>
                <w:szCs w:val="21"/>
              </w:rPr>
            </w:pPr>
          </w:p>
        </w:tc>
        <w:tc>
          <w:tcPr>
            <w:tcW w:w="6662" w:type="dxa"/>
            <w:vMerge w:val="continue"/>
            <w:tcBorders>
              <w:left w:val="outset" w:color="auto" w:sz="6" w:space="0"/>
              <w:bottom w:val="outset" w:color="auto" w:sz="6" w:space="0"/>
              <w:right w:val="outset" w:color="auto" w:sz="6" w:space="0"/>
            </w:tcBorders>
            <w:vAlign w:val="center"/>
          </w:tcPr>
          <w:p>
            <w:pPr>
              <w:widowControl/>
              <w:adjustRightInd/>
              <w:snapToGrid/>
              <w:spacing w:line="400" w:lineRule="exact"/>
              <w:jc w:val="left"/>
              <w:rPr>
                <w:rFonts w:ascii="宋体" w:hAnsi="宋体" w:eastAsia="宋体" w:cs="宋体"/>
                <w:color w:val="000000"/>
                <w:kern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3" w:hRule="atLeast"/>
        </w:trPr>
        <w:tc>
          <w:tcPr>
            <w:tcW w:w="546" w:type="dxa"/>
            <w:vMerge w:val="continue"/>
            <w:tcBorders>
              <w:left w:val="outset" w:color="auto" w:sz="6" w:space="0"/>
              <w:right w:val="outset" w:color="auto" w:sz="6" w:space="0"/>
            </w:tcBorders>
            <w:vAlign w:val="center"/>
          </w:tcPr>
          <w:p>
            <w:pPr>
              <w:adjustRightInd/>
              <w:snapToGrid/>
              <w:spacing w:line="400" w:lineRule="exact"/>
              <w:jc w:val="center"/>
              <w:rPr>
                <w:rFonts w:ascii="宋体" w:hAnsi="宋体" w:eastAsia="宋体" w:cs="宋体"/>
                <w:color w:val="000000"/>
                <w:kern w:val="0"/>
                <w:sz w:val="21"/>
                <w:szCs w:val="21"/>
              </w:rPr>
            </w:pPr>
          </w:p>
        </w:tc>
        <w:tc>
          <w:tcPr>
            <w:tcW w:w="1880" w:type="dxa"/>
            <w:vMerge w:val="continue"/>
            <w:tcBorders>
              <w:left w:val="outset" w:color="auto" w:sz="6" w:space="0"/>
              <w:right w:val="outset" w:color="auto" w:sz="6" w:space="0"/>
            </w:tcBorders>
            <w:vAlign w:val="center"/>
          </w:tcPr>
          <w:p>
            <w:pPr>
              <w:widowControl/>
              <w:adjustRightInd/>
              <w:snapToGrid/>
              <w:spacing w:line="400" w:lineRule="exact"/>
              <w:jc w:val="center"/>
              <w:rPr>
                <w:rFonts w:ascii="宋体" w:hAnsi="宋体" w:eastAsia="宋体" w:cs="宋体"/>
                <w:color w:val="000000"/>
                <w:kern w:val="0"/>
                <w:sz w:val="21"/>
                <w:szCs w:val="21"/>
              </w:rPr>
            </w:pPr>
          </w:p>
        </w:tc>
        <w:tc>
          <w:tcPr>
            <w:tcW w:w="1701" w:type="dxa"/>
            <w:vMerge w:val="restart"/>
            <w:tcBorders>
              <w:top w:val="outset" w:color="auto" w:sz="6" w:space="0"/>
              <w:left w:val="outset" w:color="auto" w:sz="6" w:space="0"/>
              <w:right w:val="outset" w:color="auto" w:sz="6" w:space="0"/>
            </w:tcBorders>
            <w:vAlign w:val="center"/>
          </w:tcPr>
          <w:p>
            <w:pPr>
              <w:widowControl/>
              <w:adjustRightInd/>
              <w:snapToGrid/>
              <w:spacing w:line="400" w:lineRule="exact"/>
              <w:jc w:val="center"/>
              <w:rPr>
                <w:rFonts w:ascii="宋体" w:hAnsi="宋体" w:eastAsia="宋体" w:cs="宋体"/>
                <w:color w:val="000000"/>
                <w:kern w:val="0"/>
                <w:sz w:val="21"/>
                <w:szCs w:val="21"/>
              </w:rPr>
            </w:pPr>
            <w:r>
              <w:rPr>
                <w:rFonts w:hint="eastAsia" w:ascii="宋体" w:hAnsi="宋体" w:eastAsia="宋体"/>
                <w:sz w:val="21"/>
                <w:szCs w:val="21"/>
              </w:rPr>
              <w:t>3</w:t>
            </w:r>
          </w:p>
        </w:tc>
        <w:tc>
          <w:tcPr>
            <w:tcW w:w="6662" w:type="dxa"/>
            <w:vMerge w:val="restart"/>
            <w:tcBorders>
              <w:top w:val="outset" w:color="auto" w:sz="6" w:space="0"/>
              <w:left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r>
              <w:rPr>
                <w:rFonts w:hint="eastAsia" w:ascii="宋体" w:hAnsi="宋体" w:eastAsia="宋体" w:cs="宋体"/>
                <w:kern w:val="0"/>
                <w:sz w:val="21"/>
                <w:szCs w:val="21"/>
              </w:rPr>
              <w:t>供应商投入本</w:t>
            </w:r>
            <w:r>
              <w:rPr>
                <w:rFonts w:ascii="宋体" w:hAnsi="宋体" w:eastAsia="宋体" w:cs="宋体"/>
                <w:kern w:val="0"/>
                <w:sz w:val="21"/>
                <w:szCs w:val="21"/>
              </w:rPr>
              <w:t>项目</w:t>
            </w:r>
            <w:r>
              <w:rPr>
                <w:rFonts w:hint="eastAsia" w:ascii="宋体" w:hAnsi="宋体" w:eastAsia="宋体" w:cs="宋体"/>
                <w:kern w:val="0"/>
                <w:sz w:val="21"/>
                <w:szCs w:val="21"/>
              </w:rPr>
              <w:t>的研究</w:t>
            </w:r>
            <w:r>
              <w:rPr>
                <w:rFonts w:ascii="宋体" w:hAnsi="宋体" w:eastAsia="宋体" w:cs="宋体"/>
                <w:kern w:val="0"/>
                <w:sz w:val="21"/>
                <w:szCs w:val="21"/>
              </w:rPr>
              <w:t>人员近</w:t>
            </w:r>
            <w:r>
              <w:rPr>
                <w:rFonts w:hint="eastAsia" w:ascii="宋体" w:hAnsi="宋体" w:eastAsia="宋体" w:cs="宋体"/>
                <w:kern w:val="0"/>
                <w:sz w:val="21"/>
                <w:szCs w:val="21"/>
              </w:rPr>
              <w:t>5</w:t>
            </w:r>
            <w:r>
              <w:rPr>
                <w:rFonts w:ascii="宋体" w:hAnsi="宋体" w:eastAsia="宋体" w:cs="宋体"/>
                <w:kern w:val="0"/>
                <w:sz w:val="21"/>
                <w:szCs w:val="21"/>
              </w:rPr>
              <w:t>年完成的知识产权研究报告被</w:t>
            </w:r>
            <w:r>
              <w:rPr>
                <w:rFonts w:hint="eastAsia" w:ascii="宋体" w:hAnsi="宋体" w:eastAsia="宋体" w:cs="宋体"/>
                <w:color w:val="000000"/>
                <w:kern w:val="0"/>
                <w:sz w:val="21"/>
                <w:szCs w:val="21"/>
              </w:rPr>
              <w:t>市级或者以上市场监管部门（知识产权部门）</w:t>
            </w:r>
            <w:r>
              <w:rPr>
                <w:rFonts w:ascii="宋体" w:hAnsi="宋体" w:eastAsia="宋体" w:cs="宋体"/>
                <w:kern w:val="0"/>
                <w:sz w:val="21"/>
                <w:szCs w:val="21"/>
              </w:rPr>
              <w:t>采纳情况，每1个采纳凭证得1分，满分3分。须</w:t>
            </w:r>
            <w:r>
              <w:rPr>
                <w:rFonts w:hint="eastAsia" w:ascii="宋体" w:hAnsi="宋体" w:eastAsia="宋体" w:cs="宋体"/>
                <w:kern w:val="0"/>
                <w:sz w:val="21"/>
                <w:szCs w:val="21"/>
              </w:rPr>
              <w:t>提供</w:t>
            </w:r>
            <w:r>
              <w:rPr>
                <w:rFonts w:ascii="宋体" w:hAnsi="宋体" w:eastAsia="宋体" w:cs="宋体"/>
                <w:kern w:val="0"/>
                <w:sz w:val="21"/>
                <w:szCs w:val="21"/>
              </w:rPr>
              <w:t>投标截止时间前6个月（不含当月）任意一个月</w:t>
            </w:r>
            <w:r>
              <w:rPr>
                <w:rFonts w:hint="eastAsia" w:ascii="宋体" w:hAnsi="宋体" w:eastAsia="宋体" w:cs="宋体"/>
                <w:kern w:val="0"/>
                <w:sz w:val="21"/>
                <w:szCs w:val="21"/>
              </w:rPr>
              <w:t>供应商</w:t>
            </w:r>
            <w:r>
              <w:rPr>
                <w:rFonts w:ascii="宋体" w:hAnsi="宋体" w:eastAsia="宋体" w:cs="宋体"/>
                <w:kern w:val="0"/>
                <w:sz w:val="21"/>
                <w:szCs w:val="21"/>
              </w:rPr>
              <w:t>为上述人员缴交社保的证明并加盖</w:t>
            </w:r>
            <w:r>
              <w:rPr>
                <w:rFonts w:hint="eastAsia" w:ascii="宋体" w:hAnsi="宋体" w:eastAsia="宋体" w:cs="宋体"/>
                <w:kern w:val="0"/>
                <w:sz w:val="21"/>
                <w:szCs w:val="21"/>
              </w:rPr>
              <w:t>供应商</w:t>
            </w:r>
            <w:r>
              <w:rPr>
                <w:rFonts w:ascii="宋体" w:hAnsi="宋体" w:eastAsia="宋体" w:cs="宋体"/>
                <w:kern w:val="0"/>
                <w:sz w:val="21"/>
                <w:szCs w:val="21"/>
              </w:rPr>
              <w:t>公章</w:t>
            </w:r>
            <w:r>
              <w:rPr>
                <w:rFonts w:hint="eastAsia" w:ascii="宋体" w:hAnsi="宋体" w:eastAsia="宋体" w:cs="宋体"/>
                <w:kern w:val="0"/>
                <w:sz w:val="21"/>
                <w:szCs w:val="21"/>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3" w:hRule="atLeast"/>
        </w:trPr>
        <w:tc>
          <w:tcPr>
            <w:tcW w:w="546" w:type="dxa"/>
            <w:vMerge w:val="continue"/>
            <w:tcBorders>
              <w:left w:val="outset" w:color="auto" w:sz="6" w:space="0"/>
              <w:right w:val="outset" w:color="auto" w:sz="6" w:space="0"/>
            </w:tcBorders>
            <w:vAlign w:val="center"/>
          </w:tcPr>
          <w:p>
            <w:pPr>
              <w:widowControl/>
              <w:spacing w:line="360" w:lineRule="auto"/>
              <w:jc w:val="left"/>
            </w:pPr>
          </w:p>
        </w:tc>
        <w:tc>
          <w:tcPr>
            <w:tcW w:w="1880" w:type="dxa"/>
            <w:vMerge w:val="continue"/>
            <w:tcBorders>
              <w:left w:val="outset" w:color="auto" w:sz="6" w:space="0"/>
              <w:right w:val="outset" w:color="auto" w:sz="6" w:space="0"/>
            </w:tcBorders>
            <w:vAlign w:val="center"/>
          </w:tcPr>
          <w:p>
            <w:pPr>
              <w:widowControl/>
              <w:spacing w:line="360" w:lineRule="auto"/>
              <w:jc w:val="left"/>
            </w:pPr>
          </w:p>
        </w:tc>
        <w:tc>
          <w:tcPr>
            <w:tcW w:w="1701" w:type="dxa"/>
            <w:vMerge w:val="continue"/>
            <w:tcBorders>
              <w:left w:val="outset" w:color="auto" w:sz="6" w:space="0"/>
              <w:right w:val="outset" w:color="auto" w:sz="6" w:space="0"/>
            </w:tcBorders>
            <w:vAlign w:val="center"/>
          </w:tcPr>
          <w:p>
            <w:pPr>
              <w:widowControl/>
              <w:spacing w:line="360" w:lineRule="auto"/>
              <w:jc w:val="left"/>
            </w:pPr>
          </w:p>
        </w:tc>
        <w:tc>
          <w:tcPr>
            <w:tcW w:w="6662" w:type="dxa"/>
            <w:vMerge w:val="continue"/>
            <w:tcBorders>
              <w:left w:val="outset" w:color="auto" w:sz="6" w:space="0"/>
              <w:right w:val="outset" w:color="auto" w:sz="6" w:space="0"/>
            </w:tcBorders>
            <w:vAlign w:val="center"/>
          </w:tcPr>
          <w:p>
            <w:pPr>
              <w:widowControl/>
              <w:spacing w:line="360" w:lineRule="auto"/>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9" w:hRule="atLeast"/>
        </w:trPr>
        <w:tc>
          <w:tcPr>
            <w:tcW w:w="546"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sz w:val="21"/>
                <w:szCs w:val="21"/>
              </w:rPr>
            </w:pPr>
          </w:p>
        </w:tc>
        <w:tc>
          <w:tcPr>
            <w:tcW w:w="1880"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sz w:val="21"/>
                <w:szCs w:val="21"/>
              </w:rPr>
            </w:pPr>
          </w:p>
        </w:tc>
        <w:tc>
          <w:tcPr>
            <w:tcW w:w="1701"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sz w:val="21"/>
                <w:szCs w:val="21"/>
              </w:rPr>
            </w:pPr>
          </w:p>
        </w:tc>
        <w:tc>
          <w:tcPr>
            <w:tcW w:w="6662"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3" w:hRule="atLeast"/>
        </w:trPr>
        <w:tc>
          <w:tcPr>
            <w:tcW w:w="546" w:type="dxa"/>
            <w:tcBorders>
              <w:top w:val="outset" w:color="auto" w:sz="6" w:space="0"/>
              <w:left w:val="outset" w:color="auto" w:sz="6" w:space="0"/>
              <w:right w:val="outset" w:color="auto" w:sz="6" w:space="0"/>
            </w:tcBorders>
            <w:vAlign w:val="center"/>
          </w:tcPr>
          <w:p>
            <w:pPr>
              <w:widowControl/>
              <w:spacing w:line="360" w:lineRule="auto"/>
              <w:ind w:firstLine="210" w:firstLineChars="10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880" w:type="dxa"/>
            <w:tcBorders>
              <w:top w:val="outset" w:color="auto" w:sz="6" w:space="0"/>
              <w:left w:val="outset" w:color="auto" w:sz="6" w:space="0"/>
              <w:right w:val="outset" w:color="auto" w:sz="6" w:space="0"/>
            </w:tcBorders>
            <w:vAlign w:val="center"/>
          </w:tcPr>
          <w:p>
            <w:pPr>
              <w:widowControl/>
              <w:spacing w:line="360" w:lineRule="auto"/>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服务响应</w:t>
            </w:r>
          </w:p>
          <w:p>
            <w:pPr>
              <w:widowControl/>
              <w:spacing w:line="360" w:lineRule="auto"/>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时间</w:t>
            </w:r>
          </w:p>
        </w:tc>
        <w:tc>
          <w:tcPr>
            <w:tcW w:w="1701" w:type="dxa"/>
            <w:tcBorders>
              <w:top w:val="outset" w:color="auto" w:sz="6" w:space="0"/>
              <w:left w:val="outset" w:color="auto" w:sz="6" w:space="0"/>
              <w:right w:val="outset" w:color="auto" w:sz="6" w:space="0"/>
            </w:tcBorders>
            <w:vAlign w:val="center"/>
          </w:tcPr>
          <w:p>
            <w:pPr>
              <w:widowControl/>
              <w:spacing w:line="360" w:lineRule="auto"/>
              <w:ind w:firstLine="210" w:firstLineChars="10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6662" w:type="dxa"/>
            <w:tcBorders>
              <w:top w:val="outset" w:color="auto" w:sz="6" w:space="0"/>
              <w:left w:val="outset" w:color="auto" w:sz="6" w:space="0"/>
              <w:right w:val="outset" w:color="auto" w:sz="6" w:space="0"/>
            </w:tcBorders>
            <w:vAlign w:val="center"/>
          </w:tcPr>
          <w:p>
            <w:pPr>
              <w:widowControl/>
              <w:spacing w:line="360" w:lineRule="auto"/>
              <w:jc w:val="left"/>
              <w:rPr>
                <w:rFonts w:ascii="宋体" w:hAnsi="宋体" w:eastAsia="宋体" w:cs="宋体"/>
                <w:color w:val="000000"/>
                <w:kern w:val="0"/>
                <w:sz w:val="21"/>
                <w:szCs w:val="21"/>
              </w:rPr>
            </w:pPr>
            <w:r>
              <w:rPr>
                <w:rFonts w:hint="eastAsia" w:ascii="宋体" w:hAnsi="宋体" w:eastAsia="宋体"/>
                <w:sz w:val="21"/>
                <w:szCs w:val="21"/>
              </w:rPr>
              <w:t>根据</w:t>
            </w:r>
            <w:r>
              <w:rPr>
                <w:rFonts w:ascii="宋体" w:hAnsi="宋体" w:eastAsia="宋体" w:cs="宋体"/>
                <w:color w:val="000000"/>
                <w:kern w:val="0"/>
                <w:sz w:val="21"/>
                <w:szCs w:val="21"/>
              </w:rPr>
              <w:t>供应商</w:t>
            </w:r>
            <w:r>
              <w:rPr>
                <w:rFonts w:hint="eastAsia" w:ascii="宋体" w:hAnsi="宋体" w:eastAsia="宋体"/>
                <w:sz w:val="21"/>
                <w:szCs w:val="21"/>
              </w:rPr>
              <w:t>承诺的服务响应时间进行评分，响应时间≤1小时的得3分，1小时＜响应时间≤2小时的得2分，响应时间＞2小时的不得分。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3" w:hRule="atLeast"/>
        </w:trPr>
        <w:tc>
          <w:tcPr>
            <w:tcW w:w="546" w:type="dxa"/>
            <w:tcBorders>
              <w:top w:val="outset" w:color="auto" w:sz="6" w:space="0"/>
              <w:left w:val="outset" w:color="auto" w:sz="6" w:space="0"/>
              <w:right w:val="outset" w:color="auto" w:sz="6" w:space="0"/>
            </w:tcBorders>
            <w:vAlign w:val="center"/>
          </w:tcPr>
          <w:p>
            <w:pPr>
              <w:widowControl/>
              <w:spacing w:line="360" w:lineRule="auto"/>
              <w:jc w:val="left"/>
              <w:rPr>
                <w:rFonts w:ascii="宋体" w:hAnsi="宋体" w:eastAsia="宋体"/>
                <w:sz w:val="21"/>
                <w:szCs w:val="21"/>
              </w:rPr>
            </w:pPr>
            <w:r>
              <w:rPr>
                <w:rFonts w:hint="eastAsia" w:ascii="宋体" w:hAnsi="宋体" w:eastAsia="宋体" w:cs="宋体"/>
                <w:color w:val="000000"/>
                <w:kern w:val="0"/>
                <w:sz w:val="21"/>
                <w:szCs w:val="21"/>
              </w:rPr>
              <w:t xml:space="preserve">  5</w:t>
            </w:r>
          </w:p>
        </w:tc>
        <w:tc>
          <w:tcPr>
            <w:tcW w:w="1880" w:type="dxa"/>
            <w:tcBorders>
              <w:top w:val="outset" w:color="auto" w:sz="6" w:space="0"/>
              <w:left w:val="outset" w:color="auto" w:sz="6" w:space="0"/>
              <w:right w:val="outset" w:color="auto" w:sz="6" w:space="0"/>
            </w:tcBorders>
            <w:vAlign w:val="center"/>
          </w:tcPr>
          <w:p>
            <w:pPr>
              <w:widowControl/>
              <w:spacing w:line="360" w:lineRule="auto"/>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售后服务</w:t>
            </w:r>
          </w:p>
          <w:p>
            <w:pPr>
              <w:widowControl/>
              <w:spacing w:line="360" w:lineRule="auto"/>
              <w:jc w:val="center"/>
              <w:rPr>
                <w:rFonts w:ascii="宋体" w:hAnsi="宋体" w:eastAsia="宋体"/>
                <w:sz w:val="21"/>
                <w:szCs w:val="21"/>
              </w:rPr>
            </w:pPr>
            <w:r>
              <w:rPr>
                <w:rFonts w:hint="eastAsia" w:ascii="宋体" w:hAnsi="宋体" w:eastAsia="宋体" w:cs="宋体"/>
                <w:color w:val="000000"/>
                <w:kern w:val="0"/>
                <w:sz w:val="21"/>
                <w:szCs w:val="21"/>
              </w:rPr>
              <w:t>计划</w:t>
            </w:r>
          </w:p>
        </w:tc>
        <w:tc>
          <w:tcPr>
            <w:tcW w:w="1701" w:type="dxa"/>
            <w:tcBorders>
              <w:top w:val="outset" w:color="auto" w:sz="6" w:space="0"/>
              <w:left w:val="outset" w:color="auto" w:sz="6" w:space="0"/>
              <w:right w:val="outset" w:color="auto" w:sz="6" w:space="0"/>
            </w:tcBorders>
            <w:vAlign w:val="center"/>
          </w:tcPr>
          <w:p>
            <w:pPr>
              <w:widowControl/>
              <w:spacing w:line="360" w:lineRule="auto"/>
              <w:ind w:firstLine="210" w:firstLineChars="100"/>
              <w:jc w:val="left"/>
              <w:rPr>
                <w:rFonts w:ascii="宋体" w:hAnsi="宋体" w:eastAsia="宋体"/>
                <w:sz w:val="21"/>
                <w:szCs w:val="21"/>
              </w:rPr>
            </w:pPr>
            <w:r>
              <w:rPr>
                <w:rFonts w:hint="eastAsia" w:ascii="宋体" w:hAnsi="宋体" w:eastAsia="宋体" w:cs="宋体"/>
                <w:color w:val="000000"/>
                <w:kern w:val="0"/>
                <w:sz w:val="21"/>
                <w:szCs w:val="21"/>
              </w:rPr>
              <w:t>3</w:t>
            </w:r>
          </w:p>
        </w:tc>
        <w:tc>
          <w:tcPr>
            <w:tcW w:w="6662" w:type="dxa"/>
            <w:tcBorders>
              <w:top w:val="outset" w:color="auto" w:sz="6" w:space="0"/>
              <w:left w:val="outset" w:color="auto" w:sz="6" w:space="0"/>
              <w:right w:val="outset" w:color="auto" w:sz="6" w:space="0"/>
            </w:tcBorders>
            <w:vAlign w:val="center"/>
          </w:tcPr>
          <w:p>
            <w:pPr>
              <w:widowControl/>
              <w:spacing w:line="360" w:lineRule="auto"/>
              <w:jc w:val="left"/>
              <w:rPr>
                <w:rFonts w:ascii="宋体" w:hAnsi="宋体" w:eastAsia="宋体"/>
                <w:sz w:val="21"/>
                <w:szCs w:val="21"/>
              </w:rPr>
            </w:pPr>
            <w:r>
              <w:rPr>
                <w:rFonts w:ascii="宋体" w:hAnsi="宋体" w:eastAsia="宋体" w:cs="宋体"/>
                <w:color w:val="000000"/>
                <w:kern w:val="0"/>
                <w:sz w:val="21"/>
                <w:szCs w:val="21"/>
              </w:rPr>
              <w:t>对供应商提供的</w:t>
            </w:r>
            <w:r>
              <w:rPr>
                <w:rFonts w:hint="eastAsia" w:ascii="宋体" w:hAnsi="宋体" w:eastAsia="宋体" w:cs="宋体"/>
                <w:color w:val="000000"/>
                <w:kern w:val="0"/>
                <w:sz w:val="21"/>
                <w:szCs w:val="21"/>
              </w:rPr>
              <w:t>售后服务计划</w:t>
            </w:r>
            <w:r>
              <w:rPr>
                <w:rFonts w:ascii="宋体" w:hAnsi="宋体" w:eastAsia="宋体" w:cs="宋体"/>
                <w:color w:val="000000"/>
                <w:kern w:val="0"/>
                <w:sz w:val="21"/>
                <w:szCs w:val="21"/>
              </w:rPr>
              <w:t>进行综合评价，</w:t>
            </w:r>
            <w:r>
              <w:rPr>
                <w:rFonts w:hint="eastAsia" w:ascii="宋体" w:hAnsi="宋体" w:eastAsia="宋体" w:cs="宋体"/>
                <w:color w:val="000000"/>
                <w:kern w:val="0"/>
                <w:sz w:val="21"/>
                <w:szCs w:val="21"/>
              </w:rPr>
              <w:t>措施针对性强的</w:t>
            </w:r>
            <w:r>
              <w:rPr>
                <w:rFonts w:ascii="宋体" w:hAnsi="宋体" w:eastAsia="宋体" w:cs="宋体"/>
                <w:color w:val="000000"/>
                <w:kern w:val="0"/>
                <w:sz w:val="21"/>
                <w:szCs w:val="21"/>
              </w:rPr>
              <w:t>得</w:t>
            </w:r>
            <w:r>
              <w:rPr>
                <w:rFonts w:hint="eastAsia" w:ascii="宋体" w:hAnsi="宋体" w:eastAsia="宋体" w:cs="宋体"/>
                <w:color w:val="000000"/>
                <w:kern w:val="0"/>
                <w:sz w:val="21"/>
                <w:szCs w:val="21"/>
              </w:rPr>
              <w:t>3</w:t>
            </w:r>
            <w:r>
              <w:rPr>
                <w:rFonts w:ascii="宋体" w:hAnsi="宋体" w:eastAsia="宋体" w:cs="宋体"/>
                <w:color w:val="000000"/>
                <w:kern w:val="0"/>
                <w:sz w:val="21"/>
                <w:szCs w:val="21"/>
              </w:rPr>
              <w:t>分，</w:t>
            </w:r>
            <w:r>
              <w:rPr>
                <w:rFonts w:hint="eastAsia" w:ascii="宋体" w:hAnsi="宋体" w:eastAsia="宋体" w:cs="宋体"/>
                <w:color w:val="000000"/>
                <w:kern w:val="0"/>
                <w:sz w:val="21"/>
                <w:szCs w:val="21"/>
              </w:rPr>
              <w:t>措施一般</w:t>
            </w:r>
            <w:r>
              <w:rPr>
                <w:rFonts w:ascii="宋体" w:hAnsi="宋体" w:eastAsia="宋体" w:cs="宋体"/>
                <w:color w:val="000000"/>
                <w:kern w:val="0"/>
                <w:sz w:val="21"/>
                <w:szCs w:val="21"/>
              </w:rPr>
              <w:t>的得</w:t>
            </w:r>
            <w:r>
              <w:rPr>
                <w:rFonts w:hint="eastAsia" w:ascii="宋体" w:hAnsi="宋体" w:eastAsia="宋体" w:cs="宋体"/>
                <w:color w:val="000000"/>
                <w:kern w:val="0"/>
                <w:sz w:val="21"/>
                <w:szCs w:val="21"/>
              </w:rPr>
              <w:t>2</w:t>
            </w:r>
            <w:r>
              <w:rPr>
                <w:rFonts w:ascii="宋体" w:hAnsi="宋体" w:eastAsia="宋体" w:cs="宋体"/>
                <w:color w:val="000000"/>
                <w:kern w:val="0"/>
                <w:sz w:val="21"/>
                <w:szCs w:val="21"/>
              </w:rPr>
              <w:t>分，</w:t>
            </w:r>
            <w:r>
              <w:rPr>
                <w:rFonts w:hint="eastAsia" w:ascii="宋体" w:hAnsi="宋体" w:eastAsia="宋体" w:cs="宋体"/>
                <w:color w:val="000000"/>
                <w:kern w:val="0"/>
                <w:sz w:val="21"/>
                <w:szCs w:val="21"/>
              </w:rPr>
              <w:t>措施空泛</w:t>
            </w:r>
            <w:r>
              <w:rPr>
                <w:rFonts w:ascii="宋体" w:hAnsi="宋体" w:eastAsia="宋体" w:cs="宋体"/>
                <w:color w:val="000000"/>
                <w:kern w:val="0"/>
                <w:sz w:val="21"/>
                <w:szCs w:val="21"/>
              </w:rPr>
              <w:t>的</w:t>
            </w:r>
            <w:r>
              <w:rPr>
                <w:rFonts w:hint="eastAsia" w:ascii="宋体" w:hAnsi="宋体" w:eastAsia="宋体" w:cs="宋体"/>
                <w:color w:val="000000"/>
                <w:kern w:val="0"/>
                <w:sz w:val="21"/>
                <w:szCs w:val="21"/>
              </w:rPr>
              <w:t>得1</w:t>
            </w:r>
            <w:r>
              <w:rPr>
                <w:rFonts w:ascii="宋体" w:hAnsi="宋体" w:eastAsia="宋体" w:cs="宋体"/>
                <w:color w:val="000000"/>
                <w:kern w:val="0"/>
                <w:sz w:val="21"/>
                <w:szCs w:val="21"/>
              </w:rPr>
              <w:t>分，差的或未提供不得分。</w:t>
            </w:r>
          </w:p>
        </w:tc>
      </w:tr>
    </w:tbl>
    <w:p>
      <w:pPr>
        <w:rPr>
          <w:rFonts w:ascii="宋体" w:hAnsi="宋体" w:eastAsia="宋体"/>
          <w:b/>
          <w:color w:val="000000"/>
          <w:sz w:val="24"/>
        </w:rPr>
      </w:pPr>
      <w:r>
        <w:rPr>
          <w:rFonts w:hint="eastAsia" w:ascii="宋体" w:hAnsi="宋体" w:eastAsia="宋体"/>
          <w:b/>
          <w:color w:val="000000"/>
          <w:sz w:val="24"/>
        </w:rPr>
        <w:t xml:space="preserve">价格部分评分 </w:t>
      </w:r>
      <w:r>
        <w:rPr>
          <w:rFonts w:ascii="宋体" w:hAnsi="宋体" w:eastAsia="宋体"/>
          <w:b/>
          <w:color w:val="000000"/>
          <w:sz w:val="24"/>
        </w:rPr>
        <w:t xml:space="preserve"> </w:t>
      </w:r>
      <w:r>
        <w:rPr>
          <w:rFonts w:hint="eastAsia" w:ascii="宋体" w:hAnsi="宋体" w:eastAsia="宋体"/>
          <w:b/>
          <w:color w:val="000000"/>
          <w:sz w:val="24"/>
        </w:rPr>
        <w:t>满分10分</w:t>
      </w:r>
    </w:p>
    <w:tbl>
      <w:tblPr>
        <w:tblStyle w:val="5"/>
        <w:tblW w:w="10796"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63"/>
        <w:gridCol w:w="2070"/>
        <w:gridCol w:w="1701"/>
        <w:gridCol w:w="66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363" w:type="dxa"/>
            <w:tcBorders>
              <w:top w:val="outset" w:color="auto" w:sz="6" w:space="0"/>
              <w:left w:val="outset" w:color="auto" w:sz="6" w:space="0"/>
              <w:bottom w:val="outset" w:color="auto" w:sz="6" w:space="0"/>
              <w:right w:val="outset" w:color="auto" w:sz="6" w:space="0"/>
            </w:tcBorders>
          </w:tcPr>
          <w:p>
            <w:pPr>
              <w:widowControl/>
              <w:adjustRightInd/>
              <w:snapToGrid/>
              <w:spacing w:line="46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2070" w:type="dxa"/>
            <w:tcBorders>
              <w:top w:val="outset" w:color="auto" w:sz="6" w:space="0"/>
              <w:left w:val="outset" w:color="auto" w:sz="6" w:space="0"/>
              <w:bottom w:val="outset" w:color="auto" w:sz="6" w:space="0"/>
              <w:right w:val="outset" w:color="auto" w:sz="6" w:space="0"/>
            </w:tcBorders>
            <w:vAlign w:val="center"/>
          </w:tcPr>
          <w:p>
            <w:pPr>
              <w:widowControl/>
              <w:adjustRightInd/>
              <w:snapToGrid/>
              <w:spacing w:line="460" w:lineRule="exact"/>
              <w:jc w:val="center"/>
              <w:rPr>
                <w:rFonts w:ascii="宋体" w:hAnsi="宋体" w:eastAsia="宋体"/>
                <w:color w:val="000000"/>
                <w:sz w:val="21"/>
                <w:szCs w:val="21"/>
              </w:rPr>
            </w:pPr>
            <w:r>
              <w:rPr>
                <w:rFonts w:ascii="宋体" w:hAnsi="宋体" w:eastAsia="宋体" w:cs="宋体"/>
                <w:color w:val="000000"/>
                <w:kern w:val="0"/>
                <w:sz w:val="21"/>
                <w:szCs w:val="21"/>
              </w:rPr>
              <w:t>项目</w:t>
            </w:r>
          </w:p>
        </w:tc>
        <w:tc>
          <w:tcPr>
            <w:tcW w:w="1701" w:type="dxa"/>
            <w:tcBorders>
              <w:top w:val="outset" w:color="auto" w:sz="6" w:space="0"/>
              <w:left w:val="outset" w:color="auto" w:sz="6" w:space="0"/>
              <w:bottom w:val="outset" w:color="auto" w:sz="6" w:space="0"/>
              <w:right w:val="outset" w:color="auto" w:sz="6" w:space="0"/>
            </w:tcBorders>
            <w:vAlign w:val="center"/>
          </w:tcPr>
          <w:p>
            <w:pPr>
              <w:widowControl/>
              <w:adjustRightInd/>
              <w:snapToGrid/>
              <w:spacing w:line="460" w:lineRule="exact"/>
              <w:jc w:val="center"/>
              <w:rPr>
                <w:rFonts w:ascii="宋体" w:hAnsi="宋体" w:eastAsia="宋体"/>
                <w:color w:val="000000"/>
                <w:sz w:val="21"/>
                <w:szCs w:val="21"/>
              </w:rPr>
            </w:pPr>
            <w:r>
              <w:rPr>
                <w:rFonts w:ascii="宋体" w:hAnsi="宋体" w:eastAsia="宋体" w:cs="宋体"/>
                <w:color w:val="000000"/>
                <w:kern w:val="0"/>
                <w:sz w:val="21"/>
                <w:szCs w:val="21"/>
              </w:rPr>
              <w:t>分值</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adjustRightInd/>
              <w:snapToGrid/>
              <w:spacing w:line="460" w:lineRule="exact"/>
              <w:jc w:val="center"/>
              <w:rPr>
                <w:rFonts w:ascii="宋体" w:hAnsi="宋体" w:eastAsia="宋体"/>
                <w:color w:val="000000"/>
                <w:sz w:val="21"/>
                <w:szCs w:val="21"/>
              </w:rPr>
            </w:pPr>
            <w:r>
              <w:rPr>
                <w:rFonts w:ascii="宋体" w:hAnsi="宋体" w:eastAsia="宋体" w:cs="宋体"/>
                <w:color w:val="000000"/>
                <w:kern w:val="0"/>
                <w:sz w:val="21"/>
                <w:szCs w:val="21"/>
              </w:rPr>
              <w:t>评</w:t>
            </w:r>
            <w:r>
              <w:rPr>
                <w:rFonts w:hint="eastAsia" w:ascii="宋体" w:hAnsi="宋体" w:eastAsia="宋体" w:cs="宋体"/>
                <w:color w:val="000000"/>
                <w:kern w:val="0"/>
                <w:sz w:val="21"/>
                <w:szCs w:val="21"/>
              </w:rPr>
              <w:t>分</w:t>
            </w:r>
            <w:r>
              <w:rPr>
                <w:rFonts w:ascii="宋体" w:hAnsi="宋体" w:eastAsia="宋体" w:cs="宋体"/>
                <w:color w:val="000000"/>
                <w:kern w:val="0"/>
                <w:sz w:val="21"/>
                <w:szCs w:val="21"/>
              </w:rPr>
              <w:t>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3" w:hRule="atLeast"/>
        </w:trPr>
        <w:tc>
          <w:tcPr>
            <w:tcW w:w="363" w:type="dxa"/>
            <w:vMerge w:val="restart"/>
            <w:tcBorders>
              <w:top w:val="outset" w:color="auto" w:sz="6" w:space="0"/>
              <w:left w:val="outset" w:color="auto" w:sz="6" w:space="0"/>
              <w:right w:val="outset" w:color="auto" w:sz="6" w:space="0"/>
            </w:tcBorders>
            <w:vAlign w:val="center"/>
          </w:tcPr>
          <w:p>
            <w:pPr>
              <w:widowControl/>
              <w:adjustRightInd/>
              <w:snapToGrid/>
              <w:spacing w:line="4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2070" w:type="dxa"/>
            <w:vMerge w:val="restart"/>
            <w:tcBorders>
              <w:top w:val="outset" w:color="auto" w:sz="6" w:space="0"/>
              <w:left w:val="outset" w:color="auto" w:sz="6" w:space="0"/>
              <w:right w:val="outset" w:color="auto" w:sz="6" w:space="0"/>
            </w:tcBorders>
            <w:vAlign w:val="center"/>
          </w:tcPr>
          <w:p>
            <w:pPr>
              <w:widowControl/>
              <w:adjustRightInd/>
              <w:snapToGrid/>
              <w:spacing w:line="4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报价情况</w:t>
            </w:r>
          </w:p>
        </w:tc>
        <w:tc>
          <w:tcPr>
            <w:tcW w:w="1701" w:type="dxa"/>
            <w:vMerge w:val="restart"/>
            <w:tcBorders>
              <w:top w:val="outset" w:color="auto" w:sz="6" w:space="0"/>
              <w:left w:val="outset" w:color="auto" w:sz="6" w:space="0"/>
              <w:right w:val="outset" w:color="auto" w:sz="6" w:space="0"/>
            </w:tcBorders>
            <w:vAlign w:val="center"/>
          </w:tcPr>
          <w:p>
            <w:pPr>
              <w:widowControl/>
              <w:adjustRightInd/>
              <w:snapToGrid/>
              <w:spacing w:line="400" w:lineRule="exact"/>
              <w:jc w:val="center"/>
              <w:rPr>
                <w:rFonts w:ascii="宋体" w:hAnsi="宋体" w:eastAsia="宋体"/>
                <w:color w:val="000000"/>
                <w:sz w:val="21"/>
                <w:szCs w:val="21"/>
              </w:rPr>
            </w:pPr>
            <w:r>
              <w:rPr>
                <w:rFonts w:ascii="宋体" w:hAnsi="宋体" w:eastAsia="宋体"/>
                <w:color w:val="000000"/>
                <w:sz w:val="21"/>
                <w:szCs w:val="21"/>
              </w:rPr>
              <w:t>1</w:t>
            </w:r>
            <w:r>
              <w:rPr>
                <w:rFonts w:hint="eastAsia" w:ascii="宋体" w:hAnsi="宋体" w:eastAsia="宋体"/>
                <w:color w:val="000000"/>
                <w:sz w:val="21"/>
                <w:szCs w:val="21"/>
              </w:rPr>
              <w:t>0</w:t>
            </w:r>
          </w:p>
        </w:tc>
        <w:tc>
          <w:tcPr>
            <w:tcW w:w="6662" w:type="dxa"/>
            <w:vMerge w:val="restart"/>
            <w:tcBorders>
              <w:top w:val="outset" w:color="auto" w:sz="6" w:space="0"/>
              <w:left w:val="outset" w:color="auto" w:sz="6" w:space="0"/>
              <w:right w:val="outset" w:color="auto" w:sz="6" w:space="0"/>
            </w:tcBorders>
            <w:vAlign w:val="center"/>
          </w:tcPr>
          <w:p>
            <w:pPr>
              <w:widowControl/>
              <w:adjustRightInd/>
              <w:snapToGrid/>
              <w:spacing w:line="4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采用低价优先法计算，即满足采购文件要求且报价最低的供应商的价格为基准价，其价格分为满分。其他供应商的价格分统一按照下列公式计算：报价得分=（基准价／报价）×价格权值（0.</w:t>
            </w:r>
            <w:r>
              <w:rPr>
                <w:rFonts w:ascii="宋体" w:hAnsi="宋体" w:eastAsia="宋体" w:cs="宋体"/>
                <w:color w:val="000000"/>
                <w:kern w:val="0"/>
                <w:sz w:val="21"/>
                <w:szCs w:val="21"/>
              </w:rPr>
              <w:t>1</w:t>
            </w:r>
            <w:r>
              <w:rPr>
                <w:rFonts w:hint="eastAsia" w:ascii="宋体" w:hAnsi="宋体" w:eastAsia="宋体" w:cs="宋体"/>
                <w:color w:val="000000"/>
                <w:kern w:val="0"/>
                <w:sz w:val="21"/>
                <w:szCs w:val="21"/>
              </w:rPr>
              <w:t>0）×100。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3" w:hRule="atLeast"/>
        </w:trPr>
        <w:tc>
          <w:tcPr>
            <w:tcW w:w="363" w:type="dxa"/>
            <w:vMerge w:val="continue"/>
            <w:tcBorders>
              <w:left w:val="outset" w:color="auto" w:sz="6" w:space="0"/>
              <w:right w:val="outset" w:color="auto" w:sz="6" w:space="0"/>
            </w:tcBorders>
            <w:vAlign w:val="center"/>
          </w:tcPr>
          <w:p>
            <w:pPr>
              <w:widowControl/>
              <w:adjustRightInd/>
              <w:snapToGrid/>
              <w:spacing w:line="400" w:lineRule="exact"/>
              <w:jc w:val="left"/>
            </w:pPr>
          </w:p>
        </w:tc>
        <w:tc>
          <w:tcPr>
            <w:tcW w:w="2070" w:type="dxa"/>
            <w:vMerge w:val="continue"/>
            <w:tcBorders>
              <w:left w:val="outset" w:color="auto" w:sz="6" w:space="0"/>
              <w:right w:val="outset" w:color="auto" w:sz="6" w:space="0"/>
            </w:tcBorders>
            <w:vAlign w:val="center"/>
          </w:tcPr>
          <w:p>
            <w:pPr>
              <w:widowControl/>
              <w:adjustRightInd/>
              <w:snapToGrid/>
              <w:spacing w:line="400" w:lineRule="exact"/>
              <w:jc w:val="left"/>
            </w:pPr>
          </w:p>
        </w:tc>
        <w:tc>
          <w:tcPr>
            <w:tcW w:w="1701" w:type="dxa"/>
            <w:vMerge w:val="continue"/>
            <w:tcBorders>
              <w:left w:val="outset" w:color="auto" w:sz="6" w:space="0"/>
              <w:right w:val="outset" w:color="auto" w:sz="6" w:space="0"/>
            </w:tcBorders>
            <w:vAlign w:val="center"/>
          </w:tcPr>
          <w:p>
            <w:pPr>
              <w:widowControl/>
              <w:adjustRightInd/>
              <w:snapToGrid/>
              <w:spacing w:line="400" w:lineRule="exact"/>
              <w:jc w:val="left"/>
            </w:pPr>
          </w:p>
        </w:tc>
        <w:tc>
          <w:tcPr>
            <w:tcW w:w="6662" w:type="dxa"/>
            <w:vMerge w:val="continue"/>
            <w:tcBorders>
              <w:left w:val="outset" w:color="auto" w:sz="6" w:space="0"/>
              <w:right w:val="outset" w:color="auto" w:sz="6" w:space="0"/>
            </w:tcBorders>
            <w:vAlign w:val="center"/>
          </w:tcPr>
          <w:p>
            <w:pPr>
              <w:widowControl/>
              <w:adjustRightInd/>
              <w:snapToGrid/>
              <w:spacing w:line="400" w:lineRule="exact"/>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3" w:hRule="atLeast"/>
        </w:trPr>
        <w:tc>
          <w:tcPr>
            <w:tcW w:w="363" w:type="dxa"/>
            <w:vMerge w:val="continue"/>
            <w:tcBorders>
              <w:left w:val="outset" w:color="auto" w:sz="6" w:space="0"/>
              <w:right w:val="outset" w:color="auto" w:sz="6" w:space="0"/>
            </w:tcBorders>
            <w:vAlign w:val="center"/>
          </w:tcPr>
          <w:p>
            <w:pPr>
              <w:widowControl/>
              <w:adjustRightInd/>
              <w:snapToGrid/>
              <w:spacing w:line="400" w:lineRule="exact"/>
              <w:jc w:val="left"/>
              <w:rPr>
                <w:rFonts w:ascii="宋体" w:hAnsi="宋体" w:eastAsia="宋体" w:cs="宋体"/>
                <w:color w:val="000000"/>
                <w:kern w:val="0"/>
                <w:sz w:val="21"/>
                <w:szCs w:val="21"/>
              </w:rPr>
            </w:pPr>
          </w:p>
        </w:tc>
        <w:tc>
          <w:tcPr>
            <w:tcW w:w="2070" w:type="dxa"/>
            <w:vMerge w:val="continue"/>
            <w:tcBorders>
              <w:left w:val="outset" w:color="auto" w:sz="6" w:space="0"/>
              <w:right w:val="outset" w:color="auto" w:sz="6" w:space="0"/>
            </w:tcBorders>
            <w:vAlign w:val="center"/>
          </w:tcPr>
          <w:p>
            <w:pPr>
              <w:widowControl/>
              <w:adjustRightInd/>
              <w:snapToGrid/>
              <w:spacing w:line="400" w:lineRule="exact"/>
              <w:jc w:val="left"/>
              <w:rPr>
                <w:rFonts w:ascii="宋体" w:hAnsi="宋体" w:eastAsia="宋体" w:cs="宋体"/>
                <w:color w:val="000000"/>
                <w:kern w:val="0"/>
                <w:sz w:val="21"/>
                <w:szCs w:val="21"/>
              </w:rPr>
            </w:pPr>
          </w:p>
        </w:tc>
        <w:tc>
          <w:tcPr>
            <w:tcW w:w="1701" w:type="dxa"/>
            <w:vMerge w:val="continue"/>
            <w:tcBorders>
              <w:left w:val="outset" w:color="auto" w:sz="6" w:space="0"/>
              <w:right w:val="outset" w:color="auto" w:sz="6" w:space="0"/>
            </w:tcBorders>
            <w:vAlign w:val="center"/>
          </w:tcPr>
          <w:p>
            <w:pPr>
              <w:widowControl/>
              <w:adjustRightInd/>
              <w:snapToGrid/>
              <w:spacing w:line="400" w:lineRule="exact"/>
              <w:jc w:val="left"/>
              <w:rPr>
                <w:rFonts w:ascii="宋体" w:hAnsi="宋体" w:eastAsia="宋体" w:cs="宋体"/>
                <w:color w:val="000000"/>
                <w:kern w:val="0"/>
                <w:sz w:val="21"/>
                <w:szCs w:val="21"/>
              </w:rPr>
            </w:pPr>
          </w:p>
        </w:tc>
        <w:tc>
          <w:tcPr>
            <w:tcW w:w="6662" w:type="dxa"/>
            <w:vMerge w:val="continue"/>
            <w:tcBorders>
              <w:left w:val="outset" w:color="auto" w:sz="6" w:space="0"/>
              <w:right w:val="outset" w:color="auto" w:sz="6" w:space="0"/>
            </w:tcBorders>
            <w:vAlign w:val="center"/>
          </w:tcPr>
          <w:p>
            <w:pPr>
              <w:widowControl/>
              <w:adjustRightInd/>
              <w:snapToGrid/>
              <w:spacing w:line="400" w:lineRule="exact"/>
              <w:jc w:val="left"/>
              <w:rPr>
                <w:rFonts w:ascii="宋体" w:hAnsi="宋体" w:eastAsia="宋体" w:cs="宋体"/>
                <w:color w:val="000000"/>
                <w:kern w:val="0"/>
                <w:sz w:val="21"/>
                <w:szCs w:val="21"/>
              </w:rPr>
            </w:pPr>
          </w:p>
        </w:tc>
      </w:tr>
    </w:tbl>
    <w:p>
      <w:pPr>
        <w:rPr>
          <w:u w:val="single"/>
        </w:rPr>
      </w:pPr>
      <w:r>
        <w:rPr>
          <w:rFonts w:hint="eastAsia"/>
        </w:rPr>
        <w:t xml:space="preserve"> </w:t>
      </w:r>
    </w:p>
    <w:sectPr>
      <w:pgSz w:w="16838" w:h="11906" w:orient="landscape"/>
      <w:pgMar w:top="1440" w:right="1800" w:bottom="1440" w:left="1800" w:header="851" w:footer="794" w:gutter="0"/>
      <w:cols w:space="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___WRD_EMBED_SUB_45">
    <w:altName w:val="Adobe 仿宋 Std R"/>
    <w:panose1 w:val="00000000000000000000"/>
    <w:charset w:val="00"/>
    <w:family w:val="modern"/>
    <w:pitch w:val="default"/>
    <w:sig w:usb0="00000000" w:usb1="00000000" w:usb2="00000010" w:usb3="00000000" w:csb0="00040000" w:csb1="00000000"/>
  </w:font>
  <w:font w:name="___WRD_EMBED_SUB_41">
    <w:altName w:val="长城行楷体"/>
    <w:panose1 w:val="02010609030101010101"/>
    <w:charset w:val="00"/>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snapToGrid w:val="0"/>
      <w:spacing w:line="594" w:lineRule="exact"/>
      <w:jc w:val="center"/>
      <w:rPr>
        <w:rFonts w:ascii="Calibri" w:hAnsi="Calibri" w:eastAsia="宋体" w:cs="Times New Roman"/>
        <w:kern w:val="0"/>
        <w:sz w:val="21"/>
        <w:szCs w:val="21"/>
        <w:lang w:val="en-US" w:eastAsia="zh-CN" w:bidi="ar-SA"/>
      </w:rPr>
    </w:pPr>
    <w:r>
      <w:rPr>
        <w:rFonts w:hint="eastAsia" w:ascii="Calibri" w:hAnsi="Calibri" w:eastAsia="宋体" w:cs="Times New Roman"/>
        <w:kern w:val="0"/>
        <w:sz w:val="21"/>
        <w:szCs w:val="21"/>
        <w:lang w:val="en-US" w:eastAsia="zh-CN" w:bidi="ar-SA"/>
      </w:rPr>
      <w:t xml:space="preserve">— </w:t>
    </w:r>
    <w:r>
      <w:rPr>
        <w:rFonts w:ascii="Calibri" w:hAnsi="Calibri" w:eastAsia="宋体" w:cs="Times New Roman"/>
        <w:kern w:val="0"/>
        <w:sz w:val="21"/>
        <w:szCs w:val="21"/>
        <w:lang w:val="en-US" w:eastAsia="zh-CN" w:bidi="ar-SA"/>
      </w:rPr>
      <w:fldChar w:fldCharType="begin"/>
    </w:r>
    <w:r>
      <w:rPr>
        <w:rFonts w:ascii="Calibri" w:hAnsi="Calibri" w:eastAsia="宋体" w:cs="Times New Roman"/>
        <w:kern w:val="0"/>
        <w:sz w:val="21"/>
        <w:szCs w:val="21"/>
        <w:lang w:val="en-US" w:eastAsia="zh-CN" w:bidi="ar-SA"/>
      </w:rPr>
      <w:instrText xml:space="preserve">PAGE   \* MERGEFORMAT</w:instrText>
    </w:r>
    <w:r>
      <w:rPr>
        <w:rFonts w:ascii="Calibri" w:hAnsi="Calibri" w:eastAsia="宋体" w:cs="Times New Roman"/>
        <w:kern w:val="0"/>
        <w:sz w:val="21"/>
        <w:szCs w:val="21"/>
        <w:lang w:val="en-US" w:eastAsia="zh-CN" w:bidi="ar-SA"/>
      </w:rPr>
      <w:fldChar w:fldCharType="separate"/>
    </w:r>
    <w:r>
      <w:rPr>
        <w:rFonts w:ascii="Calibri" w:hAnsi="Calibri" w:eastAsia="宋体" w:cs="Times New Roman"/>
        <w:kern w:val="0"/>
        <w:sz w:val="21"/>
        <w:szCs w:val="21"/>
        <w:lang w:val="zh-CN" w:eastAsia="zh-CN" w:bidi="ar-SA"/>
      </w:rPr>
      <w:t>13</w:t>
    </w:r>
    <w:r>
      <w:rPr>
        <w:rFonts w:ascii="Calibri" w:hAnsi="Calibri" w:eastAsia="宋体" w:cs="Times New Roman"/>
        <w:kern w:val="0"/>
        <w:sz w:val="21"/>
        <w:szCs w:val="21"/>
        <w:lang w:val="en-US" w:eastAsia="zh-CN" w:bidi="ar-SA"/>
      </w:rPr>
      <w:fldChar w:fldCharType="end"/>
    </w:r>
    <w:r>
      <w:rPr>
        <w:rFonts w:hint="eastAsia" w:ascii="Calibri" w:hAnsi="Calibri" w:eastAsia="宋体" w:cs="Times New Roman"/>
        <w:kern w:val="0"/>
        <w:sz w:val="21"/>
        <w:szCs w:val="21"/>
        <w:lang w:val="en-US" w:eastAsia="zh-CN" w:bidi="ar-SA"/>
      </w:rPr>
      <w:t xml:space="preserve"> —</w:t>
    </w:r>
  </w:p>
  <w:p>
    <w:pPr>
      <w:widowControl w:val="0"/>
      <w:adjustRightInd w:val="0"/>
      <w:snapToGrid w:val="0"/>
      <w:spacing w:line="594" w:lineRule="exact"/>
      <w:ind w:right="360" w:firstLine="360"/>
      <w:jc w:val="left"/>
      <w:rPr>
        <w:rFonts w:ascii="Calibri" w:hAnsi="Calibri" w:eastAsia="宋体" w:cs="Times New Roman"/>
        <w:kern w:val="0"/>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yMzBiMTJkYzgwMmM4NmRkZWZmYzQ3ZDNjZDQwNTMifQ=="/>
  </w:docVars>
  <w:rsids>
    <w:rsidRoot w:val="669D377F"/>
    <w:rsid w:val="00001A52"/>
    <w:rsid w:val="00003AFB"/>
    <w:rsid w:val="0000591C"/>
    <w:rsid w:val="00011A25"/>
    <w:rsid w:val="00014458"/>
    <w:rsid w:val="00014A73"/>
    <w:rsid w:val="00020116"/>
    <w:rsid w:val="00050AB6"/>
    <w:rsid w:val="00052B89"/>
    <w:rsid w:val="00057523"/>
    <w:rsid w:val="000606DE"/>
    <w:rsid w:val="00080411"/>
    <w:rsid w:val="00097CB1"/>
    <w:rsid w:val="000A12A0"/>
    <w:rsid w:val="000A3C60"/>
    <w:rsid w:val="000A4FDF"/>
    <w:rsid w:val="000A7EDD"/>
    <w:rsid w:val="000B050F"/>
    <w:rsid w:val="000C4A47"/>
    <w:rsid w:val="000C5649"/>
    <w:rsid w:val="000D5391"/>
    <w:rsid w:val="000D7502"/>
    <w:rsid w:val="000E0489"/>
    <w:rsid w:val="000E4E38"/>
    <w:rsid w:val="000E5AB2"/>
    <w:rsid w:val="000E67D2"/>
    <w:rsid w:val="000E681E"/>
    <w:rsid w:val="000E68BF"/>
    <w:rsid w:val="000E7458"/>
    <w:rsid w:val="000F20EE"/>
    <w:rsid w:val="000F3176"/>
    <w:rsid w:val="000F65EB"/>
    <w:rsid w:val="001024F8"/>
    <w:rsid w:val="001044AA"/>
    <w:rsid w:val="00112C06"/>
    <w:rsid w:val="00113111"/>
    <w:rsid w:val="001146E7"/>
    <w:rsid w:val="00122B9D"/>
    <w:rsid w:val="00123B0B"/>
    <w:rsid w:val="00125762"/>
    <w:rsid w:val="00130016"/>
    <w:rsid w:val="001517B8"/>
    <w:rsid w:val="001577BD"/>
    <w:rsid w:val="00171E72"/>
    <w:rsid w:val="001739E3"/>
    <w:rsid w:val="00186DDE"/>
    <w:rsid w:val="00187BBE"/>
    <w:rsid w:val="001A7688"/>
    <w:rsid w:val="001B2AF3"/>
    <w:rsid w:val="001B3CBE"/>
    <w:rsid w:val="001C1BB7"/>
    <w:rsid w:val="001C430C"/>
    <w:rsid w:val="001C739F"/>
    <w:rsid w:val="001C7997"/>
    <w:rsid w:val="001D088C"/>
    <w:rsid w:val="001D59B7"/>
    <w:rsid w:val="001E118B"/>
    <w:rsid w:val="001F59EA"/>
    <w:rsid w:val="00202FAB"/>
    <w:rsid w:val="00213B6B"/>
    <w:rsid w:val="0021413B"/>
    <w:rsid w:val="0021709C"/>
    <w:rsid w:val="00235D70"/>
    <w:rsid w:val="00236981"/>
    <w:rsid w:val="00242B7C"/>
    <w:rsid w:val="00244B01"/>
    <w:rsid w:val="00253B85"/>
    <w:rsid w:val="002546B0"/>
    <w:rsid w:val="0025515D"/>
    <w:rsid w:val="00255216"/>
    <w:rsid w:val="00271E0A"/>
    <w:rsid w:val="00272538"/>
    <w:rsid w:val="002733CC"/>
    <w:rsid w:val="0028049F"/>
    <w:rsid w:val="00282B35"/>
    <w:rsid w:val="00286AD8"/>
    <w:rsid w:val="00293021"/>
    <w:rsid w:val="002B582A"/>
    <w:rsid w:val="002B770C"/>
    <w:rsid w:val="002C14ED"/>
    <w:rsid w:val="002C1B86"/>
    <w:rsid w:val="002C4483"/>
    <w:rsid w:val="002E22E8"/>
    <w:rsid w:val="002E5F35"/>
    <w:rsid w:val="002F10F9"/>
    <w:rsid w:val="002F224F"/>
    <w:rsid w:val="002F3BAA"/>
    <w:rsid w:val="002F4674"/>
    <w:rsid w:val="00300A94"/>
    <w:rsid w:val="00301545"/>
    <w:rsid w:val="00301F20"/>
    <w:rsid w:val="003102CF"/>
    <w:rsid w:val="0031219D"/>
    <w:rsid w:val="00321F7F"/>
    <w:rsid w:val="003314BF"/>
    <w:rsid w:val="00333A94"/>
    <w:rsid w:val="0033511B"/>
    <w:rsid w:val="0034382E"/>
    <w:rsid w:val="00343DFB"/>
    <w:rsid w:val="00350D9B"/>
    <w:rsid w:val="00354FDD"/>
    <w:rsid w:val="00357BA6"/>
    <w:rsid w:val="003722D0"/>
    <w:rsid w:val="003801FE"/>
    <w:rsid w:val="00383265"/>
    <w:rsid w:val="00384AC1"/>
    <w:rsid w:val="0038523E"/>
    <w:rsid w:val="00392540"/>
    <w:rsid w:val="003A518E"/>
    <w:rsid w:val="003A5DBE"/>
    <w:rsid w:val="003B0BEA"/>
    <w:rsid w:val="003B1F7E"/>
    <w:rsid w:val="003C72B8"/>
    <w:rsid w:val="003D275A"/>
    <w:rsid w:val="003D3576"/>
    <w:rsid w:val="003D546E"/>
    <w:rsid w:val="003D561E"/>
    <w:rsid w:val="003D7A8E"/>
    <w:rsid w:val="003E5C1B"/>
    <w:rsid w:val="003E7B5E"/>
    <w:rsid w:val="003E7F7F"/>
    <w:rsid w:val="003F2735"/>
    <w:rsid w:val="003F32F4"/>
    <w:rsid w:val="003F3337"/>
    <w:rsid w:val="003F439A"/>
    <w:rsid w:val="00401897"/>
    <w:rsid w:val="00401CBD"/>
    <w:rsid w:val="004122B6"/>
    <w:rsid w:val="004157F7"/>
    <w:rsid w:val="0041768E"/>
    <w:rsid w:val="004224A6"/>
    <w:rsid w:val="00432590"/>
    <w:rsid w:val="004361C1"/>
    <w:rsid w:val="00443B66"/>
    <w:rsid w:val="004465AA"/>
    <w:rsid w:val="00446CE9"/>
    <w:rsid w:val="00461F3C"/>
    <w:rsid w:val="0046631D"/>
    <w:rsid w:val="004669A4"/>
    <w:rsid w:val="00473CF6"/>
    <w:rsid w:val="00480F35"/>
    <w:rsid w:val="00484836"/>
    <w:rsid w:val="00487213"/>
    <w:rsid w:val="00487251"/>
    <w:rsid w:val="00490ECA"/>
    <w:rsid w:val="00491793"/>
    <w:rsid w:val="00491DF4"/>
    <w:rsid w:val="004C04FE"/>
    <w:rsid w:val="004C1587"/>
    <w:rsid w:val="004C3586"/>
    <w:rsid w:val="004E3979"/>
    <w:rsid w:val="004F116B"/>
    <w:rsid w:val="004F2345"/>
    <w:rsid w:val="004F6D81"/>
    <w:rsid w:val="005078CB"/>
    <w:rsid w:val="00511033"/>
    <w:rsid w:val="00523572"/>
    <w:rsid w:val="00532778"/>
    <w:rsid w:val="00543425"/>
    <w:rsid w:val="00543738"/>
    <w:rsid w:val="00554EBA"/>
    <w:rsid w:val="005646BE"/>
    <w:rsid w:val="005809E0"/>
    <w:rsid w:val="00584E1E"/>
    <w:rsid w:val="005959AC"/>
    <w:rsid w:val="005C5D3B"/>
    <w:rsid w:val="005D0860"/>
    <w:rsid w:val="005D0E2D"/>
    <w:rsid w:val="005E1D51"/>
    <w:rsid w:val="005E2E42"/>
    <w:rsid w:val="005F1E4A"/>
    <w:rsid w:val="005F3EFA"/>
    <w:rsid w:val="005F6396"/>
    <w:rsid w:val="005F7F4E"/>
    <w:rsid w:val="00607E91"/>
    <w:rsid w:val="006156EA"/>
    <w:rsid w:val="00623709"/>
    <w:rsid w:val="006331B0"/>
    <w:rsid w:val="00634EDD"/>
    <w:rsid w:val="00647C2A"/>
    <w:rsid w:val="00651C87"/>
    <w:rsid w:val="00651C9E"/>
    <w:rsid w:val="00656948"/>
    <w:rsid w:val="0066016E"/>
    <w:rsid w:val="00681D94"/>
    <w:rsid w:val="00691F7D"/>
    <w:rsid w:val="00694A95"/>
    <w:rsid w:val="00694ABC"/>
    <w:rsid w:val="00697052"/>
    <w:rsid w:val="00697BFA"/>
    <w:rsid w:val="006A1F28"/>
    <w:rsid w:val="006A6A20"/>
    <w:rsid w:val="006B22D0"/>
    <w:rsid w:val="006D3078"/>
    <w:rsid w:val="006D36F5"/>
    <w:rsid w:val="006F472F"/>
    <w:rsid w:val="006F5917"/>
    <w:rsid w:val="006F7788"/>
    <w:rsid w:val="00703C01"/>
    <w:rsid w:val="00707ACD"/>
    <w:rsid w:val="00712952"/>
    <w:rsid w:val="00727164"/>
    <w:rsid w:val="0073273F"/>
    <w:rsid w:val="007355A8"/>
    <w:rsid w:val="007367A6"/>
    <w:rsid w:val="00740740"/>
    <w:rsid w:val="007432ED"/>
    <w:rsid w:val="00752780"/>
    <w:rsid w:val="007532EA"/>
    <w:rsid w:val="007538CF"/>
    <w:rsid w:val="007713EA"/>
    <w:rsid w:val="00771B33"/>
    <w:rsid w:val="0077224B"/>
    <w:rsid w:val="00774ED1"/>
    <w:rsid w:val="007764BC"/>
    <w:rsid w:val="00781EAF"/>
    <w:rsid w:val="007849CD"/>
    <w:rsid w:val="007931AF"/>
    <w:rsid w:val="007976D6"/>
    <w:rsid w:val="00797AE7"/>
    <w:rsid w:val="007A11C0"/>
    <w:rsid w:val="007A1CE7"/>
    <w:rsid w:val="007A395E"/>
    <w:rsid w:val="007A4AC2"/>
    <w:rsid w:val="007B2344"/>
    <w:rsid w:val="007B4415"/>
    <w:rsid w:val="007B5EF9"/>
    <w:rsid w:val="007B75A9"/>
    <w:rsid w:val="007C0CE2"/>
    <w:rsid w:val="007D16C2"/>
    <w:rsid w:val="007D3EEF"/>
    <w:rsid w:val="007E01A0"/>
    <w:rsid w:val="007E6FC1"/>
    <w:rsid w:val="007F13FB"/>
    <w:rsid w:val="007F5661"/>
    <w:rsid w:val="008030F8"/>
    <w:rsid w:val="008038FF"/>
    <w:rsid w:val="008051DE"/>
    <w:rsid w:val="00821385"/>
    <w:rsid w:val="008267FA"/>
    <w:rsid w:val="00842698"/>
    <w:rsid w:val="00845950"/>
    <w:rsid w:val="00850E3A"/>
    <w:rsid w:val="008620E1"/>
    <w:rsid w:val="00867429"/>
    <w:rsid w:val="00867752"/>
    <w:rsid w:val="00877532"/>
    <w:rsid w:val="0089233F"/>
    <w:rsid w:val="008A30EC"/>
    <w:rsid w:val="008B403E"/>
    <w:rsid w:val="008C35F7"/>
    <w:rsid w:val="008C7156"/>
    <w:rsid w:val="008D0463"/>
    <w:rsid w:val="008E0506"/>
    <w:rsid w:val="008E1BE3"/>
    <w:rsid w:val="008E32E1"/>
    <w:rsid w:val="008F55CB"/>
    <w:rsid w:val="008F69D8"/>
    <w:rsid w:val="00900341"/>
    <w:rsid w:val="0090290A"/>
    <w:rsid w:val="00902E05"/>
    <w:rsid w:val="00911D81"/>
    <w:rsid w:val="00921F0F"/>
    <w:rsid w:val="00923427"/>
    <w:rsid w:val="00923A9F"/>
    <w:rsid w:val="00926558"/>
    <w:rsid w:val="009277DA"/>
    <w:rsid w:val="009339DD"/>
    <w:rsid w:val="00934300"/>
    <w:rsid w:val="0097133B"/>
    <w:rsid w:val="00972888"/>
    <w:rsid w:val="0097394B"/>
    <w:rsid w:val="009761A2"/>
    <w:rsid w:val="009771CB"/>
    <w:rsid w:val="00977B60"/>
    <w:rsid w:val="00980451"/>
    <w:rsid w:val="0099348A"/>
    <w:rsid w:val="00995DC9"/>
    <w:rsid w:val="0099602C"/>
    <w:rsid w:val="00997A69"/>
    <w:rsid w:val="009B3083"/>
    <w:rsid w:val="009B55C9"/>
    <w:rsid w:val="009B7053"/>
    <w:rsid w:val="009C233A"/>
    <w:rsid w:val="009C2D3C"/>
    <w:rsid w:val="009D5467"/>
    <w:rsid w:val="009D58D1"/>
    <w:rsid w:val="009D7446"/>
    <w:rsid w:val="009E47B2"/>
    <w:rsid w:val="009E5CF9"/>
    <w:rsid w:val="009E78D0"/>
    <w:rsid w:val="009F79F8"/>
    <w:rsid w:val="00A016D4"/>
    <w:rsid w:val="00A03454"/>
    <w:rsid w:val="00A105CD"/>
    <w:rsid w:val="00A1221E"/>
    <w:rsid w:val="00A15199"/>
    <w:rsid w:val="00A15FB9"/>
    <w:rsid w:val="00A2101F"/>
    <w:rsid w:val="00A327AF"/>
    <w:rsid w:val="00A32C01"/>
    <w:rsid w:val="00A40B0C"/>
    <w:rsid w:val="00A443C0"/>
    <w:rsid w:val="00A45338"/>
    <w:rsid w:val="00A45DA7"/>
    <w:rsid w:val="00A468E7"/>
    <w:rsid w:val="00A46936"/>
    <w:rsid w:val="00A50693"/>
    <w:rsid w:val="00A620FE"/>
    <w:rsid w:val="00A64150"/>
    <w:rsid w:val="00A7643C"/>
    <w:rsid w:val="00A813A9"/>
    <w:rsid w:val="00A87A6E"/>
    <w:rsid w:val="00A87C49"/>
    <w:rsid w:val="00A909EA"/>
    <w:rsid w:val="00A94100"/>
    <w:rsid w:val="00A9438D"/>
    <w:rsid w:val="00A96B8F"/>
    <w:rsid w:val="00AA060D"/>
    <w:rsid w:val="00AA2107"/>
    <w:rsid w:val="00AB6779"/>
    <w:rsid w:val="00AC04BA"/>
    <w:rsid w:val="00AC5C40"/>
    <w:rsid w:val="00AD14FB"/>
    <w:rsid w:val="00AE078F"/>
    <w:rsid w:val="00AE68C1"/>
    <w:rsid w:val="00AF2F6F"/>
    <w:rsid w:val="00AF6007"/>
    <w:rsid w:val="00AF68C5"/>
    <w:rsid w:val="00B17F73"/>
    <w:rsid w:val="00B242EA"/>
    <w:rsid w:val="00B26216"/>
    <w:rsid w:val="00B32188"/>
    <w:rsid w:val="00B36C16"/>
    <w:rsid w:val="00B444B8"/>
    <w:rsid w:val="00B5558F"/>
    <w:rsid w:val="00B64650"/>
    <w:rsid w:val="00B724FA"/>
    <w:rsid w:val="00B75881"/>
    <w:rsid w:val="00B9102D"/>
    <w:rsid w:val="00B94ECE"/>
    <w:rsid w:val="00B95221"/>
    <w:rsid w:val="00B972D1"/>
    <w:rsid w:val="00BA1101"/>
    <w:rsid w:val="00BA7179"/>
    <w:rsid w:val="00BB4AEF"/>
    <w:rsid w:val="00BB5D3A"/>
    <w:rsid w:val="00BC2B14"/>
    <w:rsid w:val="00BC6854"/>
    <w:rsid w:val="00BE0893"/>
    <w:rsid w:val="00BE39F7"/>
    <w:rsid w:val="00BE43DB"/>
    <w:rsid w:val="00BF2FF5"/>
    <w:rsid w:val="00BF6835"/>
    <w:rsid w:val="00BF7398"/>
    <w:rsid w:val="00BF7B09"/>
    <w:rsid w:val="00C00F6E"/>
    <w:rsid w:val="00C04CD7"/>
    <w:rsid w:val="00C0783A"/>
    <w:rsid w:val="00C1631E"/>
    <w:rsid w:val="00C2659D"/>
    <w:rsid w:val="00C26833"/>
    <w:rsid w:val="00C474DB"/>
    <w:rsid w:val="00C55CBA"/>
    <w:rsid w:val="00C62491"/>
    <w:rsid w:val="00C71E00"/>
    <w:rsid w:val="00C72197"/>
    <w:rsid w:val="00C74AF9"/>
    <w:rsid w:val="00C806DC"/>
    <w:rsid w:val="00C83AC0"/>
    <w:rsid w:val="00C87879"/>
    <w:rsid w:val="00C87C15"/>
    <w:rsid w:val="00C93D18"/>
    <w:rsid w:val="00C970B0"/>
    <w:rsid w:val="00CB46BB"/>
    <w:rsid w:val="00CB5941"/>
    <w:rsid w:val="00CC576A"/>
    <w:rsid w:val="00CD7791"/>
    <w:rsid w:val="00CD7F95"/>
    <w:rsid w:val="00CF4519"/>
    <w:rsid w:val="00CF506D"/>
    <w:rsid w:val="00D0096D"/>
    <w:rsid w:val="00D021F5"/>
    <w:rsid w:val="00D06636"/>
    <w:rsid w:val="00D06B7E"/>
    <w:rsid w:val="00D24776"/>
    <w:rsid w:val="00D259CA"/>
    <w:rsid w:val="00D31315"/>
    <w:rsid w:val="00D33E54"/>
    <w:rsid w:val="00D37333"/>
    <w:rsid w:val="00D47C71"/>
    <w:rsid w:val="00D50407"/>
    <w:rsid w:val="00D55FEC"/>
    <w:rsid w:val="00D64492"/>
    <w:rsid w:val="00D64611"/>
    <w:rsid w:val="00D65394"/>
    <w:rsid w:val="00D66536"/>
    <w:rsid w:val="00D95BC4"/>
    <w:rsid w:val="00D95D0A"/>
    <w:rsid w:val="00D95DDA"/>
    <w:rsid w:val="00DA0652"/>
    <w:rsid w:val="00DC0715"/>
    <w:rsid w:val="00DC696F"/>
    <w:rsid w:val="00DD0E09"/>
    <w:rsid w:val="00DE3222"/>
    <w:rsid w:val="00DE3A11"/>
    <w:rsid w:val="00DF3101"/>
    <w:rsid w:val="00DF4102"/>
    <w:rsid w:val="00E04CA1"/>
    <w:rsid w:val="00E056A8"/>
    <w:rsid w:val="00E06628"/>
    <w:rsid w:val="00E10C73"/>
    <w:rsid w:val="00E172C3"/>
    <w:rsid w:val="00E24413"/>
    <w:rsid w:val="00E26F8E"/>
    <w:rsid w:val="00E361FA"/>
    <w:rsid w:val="00E4306D"/>
    <w:rsid w:val="00E52FE1"/>
    <w:rsid w:val="00E54AF4"/>
    <w:rsid w:val="00E80F6A"/>
    <w:rsid w:val="00E815AF"/>
    <w:rsid w:val="00E82531"/>
    <w:rsid w:val="00E86220"/>
    <w:rsid w:val="00E87DD5"/>
    <w:rsid w:val="00E91530"/>
    <w:rsid w:val="00E97A95"/>
    <w:rsid w:val="00EA093A"/>
    <w:rsid w:val="00EA176E"/>
    <w:rsid w:val="00EA6516"/>
    <w:rsid w:val="00EA7A02"/>
    <w:rsid w:val="00EA7C93"/>
    <w:rsid w:val="00EC5FA1"/>
    <w:rsid w:val="00EC7C05"/>
    <w:rsid w:val="00ED4B11"/>
    <w:rsid w:val="00ED78A4"/>
    <w:rsid w:val="00EE0AC0"/>
    <w:rsid w:val="00EE1819"/>
    <w:rsid w:val="00EF021D"/>
    <w:rsid w:val="00EF41EA"/>
    <w:rsid w:val="00EF44E1"/>
    <w:rsid w:val="00EF6855"/>
    <w:rsid w:val="00F06C86"/>
    <w:rsid w:val="00F075FC"/>
    <w:rsid w:val="00F07D51"/>
    <w:rsid w:val="00F14801"/>
    <w:rsid w:val="00F15617"/>
    <w:rsid w:val="00F36814"/>
    <w:rsid w:val="00F40A2C"/>
    <w:rsid w:val="00F45CBF"/>
    <w:rsid w:val="00F4713B"/>
    <w:rsid w:val="00F534CF"/>
    <w:rsid w:val="00F53FDB"/>
    <w:rsid w:val="00F5577C"/>
    <w:rsid w:val="00F709EC"/>
    <w:rsid w:val="00F74A3C"/>
    <w:rsid w:val="00F8200B"/>
    <w:rsid w:val="00F852ED"/>
    <w:rsid w:val="00F90060"/>
    <w:rsid w:val="00F90DA0"/>
    <w:rsid w:val="00F91EED"/>
    <w:rsid w:val="00F94924"/>
    <w:rsid w:val="00F95974"/>
    <w:rsid w:val="00F97574"/>
    <w:rsid w:val="00FA1176"/>
    <w:rsid w:val="00FA37D5"/>
    <w:rsid w:val="00FC0B18"/>
    <w:rsid w:val="00FC7DB4"/>
    <w:rsid w:val="00FD00C3"/>
    <w:rsid w:val="00FE2A8B"/>
    <w:rsid w:val="00FE372F"/>
    <w:rsid w:val="00FE7647"/>
    <w:rsid w:val="00FF0E96"/>
    <w:rsid w:val="00FF185C"/>
    <w:rsid w:val="00FF6098"/>
    <w:rsid w:val="00FF77F2"/>
    <w:rsid w:val="04452F39"/>
    <w:rsid w:val="26BD0E3D"/>
    <w:rsid w:val="34655D98"/>
    <w:rsid w:val="3AE815D3"/>
    <w:rsid w:val="46843314"/>
    <w:rsid w:val="669D377F"/>
    <w:rsid w:val="66F424FF"/>
    <w:rsid w:val="7A3D3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94" w:lineRule="exact"/>
      <w:jc w:val="both"/>
    </w:pPr>
    <w:rPr>
      <w:rFonts w:ascii="黑体" w:hAnsi="黑体" w:eastAsia="方正仿宋简体" w:cs="Times New Roman"/>
      <w:kern w:val="2"/>
      <w:sz w:val="32"/>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Normal Indent"/>
    <w:autoRedefine/>
    <w:unhideWhenUsed/>
    <w:qFormat/>
    <w:uiPriority w:val="99"/>
    <w:pPr>
      <w:widowControl w:val="0"/>
      <w:adjustRightInd w:val="0"/>
      <w:snapToGrid w:val="0"/>
      <w:spacing w:line="594" w:lineRule="exact"/>
      <w:ind w:firstLine="420" w:firstLineChars="200"/>
      <w:jc w:val="both"/>
    </w:pPr>
    <w:rPr>
      <w:rFonts w:ascii="黑体" w:hAnsi="黑体" w:eastAsia="方正仿宋简体" w:cs="Times New Roman"/>
      <w:kern w:val="2"/>
      <w:sz w:val="32"/>
      <w:szCs w:val="24"/>
      <w:lang w:val="en-US" w:eastAsia="zh-CN" w:bidi="ar-SA"/>
    </w:rPr>
  </w:style>
  <w:style w:type="paragraph" w:styleId="3">
    <w:name w:val="footer"/>
    <w:basedOn w:val="1"/>
    <w:link w:val="8"/>
    <w:autoRedefine/>
    <w:qFormat/>
    <w:uiPriority w:val="0"/>
    <w:pPr>
      <w:tabs>
        <w:tab w:val="center" w:pos="4153"/>
        <w:tab w:val="right" w:pos="8306"/>
      </w:tabs>
      <w:spacing w:line="240" w:lineRule="atLeast"/>
      <w:jc w:val="left"/>
    </w:pPr>
    <w:rPr>
      <w:sz w:val="18"/>
      <w:szCs w:val="18"/>
    </w:rPr>
  </w:style>
  <w:style w:type="paragraph" w:styleId="4">
    <w:name w:val="header"/>
    <w:basedOn w:val="1"/>
    <w:link w:val="7"/>
    <w:autoRedefine/>
    <w:qFormat/>
    <w:uiPriority w:val="0"/>
    <w:pPr>
      <w:tabs>
        <w:tab w:val="center" w:pos="4153"/>
        <w:tab w:val="right" w:pos="8306"/>
      </w:tabs>
      <w:spacing w:line="240" w:lineRule="atLeast"/>
      <w:jc w:val="center"/>
    </w:pPr>
    <w:rPr>
      <w:sz w:val="18"/>
      <w:szCs w:val="18"/>
    </w:rPr>
  </w:style>
  <w:style w:type="character" w:customStyle="1" w:styleId="7">
    <w:name w:val="页眉 字符"/>
    <w:basedOn w:val="6"/>
    <w:link w:val="4"/>
    <w:autoRedefine/>
    <w:qFormat/>
    <w:uiPriority w:val="0"/>
    <w:rPr>
      <w:rFonts w:ascii="黑体" w:hAnsi="黑体" w:eastAsia="方正仿宋简体"/>
      <w:kern w:val="2"/>
      <w:sz w:val="18"/>
      <w:szCs w:val="18"/>
    </w:rPr>
  </w:style>
  <w:style w:type="character" w:customStyle="1" w:styleId="8">
    <w:name w:val="页脚 字符"/>
    <w:basedOn w:val="6"/>
    <w:link w:val="3"/>
    <w:autoRedefine/>
    <w:qFormat/>
    <w:uiPriority w:val="0"/>
    <w:rPr>
      <w:rFonts w:ascii="黑体" w:hAnsi="黑体" w:eastAsia="方正仿宋简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397</Words>
  <Characters>2266</Characters>
  <Lines>18</Lines>
  <Paragraphs>5</Paragraphs>
  <TotalTime>1</TotalTime>
  <ScaleCrop>false</ScaleCrop>
  <LinksUpToDate>false</LinksUpToDate>
  <CharactersWithSpaces>2658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2023-12-29T08:48:00Z</dcterms:created>
  <dc:creator>吴昊</dc:creator>
  <cp:lastModifiedBy>null</cp:lastModifiedBy>
  <dcterms:modified xsi:type="dcterms:W3CDTF">2024-04-10T08:09:32Z</dcterms:modified>
  <cp:revision>1001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8EBBCE362A864D47B7462835FBB932F6_12</vt:lpwstr>
  </property>
</Properties>
</file>